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cs="方正小标宋_GBK"/>
          <w:color w:val="0C0C0C" w:themeColor="text1" w:themeTint="F2"/>
          <w:sz w:val="44"/>
          <w:szCs w:val="44"/>
        </w:rPr>
      </w:pPr>
    </w:p>
    <w:p>
      <w:pPr>
        <w:spacing w:line="560" w:lineRule="exact"/>
        <w:jc w:val="center"/>
        <w:rPr>
          <w:rFonts w:ascii="方正小标宋_GBK" w:hAnsi="方正小标宋_GBK" w:eastAsia="方正小标宋_GBK" w:cs="方正小标宋_GBK"/>
          <w:color w:val="0C0C0C" w:themeColor="text1" w:themeTint="F2"/>
          <w:sz w:val="44"/>
          <w:szCs w:val="44"/>
        </w:rPr>
      </w:pPr>
    </w:p>
    <w:p>
      <w:pPr>
        <w:spacing w:line="560" w:lineRule="exact"/>
        <w:jc w:val="center"/>
        <w:rPr>
          <w:rFonts w:ascii="方正小标宋_GBK" w:hAnsi="方正小标宋_GBK" w:eastAsia="方正小标宋_GBK" w:cs="方正小标宋_GBK"/>
          <w:color w:val="0C0C0C" w:themeColor="text1" w:themeTint="F2"/>
          <w:sz w:val="44"/>
          <w:szCs w:val="44"/>
        </w:rPr>
      </w:pPr>
    </w:p>
    <w:p>
      <w:pPr>
        <w:spacing w:line="560" w:lineRule="exact"/>
        <w:jc w:val="center"/>
        <w:rPr>
          <w:rFonts w:ascii="方正小标宋_GBK" w:hAnsi="方正小标宋_GBK" w:eastAsia="方正小标宋_GBK" w:cs="方正小标宋_GBK"/>
          <w:color w:val="0C0C0C" w:themeColor="text1" w:themeTint="F2"/>
          <w:sz w:val="44"/>
          <w:szCs w:val="44"/>
        </w:rPr>
      </w:pPr>
    </w:p>
    <w:p>
      <w:pPr>
        <w:spacing w:line="560" w:lineRule="exact"/>
        <w:jc w:val="center"/>
        <w:rPr>
          <w:rFonts w:ascii="方正小标宋_GBK" w:hAnsi="方正小标宋_GBK" w:eastAsia="方正小标宋_GBK" w:cs="方正小标宋_GBK"/>
          <w:color w:val="0C0C0C" w:themeColor="text1" w:themeTint="F2"/>
          <w:sz w:val="44"/>
          <w:szCs w:val="44"/>
        </w:rPr>
      </w:pPr>
      <w:r>
        <w:rPr>
          <w:rFonts w:hint="eastAsia" w:ascii="方正小标宋_GBK" w:hAnsi="方正小标宋_GBK" w:eastAsia="方正小标宋_GBK" w:cs="方正小标宋_GBK"/>
          <w:color w:val="0C0C0C" w:themeColor="text1" w:themeTint="F2"/>
          <w:sz w:val="44"/>
          <w:szCs w:val="44"/>
        </w:rPr>
        <w:t>塔城地区应急管理局政府信息公开工作</w:t>
      </w:r>
    </w:p>
    <w:p>
      <w:pPr>
        <w:spacing w:line="560" w:lineRule="exact"/>
        <w:jc w:val="center"/>
        <w:rPr>
          <w:rFonts w:ascii="方正小标宋_GBK" w:hAnsi="方正小标宋_GBK" w:eastAsia="方正小标宋_GBK" w:cs="方正小标宋_GBK"/>
          <w:color w:val="0C0C0C" w:themeColor="text1" w:themeTint="F2"/>
          <w:sz w:val="44"/>
          <w:szCs w:val="44"/>
        </w:rPr>
      </w:pPr>
      <w:r>
        <w:rPr>
          <w:rFonts w:hint="eastAsia" w:ascii="方正小标宋_GBK" w:hAnsi="方正小标宋_GBK" w:eastAsia="方正小标宋_GBK" w:cs="方正小标宋_GBK"/>
          <w:color w:val="0C0C0C" w:themeColor="text1" w:themeTint="F2"/>
          <w:sz w:val="44"/>
          <w:szCs w:val="44"/>
        </w:rPr>
        <w:t>年度报告</w:t>
      </w:r>
    </w:p>
    <w:p>
      <w:pPr>
        <w:spacing w:line="560" w:lineRule="exact"/>
        <w:jc w:val="center"/>
        <w:rPr>
          <w:rFonts w:ascii="仿宋_GB2312" w:hAnsi="仿宋_GB2312" w:eastAsia="仿宋_GB2312" w:cs="仿宋_GB2312"/>
          <w:color w:val="0C0C0C" w:themeColor="text1" w:themeTint="F2"/>
          <w:sz w:val="32"/>
          <w:szCs w:val="32"/>
        </w:rPr>
      </w:pPr>
    </w:p>
    <w:p>
      <w:pPr>
        <w:spacing w:line="520" w:lineRule="exact"/>
        <w:ind w:firstLine="640" w:firstLineChars="200"/>
        <w:rPr>
          <w:rFonts w:ascii="黑体" w:hAnsi="黑体" w:eastAsia="黑体" w:cs="黑体"/>
          <w:color w:val="0C0C0C" w:themeColor="text1" w:themeTint="F2"/>
          <w:sz w:val="32"/>
          <w:szCs w:val="32"/>
        </w:rPr>
      </w:pPr>
      <w:r>
        <w:rPr>
          <w:rFonts w:hint="eastAsia" w:ascii="黑体" w:hAnsi="黑体" w:eastAsia="黑体" w:cs="黑体"/>
          <w:color w:val="0C0C0C" w:themeColor="text1" w:themeTint="F2"/>
          <w:sz w:val="32"/>
          <w:szCs w:val="32"/>
        </w:rPr>
        <w:t>一、总体情况</w:t>
      </w:r>
    </w:p>
    <w:p>
      <w:pPr>
        <w:spacing w:line="520" w:lineRule="exact"/>
        <w:ind w:firstLine="643" w:firstLineChars="200"/>
        <w:rPr>
          <w:rFonts w:ascii="仿宋" w:hAnsi="仿宋" w:eastAsia="仿宋" w:cs="仿宋"/>
          <w:color w:val="0C0C0C" w:themeColor="text1" w:themeTint="F2"/>
          <w:sz w:val="32"/>
          <w:szCs w:val="32"/>
          <w:shd w:val="clear" w:color="auto" w:fill="FFFFFF"/>
        </w:rPr>
      </w:pPr>
      <w:r>
        <w:rPr>
          <w:rFonts w:hint="eastAsia" w:ascii="楷体_GB2312" w:hAnsi="楷体" w:eastAsia="楷体_GB2312" w:cs="楷体"/>
          <w:b/>
          <w:bCs/>
          <w:color w:val="0C0C0C" w:themeColor="text1" w:themeTint="F2"/>
          <w:sz w:val="32"/>
          <w:szCs w:val="32"/>
        </w:rPr>
        <w:t>（一）领导重视，职责明确。</w:t>
      </w:r>
      <w:r>
        <w:rPr>
          <w:rFonts w:hint="eastAsia" w:ascii="仿宋_GB2312" w:hAnsi="仿宋" w:eastAsia="仿宋_GB2312" w:cs="仿宋"/>
          <w:color w:val="0C0C0C" w:themeColor="text1" w:themeTint="F2"/>
          <w:sz w:val="32"/>
          <w:szCs w:val="32"/>
        </w:rPr>
        <w:t>为贯彻落实《中华人民共和国政府信息公开条例》和《国务院办公厅政府信息与政务公开办公室关于政府信息公开工作年度报告有关事项的通知》（国办公开办函[2019]60号）、《自治区全面推进政务公开重点工作实施方案》（新政办发[2017]127号）、《新疆维吾尔自治区2018年政务公开要点》（新政办发[2018]58号）、《新疆维吾尔自治区推进重大建设项目批准与实施、公共资源配置和社会公益事业建设领域政府信息公开实施方案》（新政办发[2018]57号）和《关于印发塔城地区贯彻落实自治区2021年政务公开工作要点任务清单的通知》（塔行办函[2021]15号）精神，我局对政务公开工作领导小组进行了调整，局党委书记担任组长，分管领导担任副组长，局属各科室、事业单位负责人为成员，设置了领导小组办公室，承担政务公开日常工作。党委书记在办公会议上，针对政务公开工作进行了部署。</w:t>
      </w:r>
    </w:p>
    <w:p>
      <w:pPr>
        <w:spacing w:line="520" w:lineRule="exact"/>
        <w:ind w:firstLine="643" w:firstLineChars="200"/>
        <w:rPr>
          <w:rFonts w:ascii="仿宋_GB2312" w:hAnsi="仿宋" w:eastAsia="仿宋_GB2312" w:cs="仿宋"/>
          <w:color w:val="0C0C0C" w:themeColor="text1" w:themeTint="F2"/>
          <w:sz w:val="32"/>
          <w:szCs w:val="32"/>
        </w:rPr>
      </w:pPr>
      <w:r>
        <w:rPr>
          <w:rFonts w:hint="eastAsia" w:ascii="楷体_GB2312" w:hAnsi="楷体" w:eastAsia="楷体_GB2312" w:cs="楷体"/>
          <w:b/>
          <w:bCs/>
          <w:color w:val="0C0C0C" w:themeColor="text1" w:themeTint="F2"/>
          <w:sz w:val="32"/>
          <w:szCs w:val="32"/>
        </w:rPr>
        <w:t>(二)规范工作，健全平台。</w:t>
      </w:r>
      <w:r>
        <w:rPr>
          <w:rFonts w:hint="eastAsia" w:ascii="仿宋_GB2312" w:hAnsi="仿宋_GB2312" w:eastAsia="仿宋_GB2312" w:cs="仿宋_GB2312"/>
          <w:color w:val="0C0C0C" w:themeColor="text1" w:themeTint="F2"/>
          <w:sz w:val="32"/>
          <w:szCs w:val="32"/>
        </w:rPr>
        <w:t>应急管理</w:t>
      </w:r>
      <w:r>
        <w:rPr>
          <w:rFonts w:hint="eastAsia" w:ascii="仿宋_GB2312" w:hAnsi="仿宋" w:eastAsia="仿宋_GB2312" w:cs="仿宋"/>
          <w:color w:val="0C0C0C" w:themeColor="text1" w:themeTint="F2"/>
          <w:sz w:val="32"/>
          <w:szCs w:val="32"/>
        </w:rPr>
        <w:t>局对拟公开的政府信息，按照主动公开、依申请公开、不予公开的政府信息分类要求，坚持以主动公开为原则，不公开为例外，精心编制目录、指南，建立健全信息公开平台，并分阶段及时报送和更新信息公开内容，确保了政府信息公开的全面、及时、准确。</w:t>
      </w:r>
    </w:p>
    <w:p>
      <w:pPr>
        <w:spacing w:line="520" w:lineRule="exact"/>
        <w:ind w:firstLine="643" w:firstLineChars="200"/>
        <w:rPr>
          <w:rFonts w:ascii="仿宋_GB2312" w:hAnsi="仿宋_GB2312" w:eastAsia="仿宋_GB2312" w:cs="仿宋_GB2312"/>
          <w:color w:val="0C0C0C" w:themeColor="text1" w:themeTint="F2"/>
          <w:sz w:val="32"/>
          <w:szCs w:val="32"/>
        </w:rPr>
      </w:pPr>
      <w:r>
        <w:rPr>
          <w:rFonts w:hint="eastAsia" w:ascii="楷体_GB2312" w:hAnsi="楷体" w:eastAsia="楷体_GB2312" w:cs="楷体"/>
          <w:b/>
          <w:bCs/>
          <w:color w:val="0C0C0C" w:themeColor="text1" w:themeTint="F2"/>
          <w:sz w:val="32"/>
          <w:szCs w:val="32"/>
        </w:rPr>
        <w:t>(三)重点领域政府信息公开情况。</w:t>
      </w:r>
      <w:r>
        <w:rPr>
          <w:rFonts w:hint="eastAsia" w:ascii="仿宋_GB2312" w:hAnsi="仿宋_GB2312" w:eastAsia="仿宋_GB2312" w:cs="仿宋_GB2312"/>
          <w:color w:val="0C0C0C" w:themeColor="text1" w:themeTint="F2"/>
          <w:sz w:val="32"/>
          <w:szCs w:val="32"/>
        </w:rPr>
        <w:t>为进一步扩大公开范围，细化公开内容，应急管理局着力推进以下领域信息公开工作：</w:t>
      </w:r>
    </w:p>
    <w:p>
      <w:pPr>
        <w:spacing w:line="520" w:lineRule="exact"/>
        <w:ind w:firstLine="643" w:firstLineChars="200"/>
        <w:rPr>
          <w:rFonts w:ascii="仿宋_GB2312" w:hAnsi="仿宋" w:eastAsia="仿宋_GB2312" w:cs="仿宋"/>
          <w:color w:val="0C0C0C" w:themeColor="text1" w:themeTint="F2"/>
          <w:sz w:val="32"/>
          <w:szCs w:val="32"/>
        </w:rPr>
      </w:pPr>
      <w:r>
        <w:rPr>
          <w:rFonts w:hint="eastAsia" w:ascii="仿宋_GB2312" w:hAnsi="仿宋" w:eastAsia="仿宋_GB2312" w:cs="仿宋"/>
          <w:b/>
          <w:color w:val="0C0C0C" w:themeColor="text1" w:themeTint="F2"/>
          <w:sz w:val="32"/>
          <w:szCs w:val="32"/>
        </w:rPr>
        <w:t>1、推进行政权力清单公开。</w:t>
      </w:r>
      <w:r>
        <w:rPr>
          <w:rFonts w:hint="eastAsia" w:ascii="仿宋_GB2312" w:hAnsi="仿宋" w:eastAsia="仿宋_GB2312" w:cs="仿宋"/>
          <w:color w:val="0C0C0C" w:themeColor="text1" w:themeTint="F2"/>
          <w:sz w:val="32"/>
          <w:szCs w:val="32"/>
        </w:rPr>
        <w:t>进一步做好行政审批事项服务指南、设定依据等内容的信息公开工作，对所有行政审批事项的受理、进展情况和结果等信息做到实时、准确公开。</w:t>
      </w:r>
      <w:r>
        <w:rPr>
          <w:rFonts w:hint="eastAsia" w:ascii="仿宋_GB2312" w:hAnsi="仿宋_GB2312" w:eastAsia="仿宋_GB2312" w:cs="仿宋_GB2312"/>
          <w:color w:val="0C0C0C" w:themeColor="text1" w:themeTint="F2"/>
          <w:sz w:val="32"/>
          <w:szCs w:val="32"/>
        </w:rPr>
        <w:t>应急管理局</w:t>
      </w:r>
      <w:r>
        <w:rPr>
          <w:rFonts w:hint="eastAsia" w:ascii="仿宋_GB2312" w:hAnsi="仿宋" w:eastAsia="仿宋_GB2312" w:cs="仿宋"/>
          <w:color w:val="0C0C0C" w:themeColor="text1" w:themeTint="F2"/>
          <w:sz w:val="32"/>
          <w:szCs w:val="32"/>
        </w:rPr>
        <w:t>行政审批事项和行政服务事项入驻服务大厅后，不断规范和改进行政审批，加强行政审批事中事后监管，通过减少前置审批条件、办理环节精简合并和流程再造等方式进一步简化审批程序、提高事项进驻率。注重加强政务服务综合标准化建设，制定</w:t>
      </w:r>
      <w:r>
        <w:rPr>
          <w:rFonts w:hint="eastAsia" w:ascii="仿宋_GB2312" w:hAnsi="仿宋_GB2312" w:eastAsia="仿宋_GB2312" w:cs="仿宋_GB2312"/>
          <w:color w:val="0C0C0C" w:themeColor="text1" w:themeTint="F2"/>
          <w:sz w:val="32"/>
          <w:szCs w:val="32"/>
        </w:rPr>
        <w:t>应急管理局</w:t>
      </w:r>
      <w:r>
        <w:rPr>
          <w:rFonts w:hint="eastAsia" w:ascii="仿宋_GB2312" w:hAnsi="仿宋" w:eastAsia="仿宋_GB2312" w:cs="仿宋"/>
          <w:color w:val="0C0C0C" w:themeColor="text1" w:themeTint="F2"/>
          <w:sz w:val="32"/>
          <w:szCs w:val="32"/>
        </w:rPr>
        <w:t>行政许可、服务事项服务规程，制定服务告知单，有效推动窗口服务标准化。</w:t>
      </w:r>
    </w:p>
    <w:p>
      <w:pPr>
        <w:spacing w:line="520" w:lineRule="exact"/>
        <w:ind w:firstLine="643" w:firstLineChars="200"/>
        <w:rPr>
          <w:rFonts w:ascii="仿宋_GB2312" w:hAnsi="仿宋" w:eastAsia="仿宋_GB2312" w:cs="仿宋"/>
          <w:color w:val="0C0C0C" w:themeColor="text1" w:themeTint="F2"/>
          <w:sz w:val="32"/>
          <w:szCs w:val="32"/>
        </w:rPr>
      </w:pPr>
      <w:r>
        <w:rPr>
          <w:rFonts w:hint="eastAsia" w:ascii="仿宋_GB2312" w:hAnsi="仿宋" w:eastAsia="仿宋_GB2312" w:cs="仿宋"/>
          <w:b/>
          <w:color w:val="0C0C0C" w:themeColor="text1" w:themeTint="F2"/>
          <w:sz w:val="32"/>
          <w:szCs w:val="32"/>
        </w:rPr>
        <w:t>2、推进财政资金信息公开。</w:t>
      </w:r>
      <w:r>
        <w:rPr>
          <w:rFonts w:hint="eastAsia" w:ascii="仿宋_GB2312" w:hAnsi="仿宋" w:eastAsia="仿宋_GB2312" w:cs="仿宋"/>
          <w:color w:val="0C0C0C" w:themeColor="text1" w:themeTint="F2"/>
          <w:sz w:val="32"/>
          <w:szCs w:val="32"/>
        </w:rPr>
        <w:t>及时公开本部门的财政预算并细化公开到支出功能分类的项级科目。</w:t>
      </w:r>
    </w:p>
    <w:p>
      <w:pPr>
        <w:spacing w:line="520" w:lineRule="exact"/>
        <w:ind w:firstLine="643" w:firstLineChars="200"/>
        <w:rPr>
          <w:rFonts w:ascii="仿宋_GB2312" w:hAnsi="仿宋" w:eastAsia="仿宋_GB2312" w:cs="仿宋"/>
          <w:color w:val="0C0C0C" w:themeColor="text1" w:themeTint="F2"/>
          <w:sz w:val="32"/>
          <w:szCs w:val="32"/>
        </w:rPr>
      </w:pPr>
      <w:r>
        <w:rPr>
          <w:rFonts w:hint="eastAsia" w:ascii="仿宋_GB2312" w:hAnsi="仿宋" w:eastAsia="仿宋_GB2312" w:cs="仿宋"/>
          <w:b/>
          <w:color w:val="0C0C0C" w:themeColor="text1" w:themeTint="F2"/>
          <w:sz w:val="32"/>
          <w:szCs w:val="32"/>
        </w:rPr>
        <w:t>3、全面推进安全生产信息公开。</w:t>
      </w:r>
      <w:r>
        <w:rPr>
          <w:rFonts w:hint="eastAsia" w:ascii="仿宋_GB2312" w:hAnsi="仿宋" w:eastAsia="仿宋_GB2312" w:cs="仿宋"/>
          <w:color w:val="0C0C0C" w:themeColor="text1" w:themeTint="F2"/>
          <w:sz w:val="32"/>
          <w:szCs w:val="32"/>
        </w:rPr>
        <w:t>突出抓好非煤矿山、危险化学品、烟花爆竹等重点行业安全整治情况信息公开工作。依法依规全面做好事故调查报告公开，进一步加强自然灾害综合预警信息发布，推行安全生产重大事故隐患以及挂牌督办信息公开。加大对严重忽视安全生产的企业、性质严重的安全生产违法行为和可能酿成重特大事故的安全隐患曝光力度。按照有关规定，积极、稳妥、及时做好公开重大安全生产事故和突发公共事件应急救援、现场救援、医疗救护、环境监测、物资供应、善后处理等有关信息。</w:t>
      </w:r>
    </w:p>
    <w:p>
      <w:pPr>
        <w:spacing w:line="520" w:lineRule="exact"/>
        <w:ind w:firstLine="640" w:firstLineChars="200"/>
        <w:rPr>
          <w:rFonts w:ascii="黑体" w:hAnsi="黑体" w:eastAsia="黑体" w:cs="黑体"/>
          <w:color w:val="0C0C0C" w:themeColor="text1" w:themeTint="F2"/>
          <w:sz w:val="32"/>
          <w:szCs w:val="32"/>
        </w:rPr>
      </w:pPr>
      <w:r>
        <w:rPr>
          <w:rFonts w:hint="eastAsia" w:ascii="黑体" w:hAnsi="黑体" w:eastAsia="黑体" w:cs="黑体"/>
          <w:color w:val="0C0C0C" w:themeColor="text1" w:themeTint="F2"/>
          <w:sz w:val="32"/>
          <w:szCs w:val="32"/>
        </w:rPr>
        <w:t>二、主动公开政府信息情况</w:t>
      </w:r>
    </w:p>
    <w:tbl>
      <w:tblPr>
        <w:tblStyle w:val="6"/>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180"/>
        <w:gridCol w:w="2180"/>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720" w:type="dxa"/>
            <w:gridSpan w:val="4"/>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信息内容</w:t>
            </w:r>
          </w:p>
        </w:tc>
        <w:tc>
          <w:tcPr>
            <w:tcW w:w="2180"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本年</w:t>
            </w:r>
          </w:p>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制发数量</w:t>
            </w:r>
          </w:p>
        </w:tc>
        <w:tc>
          <w:tcPr>
            <w:tcW w:w="2180"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本年</w:t>
            </w:r>
          </w:p>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废止件数</w:t>
            </w:r>
          </w:p>
        </w:tc>
        <w:tc>
          <w:tcPr>
            <w:tcW w:w="2180"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规章</w:t>
            </w:r>
          </w:p>
        </w:tc>
        <w:tc>
          <w:tcPr>
            <w:tcW w:w="2180"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0</w:t>
            </w:r>
          </w:p>
        </w:tc>
        <w:tc>
          <w:tcPr>
            <w:tcW w:w="2180"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0</w:t>
            </w:r>
          </w:p>
        </w:tc>
        <w:tc>
          <w:tcPr>
            <w:tcW w:w="2180"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规范性文件</w:t>
            </w:r>
          </w:p>
        </w:tc>
        <w:tc>
          <w:tcPr>
            <w:tcW w:w="2180"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17</w:t>
            </w:r>
          </w:p>
        </w:tc>
        <w:tc>
          <w:tcPr>
            <w:tcW w:w="2180"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0</w:t>
            </w:r>
          </w:p>
        </w:tc>
        <w:tc>
          <w:tcPr>
            <w:tcW w:w="2180"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720" w:type="dxa"/>
            <w:gridSpan w:val="4"/>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信息内容</w:t>
            </w:r>
          </w:p>
        </w:tc>
        <w:tc>
          <w:tcPr>
            <w:tcW w:w="6540" w:type="dxa"/>
            <w:gridSpan w:val="3"/>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行政许可</w:t>
            </w:r>
          </w:p>
        </w:tc>
        <w:tc>
          <w:tcPr>
            <w:tcW w:w="6540" w:type="dxa"/>
            <w:gridSpan w:val="3"/>
            <w:noWrap/>
            <w:vAlign w:val="center"/>
          </w:tcPr>
          <w:p>
            <w:pPr>
              <w:spacing w:line="52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其他对外管理服务事项</w:t>
            </w:r>
          </w:p>
        </w:tc>
        <w:tc>
          <w:tcPr>
            <w:tcW w:w="6540" w:type="dxa"/>
            <w:gridSpan w:val="3"/>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720" w:type="dxa"/>
            <w:gridSpan w:val="4"/>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0"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信息内容</w:t>
            </w:r>
          </w:p>
        </w:tc>
        <w:tc>
          <w:tcPr>
            <w:tcW w:w="6540" w:type="dxa"/>
            <w:gridSpan w:val="3"/>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行政处罚</w:t>
            </w:r>
          </w:p>
        </w:tc>
        <w:tc>
          <w:tcPr>
            <w:tcW w:w="6540" w:type="dxa"/>
            <w:gridSpan w:val="3"/>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行政强制</w:t>
            </w:r>
          </w:p>
        </w:tc>
        <w:tc>
          <w:tcPr>
            <w:tcW w:w="6540" w:type="dxa"/>
            <w:gridSpan w:val="3"/>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720" w:type="dxa"/>
            <w:gridSpan w:val="4"/>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信息内容</w:t>
            </w:r>
          </w:p>
        </w:tc>
        <w:tc>
          <w:tcPr>
            <w:tcW w:w="6540" w:type="dxa"/>
            <w:gridSpan w:val="3"/>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ascii="仿宋_GB2312" w:hAnsi="仿宋_GB2312" w:eastAsia="仿宋_GB2312" w:cs="仿宋_GB2312"/>
                <w:color w:val="0C0C0C" w:themeColor="text1" w:themeTint="F2"/>
                <w:sz w:val="30"/>
                <w:szCs w:val="3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w w:val="90"/>
                <w:sz w:val="30"/>
                <w:szCs w:val="30"/>
              </w:rPr>
              <w:t>行政事业性收费</w:t>
            </w:r>
          </w:p>
        </w:tc>
        <w:tc>
          <w:tcPr>
            <w:tcW w:w="6540" w:type="dxa"/>
            <w:gridSpan w:val="3"/>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0</w:t>
            </w:r>
          </w:p>
        </w:tc>
      </w:tr>
    </w:tbl>
    <w:p>
      <w:pPr>
        <w:spacing w:line="520" w:lineRule="exact"/>
        <w:ind w:firstLine="640" w:firstLineChars="200"/>
        <w:rPr>
          <w:rFonts w:ascii="黑体" w:hAnsi="黑体" w:eastAsia="黑体" w:cs="黑体"/>
          <w:color w:val="0C0C0C" w:themeColor="text1" w:themeTint="F2"/>
          <w:sz w:val="32"/>
          <w:szCs w:val="32"/>
        </w:rPr>
      </w:pPr>
      <w:r>
        <w:rPr>
          <w:rFonts w:hint="eastAsia" w:ascii="黑体" w:hAnsi="黑体" w:eastAsia="黑体" w:cs="黑体"/>
          <w:color w:val="0C0C0C" w:themeColor="text1" w:themeTint="F2"/>
          <w:sz w:val="32"/>
          <w:szCs w:val="32"/>
        </w:rPr>
        <w:t>三、收到和处理政府信息公开申请情况</w:t>
      </w:r>
    </w:p>
    <w:tbl>
      <w:tblPr>
        <w:tblStyle w:val="6"/>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796"/>
        <w:gridCol w:w="50"/>
        <w:gridCol w:w="2943"/>
        <w:gridCol w:w="405"/>
        <w:gridCol w:w="570"/>
        <w:gridCol w:w="510"/>
        <w:gridCol w:w="840"/>
        <w:gridCol w:w="825"/>
        <w:gridCol w:w="416"/>
        <w:gridCol w:w="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4519" w:type="dxa"/>
            <w:gridSpan w:val="4"/>
            <w:vMerge w:val="restart"/>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（本列数据的勾稽关系为：第一项加第二项之和，等于第三项加第四项之和）</w:t>
            </w:r>
          </w:p>
        </w:tc>
        <w:tc>
          <w:tcPr>
            <w:tcW w:w="4101" w:type="dxa"/>
            <w:gridSpan w:val="7"/>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4519" w:type="dxa"/>
            <w:gridSpan w:val="4"/>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405" w:type="dxa"/>
            <w:vMerge w:val="restart"/>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自</w:t>
            </w:r>
          </w:p>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然</w:t>
            </w:r>
          </w:p>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人</w:t>
            </w:r>
          </w:p>
        </w:tc>
        <w:tc>
          <w:tcPr>
            <w:tcW w:w="3161" w:type="dxa"/>
            <w:gridSpan w:val="5"/>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法人或其他组织</w:t>
            </w:r>
          </w:p>
        </w:tc>
        <w:tc>
          <w:tcPr>
            <w:tcW w:w="535" w:type="dxa"/>
            <w:vMerge w:val="restart"/>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总</w:t>
            </w:r>
          </w:p>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9" w:hRule="atLeast"/>
        </w:trPr>
        <w:tc>
          <w:tcPr>
            <w:tcW w:w="4519" w:type="dxa"/>
            <w:gridSpan w:val="4"/>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405" w:type="dxa"/>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570" w:type="dxa"/>
            <w:noWrap/>
            <w:vAlign w:val="center"/>
          </w:tcPr>
          <w:p>
            <w:pPr>
              <w:spacing w:line="520" w:lineRule="exact"/>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商业企业</w:t>
            </w:r>
          </w:p>
        </w:tc>
        <w:tc>
          <w:tcPr>
            <w:tcW w:w="510" w:type="dxa"/>
            <w:noWrap/>
            <w:vAlign w:val="center"/>
          </w:tcPr>
          <w:p>
            <w:pPr>
              <w:spacing w:line="520" w:lineRule="exact"/>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科研机构</w:t>
            </w:r>
          </w:p>
        </w:tc>
        <w:tc>
          <w:tcPr>
            <w:tcW w:w="840" w:type="dxa"/>
            <w:noWrap/>
            <w:vAlign w:val="center"/>
          </w:tcPr>
          <w:p>
            <w:pPr>
              <w:spacing w:line="520" w:lineRule="exact"/>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社会公益组织</w:t>
            </w:r>
          </w:p>
        </w:tc>
        <w:tc>
          <w:tcPr>
            <w:tcW w:w="825" w:type="dxa"/>
            <w:noWrap/>
            <w:vAlign w:val="center"/>
          </w:tcPr>
          <w:p>
            <w:pPr>
              <w:spacing w:line="520" w:lineRule="exact"/>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法律服务机构</w:t>
            </w:r>
          </w:p>
        </w:tc>
        <w:tc>
          <w:tcPr>
            <w:tcW w:w="416" w:type="dxa"/>
            <w:noWrap/>
            <w:vAlign w:val="center"/>
          </w:tcPr>
          <w:p>
            <w:pPr>
              <w:spacing w:line="520" w:lineRule="exact"/>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其他</w:t>
            </w:r>
          </w:p>
        </w:tc>
        <w:tc>
          <w:tcPr>
            <w:tcW w:w="535" w:type="dxa"/>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4519" w:type="dxa"/>
            <w:gridSpan w:val="4"/>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w w:val="90"/>
                <w:sz w:val="30"/>
                <w:szCs w:val="30"/>
              </w:rPr>
              <w:t>一、本年新收政府信息公开申请数量</w:t>
            </w:r>
          </w:p>
        </w:tc>
        <w:tc>
          <w:tcPr>
            <w:tcW w:w="40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57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1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4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25"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416"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3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4519" w:type="dxa"/>
            <w:gridSpan w:val="4"/>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w w:val="90"/>
                <w:sz w:val="30"/>
                <w:szCs w:val="30"/>
              </w:rPr>
              <w:t>二、上年结转政府信息公开申请数量</w:t>
            </w:r>
          </w:p>
        </w:tc>
        <w:tc>
          <w:tcPr>
            <w:tcW w:w="40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57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1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4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25"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416"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3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730" w:type="dxa"/>
            <w:vMerge w:val="restart"/>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三、本年度办理结果</w:t>
            </w:r>
          </w:p>
        </w:tc>
        <w:tc>
          <w:tcPr>
            <w:tcW w:w="3789" w:type="dxa"/>
            <w:gridSpan w:val="3"/>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（一）予以公开</w:t>
            </w:r>
          </w:p>
        </w:tc>
        <w:tc>
          <w:tcPr>
            <w:tcW w:w="40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57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1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4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25"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416"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3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0" w:hRule="atLeast"/>
        </w:trPr>
        <w:tc>
          <w:tcPr>
            <w:tcW w:w="730" w:type="dxa"/>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3789" w:type="dxa"/>
            <w:gridSpan w:val="3"/>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（二）部分公开（区分处理的，只计这一情形，不计其他情形）</w:t>
            </w:r>
          </w:p>
        </w:tc>
        <w:tc>
          <w:tcPr>
            <w:tcW w:w="40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57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1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4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25"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416"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3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846" w:type="dxa"/>
            <w:gridSpan w:val="2"/>
            <w:vMerge w:val="restart"/>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（三）不予公开</w:t>
            </w:r>
          </w:p>
        </w:tc>
        <w:tc>
          <w:tcPr>
            <w:tcW w:w="2943"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1、属于国家秘密</w:t>
            </w:r>
          </w:p>
        </w:tc>
        <w:tc>
          <w:tcPr>
            <w:tcW w:w="40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57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1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4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25"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416"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3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846" w:type="dxa"/>
            <w:gridSpan w:val="2"/>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2943"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2、其他法律行政法规禁止公开</w:t>
            </w:r>
          </w:p>
        </w:tc>
        <w:tc>
          <w:tcPr>
            <w:tcW w:w="40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57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1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4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25"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416"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3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846" w:type="dxa"/>
            <w:gridSpan w:val="2"/>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2943" w:type="dxa"/>
            <w:noWrap/>
            <w:vAlign w:val="center"/>
          </w:tcPr>
          <w:p>
            <w:pPr>
              <w:spacing w:line="520" w:lineRule="exact"/>
              <w:jc w:val="center"/>
              <w:rPr>
                <w:rFonts w:ascii="仿宋_GB2312" w:hAnsi="仿宋_GB2312" w:eastAsia="仿宋_GB2312" w:cs="仿宋_GB2312"/>
                <w:color w:val="0C0C0C" w:themeColor="text1" w:themeTint="F2"/>
                <w:w w:val="90"/>
                <w:sz w:val="30"/>
                <w:szCs w:val="30"/>
              </w:rPr>
            </w:pPr>
            <w:r>
              <w:rPr>
                <w:rFonts w:hint="eastAsia" w:ascii="仿宋_GB2312" w:hAnsi="仿宋_GB2312" w:eastAsia="仿宋_GB2312" w:cs="仿宋_GB2312"/>
                <w:color w:val="0C0C0C" w:themeColor="text1" w:themeTint="F2"/>
                <w:w w:val="90"/>
                <w:sz w:val="30"/>
                <w:szCs w:val="30"/>
              </w:rPr>
              <w:t>3、危及“三安全一稳定”</w:t>
            </w:r>
          </w:p>
        </w:tc>
        <w:tc>
          <w:tcPr>
            <w:tcW w:w="40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57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1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4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25"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416"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3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846" w:type="dxa"/>
            <w:gridSpan w:val="2"/>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2943" w:type="dxa"/>
            <w:noWrap/>
            <w:vAlign w:val="center"/>
          </w:tcPr>
          <w:p>
            <w:pPr>
              <w:spacing w:line="520" w:lineRule="exact"/>
              <w:jc w:val="center"/>
              <w:rPr>
                <w:rFonts w:ascii="仿宋_GB2312" w:hAnsi="仿宋_GB2312" w:eastAsia="仿宋_GB2312" w:cs="仿宋_GB2312"/>
                <w:color w:val="0C0C0C" w:themeColor="text1" w:themeTint="F2"/>
                <w:w w:val="90"/>
                <w:sz w:val="30"/>
                <w:szCs w:val="30"/>
              </w:rPr>
            </w:pPr>
            <w:r>
              <w:rPr>
                <w:rFonts w:hint="eastAsia" w:ascii="仿宋_GB2312" w:hAnsi="仿宋_GB2312" w:eastAsia="仿宋_GB2312" w:cs="仿宋_GB2312"/>
                <w:color w:val="0C0C0C" w:themeColor="text1" w:themeTint="F2"/>
                <w:w w:val="90"/>
                <w:sz w:val="30"/>
                <w:szCs w:val="30"/>
              </w:rPr>
              <w:t>4、保护第三方合法权益</w:t>
            </w:r>
          </w:p>
        </w:tc>
        <w:tc>
          <w:tcPr>
            <w:tcW w:w="40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57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1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4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25"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416"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3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846" w:type="dxa"/>
            <w:gridSpan w:val="2"/>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2943"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5、属于三类内部事务信息</w:t>
            </w:r>
          </w:p>
        </w:tc>
        <w:tc>
          <w:tcPr>
            <w:tcW w:w="40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57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1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4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25"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416"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3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846" w:type="dxa"/>
            <w:gridSpan w:val="2"/>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2943"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w w:val="90"/>
                <w:sz w:val="30"/>
                <w:szCs w:val="30"/>
              </w:rPr>
              <w:t>6、属于四类过程性信息</w:t>
            </w:r>
          </w:p>
        </w:tc>
        <w:tc>
          <w:tcPr>
            <w:tcW w:w="40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57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1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4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25"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416"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3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846" w:type="dxa"/>
            <w:gridSpan w:val="2"/>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2943"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7、属于行政执法案卷</w:t>
            </w:r>
          </w:p>
        </w:tc>
        <w:tc>
          <w:tcPr>
            <w:tcW w:w="40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57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1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4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25"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416"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3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846" w:type="dxa"/>
            <w:gridSpan w:val="2"/>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2943"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8、属于行政查询事项</w:t>
            </w:r>
          </w:p>
        </w:tc>
        <w:tc>
          <w:tcPr>
            <w:tcW w:w="40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57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1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4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25"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416"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3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846" w:type="dxa"/>
            <w:gridSpan w:val="2"/>
            <w:vMerge w:val="restart"/>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（四）无法提供</w:t>
            </w:r>
          </w:p>
        </w:tc>
        <w:tc>
          <w:tcPr>
            <w:tcW w:w="2943"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1、本机关不掌握相关政府信息</w:t>
            </w:r>
          </w:p>
        </w:tc>
        <w:tc>
          <w:tcPr>
            <w:tcW w:w="40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57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1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4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25"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416"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3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846" w:type="dxa"/>
            <w:gridSpan w:val="2"/>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2943"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2、没有现成信息需要另行制作</w:t>
            </w:r>
          </w:p>
        </w:tc>
        <w:tc>
          <w:tcPr>
            <w:tcW w:w="40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57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1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4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25"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416"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3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846" w:type="dxa"/>
            <w:gridSpan w:val="2"/>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2943"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3、补正后申请内容仍不明确</w:t>
            </w:r>
          </w:p>
        </w:tc>
        <w:tc>
          <w:tcPr>
            <w:tcW w:w="40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57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1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4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25"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416"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3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846" w:type="dxa"/>
            <w:gridSpan w:val="2"/>
            <w:vMerge w:val="restart"/>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（五）不予处理</w:t>
            </w:r>
          </w:p>
        </w:tc>
        <w:tc>
          <w:tcPr>
            <w:tcW w:w="2943"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w w:val="90"/>
                <w:sz w:val="30"/>
                <w:szCs w:val="30"/>
              </w:rPr>
              <w:t>1、信访举报投诉类申请</w:t>
            </w:r>
          </w:p>
        </w:tc>
        <w:tc>
          <w:tcPr>
            <w:tcW w:w="40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57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1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4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25"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416"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3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846" w:type="dxa"/>
            <w:gridSpan w:val="2"/>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2943"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2、重复申请</w:t>
            </w:r>
          </w:p>
        </w:tc>
        <w:tc>
          <w:tcPr>
            <w:tcW w:w="40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57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1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4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25"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416"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3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846" w:type="dxa"/>
            <w:gridSpan w:val="2"/>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2943"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w w:val="90"/>
                <w:sz w:val="30"/>
                <w:szCs w:val="30"/>
              </w:rPr>
              <w:t>3、要求提供公开出版物</w:t>
            </w:r>
          </w:p>
        </w:tc>
        <w:tc>
          <w:tcPr>
            <w:tcW w:w="40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57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1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4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25"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416"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3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846" w:type="dxa"/>
            <w:gridSpan w:val="2"/>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2943"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4、无正当理由大量反复申请</w:t>
            </w:r>
          </w:p>
        </w:tc>
        <w:tc>
          <w:tcPr>
            <w:tcW w:w="40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57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1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4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25"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416"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3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846" w:type="dxa"/>
            <w:gridSpan w:val="2"/>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2943"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w w:val="90"/>
                <w:sz w:val="30"/>
                <w:szCs w:val="30"/>
              </w:rPr>
              <w:t>5、要求行政机关确认或重新出具已获取信息</w:t>
            </w:r>
          </w:p>
        </w:tc>
        <w:tc>
          <w:tcPr>
            <w:tcW w:w="40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57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1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4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25"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416"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3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730" w:type="dxa"/>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796" w:type="dxa"/>
            <w:vMerge w:val="restart"/>
            <w:noWrap/>
            <w:vAlign w:val="center"/>
          </w:tcPr>
          <w:p>
            <w:pPr>
              <w:spacing w:line="520" w:lineRule="exact"/>
              <w:jc w:val="center"/>
              <w:rPr>
                <w:rFonts w:ascii="仿宋_GB2312" w:hAnsi="仿宋_GB2312" w:eastAsia="仿宋_GB2312" w:cs="仿宋_GB2312"/>
                <w:color w:val="0C0C0C" w:themeColor="text1" w:themeTint="F2"/>
                <w:szCs w:val="21"/>
              </w:rPr>
            </w:pPr>
            <w:r>
              <w:rPr>
                <w:rFonts w:ascii="仿宋_GB2312" w:hAnsi="仿宋_GB2312" w:eastAsia="仿宋_GB2312" w:cs="仿宋_GB2312"/>
                <w:color w:val="0C0C0C" w:themeColor="text1" w:themeTint="F2"/>
                <w:szCs w:val="21"/>
              </w:rPr>
              <w:t>（六）其他处理</w:t>
            </w:r>
          </w:p>
        </w:tc>
        <w:tc>
          <w:tcPr>
            <w:tcW w:w="2993" w:type="dxa"/>
            <w:gridSpan w:val="2"/>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1.申请人无正当理由逾期不补正、行政机关不再处理其政府信息公开申请</w:t>
            </w:r>
          </w:p>
        </w:tc>
        <w:tc>
          <w:tcPr>
            <w:tcW w:w="40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57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1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4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25"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416"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3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730" w:type="dxa"/>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796" w:type="dxa"/>
            <w:vMerge w:val="continue"/>
            <w:noWrap/>
            <w:vAlign w:val="center"/>
          </w:tcPr>
          <w:p>
            <w:pPr>
              <w:spacing w:line="520" w:lineRule="exact"/>
              <w:jc w:val="center"/>
              <w:rPr>
                <w:rFonts w:hint="eastAsia" w:ascii="仿宋_GB2312" w:hAnsi="仿宋_GB2312" w:eastAsia="仿宋_GB2312" w:cs="仿宋_GB2312"/>
                <w:color w:val="0C0C0C" w:themeColor="text1" w:themeTint="F2"/>
                <w:sz w:val="30"/>
                <w:szCs w:val="30"/>
              </w:rPr>
            </w:pPr>
          </w:p>
        </w:tc>
        <w:tc>
          <w:tcPr>
            <w:tcW w:w="2993" w:type="dxa"/>
            <w:gridSpan w:val="2"/>
            <w:vAlign w:val="center"/>
          </w:tcPr>
          <w:p>
            <w:pPr>
              <w:spacing w:line="520" w:lineRule="exact"/>
              <w:jc w:val="center"/>
              <w:rPr>
                <w:rFonts w:hint="eastAsia"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2.申请人逾期未按收费通知要求缴纳费用、行政机关不再处理其政府信息公开申请</w:t>
            </w:r>
          </w:p>
        </w:tc>
        <w:tc>
          <w:tcPr>
            <w:tcW w:w="40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57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1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4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25"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416"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3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730" w:type="dxa"/>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796" w:type="dxa"/>
            <w:vMerge w:val="continue"/>
            <w:noWrap/>
            <w:vAlign w:val="center"/>
          </w:tcPr>
          <w:p>
            <w:pPr>
              <w:spacing w:line="520" w:lineRule="exact"/>
              <w:jc w:val="center"/>
              <w:rPr>
                <w:rFonts w:hint="eastAsia" w:ascii="仿宋_GB2312" w:hAnsi="仿宋_GB2312" w:eastAsia="仿宋_GB2312" w:cs="仿宋_GB2312"/>
                <w:color w:val="0C0C0C" w:themeColor="text1" w:themeTint="F2"/>
                <w:sz w:val="30"/>
                <w:szCs w:val="30"/>
              </w:rPr>
            </w:pPr>
          </w:p>
        </w:tc>
        <w:tc>
          <w:tcPr>
            <w:tcW w:w="2993" w:type="dxa"/>
            <w:gridSpan w:val="2"/>
            <w:vAlign w:val="center"/>
          </w:tcPr>
          <w:p>
            <w:pPr>
              <w:spacing w:line="520" w:lineRule="exact"/>
              <w:rPr>
                <w:rFonts w:hint="eastAsia"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3.其他</w:t>
            </w:r>
          </w:p>
        </w:tc>
        <w:tc>
          <w:tcPr>
            <w:tcW w:w="40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57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1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4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25"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416"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3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3789" w:type="dxa"/>
            <w:gridSpan w:val="3"/>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（七）总计</w:t>
            </w:r>
          </w:p>
        </w:tc>
        <w:tc>
          <w:tcPr>
            <w:tcW w:w="40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57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1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4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25"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416"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3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9" w:type="dxa"/>
            <w:gridSpan w:val="4"/>
            <w:noWrap/>
            <w:vAlign w:val="center"/>
          </w:tcPr>
          <w:p>
            <w:pPr>
              <w:spacing w:line="520" w:lineRule="exact"/>
              <w:jc w:val="center"/>
              <w:rPr>
                <w:rFonts w:hint="eastAsia"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四、结转下年度继续办理</w:t>
            </w:r>
          </w:p>
        </w:tc>
        <w:tc>
          <w:tcPr>
            <w:tcW w:w="40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57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1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40"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825"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416" w:type="dxa"/>
            <w:noWrap/>
            <w:vAlign w:val="center"/>
          </w:tcPr>
          <w:p>
            <w:pPr>
              <w:spacing w:line="520" w:lineRule="exact"/>
              <w:rPr>
                <w:rFonts w:ascii="仿宋_GB2312" w:hAnsi="仿宋_GB2312" w:eastAsia="仿宋_GB2312" w:cs="仿宋_GB2312"/>
                <w:color w:val="0C0C0C" w:themeColor="text1" w:themeTint="F2"/>
                <w:sz w:val="30"/>
                <w:szCs w:val="30"/>
              </w:rPr>
            </w:pPr>
          </w:p>
        </w:tc>
        <w:tc>
          <w:tcPr>
            <w:tcW w:w="535" w:type="dxa"/>
            <w:noWrap/>
            <w:vAlign w:val="center"/>
          </w:tcPr>
          <w:p>
            <w:pPr>
              <w:spacing w:line="520" w:lineRule="exact"/>
              <w:jc w:val="center"/>
              <w:rPr>
                <w:rFonts w:ascii="仿宋_GB2312" w:hAnsi="仿宋_GB2312" w:eastAsia="仿宋_GB2312" w:cs="仿宋_GB2312"/>
                <w:color w:val="0C0C0C" w:themeColor="text1" w:themeTint="F2"/>
                <w:sz w:val="30"/>
                <w:szCs w:val="30"/>
              </w:rPr>
            </w:pPr>
          </w:p>
        </w:tc>
      </w:tr>
    </w:tbl>
    <w:p>
      <w:pPr>
        <w:spacing w:line="520" w:lineRule="exact"/>
        <w:ind w:firstLine="640" w:firstLineChars="200"/>
        <w:rPr>
          <w:rFonts w:ascii="黑体" w:hAnsi="黑体" w:eastAsia="黑体" w:cs="黑体"/>
          <w:color w:val="0C0C0C" w:themeColor="text1" w:themeTint="F2"/>
          <w:sz w:val="32"/>
          <w:szCs w:val="32"/>
        </w:rPr>
      </w:pPr>
      <w:r>
        <w:rPr>
          <w:rFonts w:hint="eastAsia" w:ascii="黑体" w:hAnsi="黑体" w:eastAsia="黑体" w:cs="黑体"/>
          <w:color w:val="0C0C0C" w:themeColor="text1" w:themeTint="F2"/>
          <w:sz w:val="32"/>
          <w:szCs w:val="32"/>
        </w:rPr>
        <w:t>四、政府信息公开行政复议、行政诉讼情况</w:t>
      </w:r>
    </w:p>
    <w:tbl>
      <w:tblPr>
        <w:tblStyle w:val="6"/>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588"/>
        <w:gridCol w:w="586"/>
        <w:gridCol w:w="587"/>
        <w:gridCol w:w="586"/>
        <w:gridCol w:w="585"/>
        <w:gridCol w:w="587"/>
        <w:gridCol w:w="587"/>
        <w:gridCol w:w="587"/>
        <w:gridCol w:w="584"/>
        <w:gridCol w:w="581"/>
        <w:gridCol w:w="581"/>
        <w:gridCol w:w="581"/>
        <w:gridCol w:w="578"/>
        <w:gridCol w:w="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2931" w:type="dxa"/>
            <w:gridSpan w:val="5"/>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行政复议</w:t>
            </w:r>
          </w:p>
        </w:tc>
        <w:tc>
          <w:tcPr>
            <w:tcW w:w="5829" w:type="dxa"/>
            <w:gridSpan w:val="10"/>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584" w:type="dxa"/>
            <w:vMerge w:val="restart"/>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结果维持</w:t>
            </w:r>
          </w:p>
        </w:tc>
        <w:tc>
          <w:tcPr>
            <w:tcW w:w="588" w:type="dxa"/>
            <w:vMerge w:val="restart"/>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结果纠正</w:t>
            </w:r>
          </w:p>
        </w:tc>
        <w:tc>
          <w:tcPr>
            <w:tcW w:w="586" w:type="dxa"/>
            <w:vMerge w:val="restart"/>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其他结果</w:t>
            </w:r>
          </w:p>
        </w:tc>
        <w:tc>
          <w:tcPr>
            <w:tcW w:w="587" w:type="dxa"/>
            <w:vMerge w:val="restart"/>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尚未审结</w:t>
            </w:r>
          </w:p>
        </w:tc>
        <w:tc>
          <w:tcPr>
            <w:tcW w:w="586" w:type="dxa"/>
            <w:vMerge w:val="restart"/>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总计</w:t>
            </w:r>
          </w:p>
        </w:tc>
        <w:tc>
          <w:tcPr>
            <w:tcW w:w="2930" w:type="dxa"/>
            <w:gridSpan w:val="5"/>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未经复议直接起诉</w:t>
            </w:r>
          </w:p>
        </w:tc>
        <w:tc>
          <w:tcPr>
            <w:tcW w:w="2899" w:type="dxa"/>
            <w:gridSpan w:val="5"/>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2" w:hRule="atLeast"/>
        </w:trPr>
        <w:tc>
          <w:tcPr>
            <w:tcW w:w="584" w:type="dxa"/>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588" w:type="dxa"/>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586" w:type="dxa"/>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587" w:type="dxa"/>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586" w:type="dxa"/>
            <w:vMerge w:val="continue"/>
            <w:noWrap/>
            <w:vAlign w:val="center"/>
          </w:tcPr>
          <w:p>
            <w:pPr>
              <w:spacing w:line="520" w:lineRule="exact"/>
              <w:jc w:val="center"/>
              <w:rPr>
                <w:rFonts w:ascii="仿宋_GB2312" w:hAnsi="仿宋_GB2312" w:eastAsia="仿宋_GB2312" w:cs="仿宋_GB2312"/>
                <w:color w:val="0C0C0C" w:themeColor="text1" w:themeTint="F2"/>
                <w:sz w:val="30"/>
                <w:szCs w:val="30"/>
              </w:rPr>
            </w:pPr>
          </w:p>
        </w:tc>
        <w:tc>
          <w:tcPr>
            <w:tcW w:w="585"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结果维持</w:t>
            </w:r>
          </w:p>
        </w:tc>
        <w:tc>
          <w:tcPr>
            <w:tcW w:w="587"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结果纠正</w:t>
            </w:r>
          </w:p>
        </w:tc>
        <w:tc>
          <w:tcPr>
            <w:tcW w:w="587"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其他结果</w:t>
            </w:r>
          </w:p>
        </w:tc>
        <w:tc>
          <w:tcPr>
            <w:tcW w:w="587"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尚未审结</w:t>
            </w:r>
          </w:p>
        </w:tc>
        <w:tc>
          <w:tcPr>
            <w:tcW w:w="584"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总计</w:t>
            </w:r>
          </w:p>
        </w:tc>
        <w:tc>
          <w:tcPr>
            <w:tcW w:w="581"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结果维持</w:t>
            </w:r>
          </w:p>
        </w:tc>
        <w:tc>
          <w:tcPr>
            <w:tcW w:w="581"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结果纠正</w:t>
            </w:r>
          </w:p>
        </w:tc>
        <w:tc>
          <w:tcPr>
            <w:tcW w:w="581"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其他结果</w:t>
            </w:r>
          </w:p>
        </w:tc>
        <w:tc>
          <w:tcPr>
            <w:tcW w:w="578"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尚未审结</w:t>
            </w:r>
          </w:p>
        </w:tc>
        <w:tc>
          <w:tcPr>
            <w:tcW w:w="578"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rPr>
        <w:tc>
          <w:tcPr>
            <w:tcW w:w="584"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0</w:t>
            </w:r>
          </w:p>
        </w:tc>
        <w:tc>
          <w:tcPr>
            <w:tcW w:w="588"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0</w:t>
            </w:r>
          </w:p>
        </w:tc>
        <w:tc>
          <w:tcPr>
            <w:tcW w:w="586"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0</w:t>
            </w:r>
          </w:p>
        </w:tc>
        <w:tc>
          <w:tcPr>
            <w:tcW w:w="587"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0</w:t>
            </w:r>
          </w:p>
        </w:tc>
        <w:tc>
          <w:tcPr>
            <w:tcW w:w="586"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0</w:t>
            </w:r>
          </w:p>
        </w:tc>
        <w:tc>
          <w:tcPr>
            <w:tcW w:w="585"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0</w:t>
            </w:r>
          </w:p>
        </w:tc>
        <w:tc>
          <w:tcPr>
            <w:tcW w:w="587"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0</w:t>
            </w:r>
          </w:p>
        </w:tc>
        <w:tc>
          <w:tcPr>
            <w:tcW w:w="587"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0</w:t>
            </w:r>
          </w:p>
        </w:tc>
        <w:tc>
          <w:tcPr>
            <w:tcW w:w="587"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0</w:t>
            </w:r>
          </w:p>
        </w:tc>
        <w:tc>
          <w:tcPr>
            <w:tcW w:w="584"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0</w:t>
            </w:r>
          </w:p>
        </w:tc>
        <w:tc>
          <w:tcPr>
            <w:tcW w:w="581"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0</w:t>
            </w:r>
          </w:p>
        </w:tc>
        <w:tc>
          <w:tcPr>
            <w:tcW w:w="581"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0</w:t>
            </w:r>
          </w:p>
        </w:tc>
        <w:tc>
          <w:tcPr>
            <w:tcW w:w="581"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0</w:t>
            </w:r>
          </w:p>
        </w:tc>
        <w:tc>
          <w:tcPr>
            <w:tcW w:w="578"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0</w:t>
            </w:r>
          </w:p>
        </w:tc>
        <w:tc>
          <w:tcPr>
            <w:tcW w:w="578" w:type="dxa"/>
            <w:noWrap/>
            <w:vAlign w:val="center"/>
          </w:tcPr>
          <w:p>
            <w:pPr>
              <w:spacing w:line="520" w:lineRule="exact"/>
              <w:jc w:val="center"/>
              <w:rPr>
                <w:rFonts w:ascii="仿宋_GB2312" w:hAnsi="仿宋_GB2312" w:eastAsia="仿宋_GB2312" w:cs="仿宋_GB2312"/>
                <w:color w:val="0C0C0C" w:themeColor="text1" w:themeTint="F2"/>
                <w:sz w:val="30"/>
                <w:szCs w:val="30"/>
              </w:rPr>
            </w:pPr>
            <w:r>
              <w:rPr>
                <w:rFonts w:hint="eastAsia" w:ascii="仿宋_GB2312" w:hAnsi="仿宋_GB2312" w:eastAsia="仿宋_GB2312" w:cs="仿宋_GB2312"/>
                <w:color w:val="0C0C0C" w:themeColor="text1" w:themeTint="F2"/>
                <w:sz w:val="30"/>
                <w:szCs w:val="30"/>
              </w:rPr>
              <w:t>0</w:t>
            </w:r>
          </w:p>
        </w:tc>
      </w:tr>
    </w:tbl>
    <w:p>
      <w:pPr>
        <w:spacing w:line="520" w:lineRule="exact"/>
        <w:ind w:firstLine="640" w:firstLineChars="200"/>
        <w:rPr>
          <w:rFonts w:ascii="黑体" w:hAnsi="黑体" w:eastAsia="黑体" w:cs="黑体"/>
          <w:color w:val="0C0C0C" w:themeColor="text1" w:themeTint="F2"/>
          <w:sz w:val="32"/>
          <w:szCs w:val="32"/>
        </w:rPr>
      </w:pPr>
      <w:r>
        <w:rPr>
          <w:rFonts w:hint="eastAsia" w:ascii="黑体" w:hAnsi="黑体" w:eastAsia="黑体" w:cs="黑体"/>
          <w:color w:val="0C0C0C" w:themeColor="text1" w:themeTint="F2"/>
          <w:sz w:val="32"/>
          <w:szCs w:val="32"/>
        </w:rPr>
        <w:t>五、存在的主要问题及改进情况</w:t>
      </w:r>
    </w:p>
    <w:p>
      <w:pPr>
        <w:widowControl/>
        <w:spacing w:line="520" w:lineRule="exact"/>
        <w:ind w:firstLine="643" w:firstLineChars="200"/>
        <w:jc w:val="left"/>
        <w:rPr>
          <w:rFonts w:ascii="仿宋" w:hAnsi="仿宋" w:eastAsia="仿宋" w:cs="仿宋"/>
          <w:color w:val="0C0C0C" w:themeColor="text1" w:themeTint="F2"/>
          <w:sz w:val="32"/>
          <w:szCs w:val="32"/>
        </w:rPr>
      </w:pPr>
      <w:r>
        <w:rPr>
          <w:rFonts w:hint="eastAsia" w:ascii="楷体_GB2312" w:hAnsi="楷体" w:eastAsia="楷体_GB2312" w:cs="楷体"/>
          <w:b/>
          <w:bCs/>
          <w:color w:val="0C0C0C" w:themeColor="text1" w:themeTint="F2"/>
          <w:sz w:val="32"/>
          <w:szCs w:val="32"/>
        </w:rPr>
        <w:t>（一）存在问题和不足。</w:t>
      </w:r>
      <w:r>
        <w:rPr>
          <w:rFonts w:hint="eastAsia" w:ascii="仿宋_GB2312" w:hAnsi="仿宋" w:eastAsia="仿宋_GB2312" w:cs="仿宋"/>
          <w:b/>
          <w:bCs/>
          <w:color w:val="0C0C0C" w:themeColor="text1" w:themeTint="F2"/>
          <w:kern w:val="0"/>
          <w:sz w:val="32"/>
          <w:szCs w:val="32"/>
        </w:rPr>
        <w:t>一是</w:t>
      </w:r>
      <w:r>
        <w:rPr>
          <w:rFonts w:hint="eastAsia" w:ascii="仿宋_GB2312" w:hAnsi="仿宋" w:eastAsia="仿宋_GB2312" w:cs="仿宋"/>
          <w:color w:val="0C0C0C" w:themeColor="text1" w:themeTint="F2"/>
          <w:sz w:val="32"/>
          <w:szCs w:val="32"/>
        </w:rPr>
        <w:t>公开的信息内容不够完整，公开时限不够及时，公开形式还需要进一步丰富</w:t>
      </w:r>
      <w:r>
        <w:rPr>
          <w:rFonts w:hint="eastAsia" w:ascii="仿宋_GB2312" w:hAnsi="仿宋" w:eastAsia="仿宋_GB2312" w:cs="仿宋"/>
          <w:color w:val="0C0C0C" w:themeColor="text1" w:themeTint="F2"/>
          <w:kern w:val="0"/>
          <w:sz w:val="32"/>
          <w:szCs w:val="32"/>
        </w:rPr>
        <w:t>。</w:t>
      </w:r>
      <w:r>
        <w:rPr>
          <w:rFonts w:hint="eastAsia" w:ascii="仿宋_GB2312" w:hAnsi="仿宋" w:eastAsia="仿宋_GB2312" w:cs="仿宋"/>
          <w:b/>
          <w:bCs/>
          <w:color w:val="0C0C0C" w:themeColor="text1" w:themeTint="F2"/>
          <w:kern w:val="0"/>
          <w:sz w:val="32"/>
          <w:szCs w:val="32"/>
        </w:rPr>
        <w:t>二是</w:t>
      </w:r>
      <w:r>
        <w:rPr>
          <w:rFonts w:hint="eastAsia" w:ascii="仿宋_GB2312" w:hAnsi="仿宋" w:eastAsia="仿宋_GB2312" w:cs="仿宋"/>
          <w:color w:val="0C0C0C" w:themeColor="text1" w:themeTint="F2"/>
          <w:sz w:val="32"/>
          <w:szCs w:val="32"/>
        </w:rPr>
        <w:t>公开工作人员的业务素质和能力有待进一步提高。</w:t>
      </w:r>
    </w:p>
    <w:p>
      <w:pPr>
        <w:spacing w:line="520" w:lineRule="exact"/>
        <w:ind w:firstLine="643" w:firstLineChars="200"/>
        <w:rPr>
          <w:rFonts w:ascii="仿宋_GB2312" w:hAnsi="仿宋" w:eastAsia="仿宋_GB2312" w:cs="仿宋"/>
          <w:color w:val="0C0C0C" w:themeColor="text1" w:themeTint="F2"/>
          <w:kern w:val="0"/>
          <w:sz w:val="32"/>
          <w:szCs w:val="32"/>
        </w:rPr>
      </w:pPr>
      <w:r>
        <w:rPr>
          <w:rFonts w:hint="eastAsia" w:ascii="楷体_GB2312" w:hAnsi="楷体" w:eastAsia="楷体_GB2312" w:cs="楷体"/>
          <w:b/>
          <w:bCs/>
          <w:color w:val="0C0C0C" w:themeColor="text1" w:themeTint="F2"/>
          <w:sz w:val="32"/>
          <w:szCs w:val="32"/>
        </w:rPr>
        <w:t>（二）改进措施。</w:t>
      </w:r>
      <w:r>
        <w:rPr>
          <w:rFonts w:hint="eastAsia" w:ascii="仿宋_GB2312" w:hAnsi="仿宋" w:eastAsia="仿宋_GB2312" w:cs="仿宋"/>
          <w:color w:val="0C0C0C" w:themeColor="text1" w:themeTint="F2"/>
          <w:sz w:val="32"/>
          <w:szCs w:val="32"/>
        </w:rPr>
        <w:t>下一步，应急管理局将按照地委行署有关信息公开的各项要求和目标，进一步提高认识，加强培训，加深干部职工对信息公开工作的认识，提高政府信息公开工作水平。</w:t>
      </w:r>
      <w:r>
        <w:rPr>
          <w:rFonts w:hint="eastAsia" w:ascii="仿宋_GB2312" w:hAnsi="仿宋" w:eastAsia="仿宋_GB2312" w:cs="仿宋"/>
          <w:b/>
          <w:bCs/>
          <w:color w:val="0C0C0C" w:themeColor="text1" w:themeTint="F2"/>
          <w:sz w:val="32"/>
          <w:szCs w:val="32"/>
        </w:rPr>
        <w:t>一是</w:t>
      </w:r>
      <w:r>
        <w:rPr>
          <w:rFonts w:hint="eastAsia" w:ascii="仿宋_GB2312" w:hAnsi="仿宋" w:eastAsia="仿宋_GB2312" w:cs="仿宋"/>
          <w:color w:val="0C0C0C" w:themeColor="text1" w:themeTint="F2"/>
          <w:sz w:val="32"/>
          <w:szCs w:val="32"/>
        </w:rPr>
        <w:t>规范流程，以制度化、规范化、科学化为着力点，建立长效机制。</w:t>
      </w:r>
      <w:r>
        <w:rPr>
          <w:rFonts w:hint="eastAsia" w:ascii="仿宋_GB2312" w:hAnsi="仿宋" w:eastAsia="仿宋_GB2312" w:cs="仿宋"/>
          <w:b/>
          <w:bCs/>
          <w:color w:val="0C0C0C" w:themeColor="text1" w:themeTint="F2"/>
          <w:sz w:val="32"/>
          <w:szCs w:val="32"/>
        </w:rPr>
        <w:t>二是</w:t>
      </w:r>
      <w:r>
        <w:rPr>
          <w:rFonts w:hint="eastAsia" w:ascii="仿宋_GB2312" w:hAnsi="仿宋" w:eastAsia="仿宋_GB2312" w:cs="仿宋"/>
          <w:color w:val="0C0C0C" w:themeColor="text1" w:themeTint="F2"/>
          <w:sz w:val="32"/>
          <w:szCs w:val="32"/>
        </w:rPr>
        <w:t>创新途径，补充完善。及时更新、扩大政府信息公开内容，保证公开信息的完整性和准确性，不断创新公开形式，探索新途径，提高政务公开工作的质量和服务水平。</w:t>
      </w:r>
      <w:r>
        <w:rPr>
          <w:rFonts w:hint="eastAsia" w:ascii="仿宋_GB2312" w:hAnsi="仿宋" w:eastAsia="仿宋_GB2312" w:cs="仿宋"/>
          <w:b/>
          <w:bCs/>
          <w:color w:val="0C0C0C" w:themeColor="text1" w:themeTint="F2"/>
          <w:sz w:val="32"/>
          <w:szCs w:val="32"/>
        </w:rPr>
        <w:t>三是</w:t>
      </w:r>
      <w:r>
        <w:rPr>
          <w:rFonts w:hint="eastAsia" w:ascii="仿宋_GB2312" w:hAnsi="仿宋" w:eastAsia="仿宋_GB2312" w:cs="仿宋"/>
          <w:color w:val="0C0C0C" w:themeColor="text1" w:themeTint="F2"/>
          <w:sz w:val="32"/>
          <w:szCs w:val="32"/>
        </w:rPr>
        <w:t>强化管理，服务公众。进一步制定一套适应本单位的信息管理制度，明确责任，保障信息通畅。</w:t>
      </w:r>
      <w:r>
        <w:rPr>
          <w:rFonts w:hint="eastAsia" w:ascii="仿宋_GB2312" w:hAnsi="仿宋" w:eastAsia="仿宋_GB2312" w:cs="仿宋"/>
          <w:b/>
          <w:bCs/>
          <w:color w:val="0C0C0C" w:themeColor="text1" w:themeTint="F2"/>
          <w:sz w:val="32"/>
          <w:szCs w:val="32"/>
        </w:rPr>
        <w:t>四是</w:t>
      </w:r>
      <w:r>
        <w:rPr>
          <w:rFonts w:hint="eastAsia" w:ascii="仿宋_GB2312" w:hAnsi="仿宋" w:eastAsia="仿宋_GB2312" w:cs="仿宋"/>
          <w:color w:val="0C0C0C" w:themeColor="text1" w:themeTint="F2"/>
          <w:kern w:val="0"/>
          <w:sz w:val="32"/>
          <w:szCs w:val="32"/>
        </w:rPr>
        <w:t>广泛征求社会及服务对象的意见和建议，及时改进工作中的不足，充分发挥政务公开对基层、企业安全生产工作的指导作用。积极研究探索政务公开工作创新，着重强化安全生产域信息公开、政策解读及社会热点回应工作。推动主动公开意识贯彻至应急管理各项工作，以公开促廉政，以公开树形象。以政务公开工作的不断完善和延伸，扎实有效做好今后政务公开工作。</w:t>
      </w:r>
    </w:p>
    <w:p>
      <w:pPr>
        <w:spacing w:line="520" w:lineRule="exact"/>
        <w:ind w:firstLine="640" w:firstLineChars="200"/>
        <w:rPr>
          <w:rFonts w:ascii="黑体" w:hAnsi="黑体" w:eastAsia="黑体" w:cs="仿宋"/>
          <w:color w:val="0C0C0C" w:themeColor="text1" w:themeTint="F2"/>
          <w:kern w:val="0"/>
          <w:sz w:val="32"/>
          <w:szCs w:val="32"/>
        </w:rPr>
      </w:pPr>
      <w:r>
        <w:rPr>
          <w:rFonts w:hint="eastAsia" w:ascii="黑体" w:hAnsi="黑体" w:eastAsia="黑体" w:cs="仿宋"/>
          <w:color w:val="0C0C0C" w:themeColor="text1" w:themeTint="F2"/>
          <w:kern w:val="0"/>
          <w:sz w:val="32"/>
          <w:szCs w:val="32"/>
        </w:rPr>
        <w:t>六、其他需要报告的事项</w:t>
      </w:r>
    </w:p>
    <w:p>
      <w:pPr>
        <w:spacing w:line="520" w:lineRule="exact"/>
        <w:ind w:firstLine="640" w:firstLineChars="200"/>
        <w:rPr>
          <w:rFonts w:ascii="仿宋" w:hAnsi="仿宋" w:eastAsia="仿宋" w:cs="仿宋"/>
          <w:color w:val="0C0C0C" w:themeColor="text1" w:themeTint="F2"/>
          <w:kern w:val="0"/>
          <w:sz w:val="32"/>
          <w:szCs w:val="32"/>
        </w:rPr>
      </w:pPr>
      <w:r>
        <w:rPr>
          <w:rFonts w:hint="eastAsia" w:ascii="仿宋" w:hAnsi="仿宋" w:eastAsia="仿宋" w:cs="仿宋"/>
          <w:color w:val="0C0C0C" w:themeColor="text1" w:themeTint="F2"/>
          <w:kern w:val="0"/>
          <w:sz w:val="32"/>
          <w:szCs w:val="32"/>
        </w:rPr>
        <w:t>无</w:t>
      </w:r>
    </w:p>
    <w:p>
      <w:pPr>
        <w:spacing w:line="520" w:lineRule="exact"/>
        <w:ind w:firstLine="4000" w:firstLineChars="1250"/>
        <w:rPr>
          <w:rFonts w:ascii="仿宋" w:hAnsi="仿宋" w:eastAsia="仿宋" w:cs="仿宋"/>
          <w:color w:val="0C0C0C" w:themeColor="text1" w:themeTint="F2"/>
          <w:kern w:val="0"/>
          <w:sz w:val="32"/>
          <w:szCs w:val="32"/>
        </w:rPr>
      </w:pPr>
    </w:p>
    <w:p>
      <w:pPr>
        <w:spacing w:line="520" w:lineRule="exact"/>
        <w:rPr>
          <w:rFonts w:hint="default" w:ascii="仿宋" w:hAnsi="仿宋" w:eastAsia="仿宋" w:cs="仿宋"/>
          <w:color w:val="0C0C0C" w:themeColor="text1" w:themeTint="F2"/>
          <w:kern w:val="0"/>
          <w:sz w:val="32"/>
          <w:szCs w:val="32"/>
          <w:lang w:val="en-US" w:eastAsia="zh-CN"/>
        </w:rPr>
      </w:pPr>
      <w:r>
        <w:rPr>
          <w:rFonts w:hint="eastAsia" w:ascii="仿宋" w:hAnsi="仿宋" w:eastAsia="仿宋" w:cs="仿宋"/>
          <w:color w:val="0C0C0C" w:themeColor="text1" w:themeTint="F2"/>
          <w:kern w:val="0"/>
          <w:sz w:val="32"/>
          <w:szCs w:val="32"/>
          <w:lang w:val="en-US" w:eastAsia="zh-CN"/>
        </w:rPr>
        <w:t>联系人：张海洋    联系电话：18097593014</w:t>
      </w:r>
      <w:bookmarkStart w:id="0" w:name="_GoBack"/>
      <w:bookmarkEnd w:id="0"/>
    </w:p>
    <w:p>
      <w:pPr>
        <w:spacing w:line="520" w:lineRule="exact"/>
        <w:ind w:firstLine="4000" w:firstLineChars="1250"/>
        <w:rPr>
          <w:rFonts w:ascii="仿宋" w:hAnsi="仿宋" w:eastAsia="仿宋" w:cs="仿宋"/>
          <w:color w:val="0C0C0C" w:themeColor="text1" w:themeTint="F2"/>
          <w:kern w:val="0"/>
          <w:sz w:val="32"/>
          <w:szCs w:val="32"/>
        </w:rPr>
      </w:pPr>
    </w:p>
    <w:p>
      <w:pPr>
        <w:spacing w:line="520" w:lineRule="exact"/>
        <w:ind w:firstLine="4000" w:firstLineChars="1250"/>
        <w:rPr>
          <w:rFonts w:ascii="仿宋" w:hAnsi="仿宋" w:eastAsia="仿宋" w:cs="仿宋"/>
          <w:color w:val="0C0C0C" w:themeColor="text1" w:themeTint="F2"/>
          <w:kern w:val="0"/>
          <w:sz w:val="32"/>
          <w:szCs w:val="32"/>
        </w:rPr>
      </w:pPr>
      <w:r>
        <w:rPr>
          <w:rFonts w:hint="eastAsia" w:ascii="仿宋" w:hAnsi="仿宋" w:eastAsia="仿宋" w:cs="仿宋"/>
          <w:color w:val="0C0C0C" w:themeColor="text1" w:themeTint="F2"/>
          <w:kern w:val="0"/>
          <w:sz w:val="32"/>
          <w:szCs w:val="32"/>
        </w:rPr>
        <w:t>塔城地区应急管理局</w:t>
      </w:r>
    </w:p>
    <w:p>
      <w:pPr>
        <w:spacing w:line="520" w:lineRule="exact"/>
        <w:ind w:firstLine="4640" w:firstLineChars="1450"/>
        <w:rPr>
          <w:rFonts w:ascii="仿宋" w:hAnsi="仿宋" w:eastAsia="仿宋" w:cs="仿宋"/>
          <w:color w:val="0C0C0C" w:themeColor="text1" w:themeTint="F2"/>
          <w:kern w:val="0"/>
          <w:sz w:val="32"/>
          <w:szCs w:val="32"/>
        </w:rPr>
      </w:pPr>
      <w:r>
        <w:rPr>
          <w:rFonts w:hint="eastAsia" w:ascii="仿宋" w:hAnsi="仿宋" w:eastAsia="仿宋" w:cs="仿宋"/>
          <w:color w:val="0C0C0C" w:themeColor="text1" w:themeTint="F2"/>
          <w:kern w:val="0"/>
          <w:sz w:val="32"/>
          <w:szCs w:val="32"/>
        </w:rPr>
        <w:t>2022年1月17日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921457A"/>
    <w:rsid w:val="00145782"/>
    <w:rsid w:val="00163B8B"/>
    <w:rsid w:val="001F33A4"/>
    <w:rsid w:val="003648AB"/>
    <w:rsid w:val="003E2B50"/>
    <w:rsid w:val="00467730"/>
    <w:rsid w:val="005F1370"/>
    <w:rsid w:val="006021F5"/>
    <w:rsid w:val="00861C10"/>
    <w:rsid w:val="008F2969"/>
    <w:rsid w:val="00BF4227"/>
    <w:rsid w:val="00C40E4A"/>
    <w:rsid w:val="00CC4B34"/>
    <w:rsid w:val="00E62C3D"/>
    <w:rsid w:val="00F93D51"/>
    <w:rsid w:val="00FB0E8C"/>
    <w:rsid w:val="0FF66F56"/>
    <w:rsid w:val="1921457A"/>
    <w:rsid w:val="35702C95"/>
    <w:rsid w:val="5BD53B27"/>
    <w:rsid w:val="5C9C5C56"/>
    <w:rsid w:val="6FC53722"/>
    <w:rsid w:val="7B250C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customStyle="1" w:styleId="7">
    <w:name w:val="页眉 Char"/>
    <w:basedOn w:val="5"/>
    <w:link w:val="3"/>
    <w:qFormat/>
    <w:uiPriority w:val="0"/>
    <w:rPr>
      <w:kern w:val="2"/>
      <w:sz w:val="18"/>
      <w:szCs w:val="18"/>
    </w:rPr>
  </w:style>
  <w:style w:type="character" w:customStyle="1" w:styleId="8">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412</Words>
  <Characters>2353</Characters>
  <Lines>19</Lines>
  <Paragraphs>5</Paragraphs>
  <TotalTime>494</TotalTime>
  <ScaleCrop>false</ScaleCrop>
  <LinksUpToDate>false</LinksUpToDate>
  <CharactersWithSpaces>2760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2021-01-15T02:30:00Z</dcterms:created>
  <dc:creator>Administrator</dc:creator>
  <cp:lastModifiedBy>塔城地区应急管理局</cp:lastModifiedBy>
  <cp:lastPrinted>2022-01-10T03:49:00Z</cp:lastPrinted>
  <dcterms:modified xsi:type="dcterms:W3CDTF">2022-01-17T08:07:50Z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