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塔城地区商务局</w:t>
      </w:r>
      <w:r>
        <w:rPr>
          <w:rFonts w:hint="eastAsia" w:ascii="方正小标宋_GBK" w:hAnsi="方正小标宋_GBK" w:eastAsia="方正小标宋_GBK" w:cs="方正小标宋_GBK"/>
          <w:sz w:val="44"/>
          <w:szCs w:val="44"/>
          <w:lang w:val="en-US" w:eastAsia="zh-CN"/>
        </w:rPr>
        <w:t>2019</w:t>
      </w:r>
      <w:r>
        <w:rPr>
          <w:rFonts w:hint="eastAsia" w:ascii="方正小标宋_GBK" w:hAnsi="方正小标宋_GBK" w:eastAsia="方正小标宋_GBK" w:cs="方正小标宋_GBK"/>
          <w:sz w:val="44"/>
          <w:szCs w:val="44"/>
        </w:rPr>
        <w:t>年政府信息公开</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工作报告</w:t>
      </w:r>
    </w:p>
    <w:p>
      <w:pPr>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年以来，</w:t>
      </w:r>
      <w:r>
        <w:rPr>
          <w:rFonts w:hint="eastAsia" w:ascii="仿宋_GB2312" w:hAnsi="仿宋_GB2312" w:eastAsia="仿宋_GB2312" w:cs="仿宋_GB2312"/>
          <w:sz w:val="32"/>
          <w:szCs w:val="32"/>
          <w:lang w:eastAsia="zh-CN"/>
        </w:rPr>
        <w:t>地区商务局党组高度重视政府信息公开工作，</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地区商务</w:t>
      </w:r>
      <w:r>
        <w:rPr>
          <w:rFonts w:hint="eastAsia" w:ascii="仿宋_GB2312" w:hAnsi="仿宋_GB2312" w:eastAsia="仿宋_GB2312" w:cs="仿宋_GB2312"/>
          <w:sz w:val="32"/>
          <w:szCs w:val="32"/>
        </w:rPr>
        <w:t>工作实际，</w:t>
      </w:r>
      <w:r>
        <w:rPr>
          <w:rFonts w:hint="eastAsia" w:ascii="仿宋_GB2312" w:hAnsi="仿宋_GB2312" w:eastAsia="仿宋_GB2312" w:cs="仿宋_GB2312"/>
          <w:sz w:val="32"/>
          <w:szCs w:val="32"/>
          <w:lang w:eastAsia="zh-CN"/>
        </w:rPr>
        <w:t>认真学习相关文件精神，指定专人负责，统筹做好政府信息公开工作，进一步提升优化地区商务领域营商环境，现将有关工作总结如下：</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olor w:val="333333"/>
          <w:sz w:val="32"/>
          <w:szCs w:val="32"/>
          <w:lang w:eastAsia="zh-CN"/>
        </w:rPr>
        <w:t>（</w:t>
      </w:r>
      <w:r>
        <w:rPr>
          <w:rFonts w:hint="eastAsia" w:ascii="黑体" w:hAnsi="黑体" w:eastAsia="黑体"/>
          <w:color w:val="333333"/>
          <w:sz w:val="32"/>
          <w:szCs w:val="32"/>
        </w:rPr>
        <w:t>一</w:t>
      </w:r>
      <w:r>
        <w:rPr>
          <w:rFonts w:hint="eastAsia" w:ascii="黑体" w:hAnsi="黑体" w:eastAsia="黑体"/>
          <w:color w:val="333333"/>
          <w:sz w:val="32"/>
          <w:szCs w:val="32"/>
          <w:lang w:eastAsia="zh-CN"/>
        </w:rPr>
        <w:t>）</w:t>
      </w:r>
      <w:r>
        <w:rPr>
          <w:rFonts w:hint="eastAsia" w:ascii="楷体" w:hAnsi="楷体" w:eastAsia="楷体" w:cs="楷体"/>
          <w:b/>
          <w:bCs/>
          <w:color w:val="333333"/>
          <w:sz w:val="32"/>
          <w:szCs w:val="32"/>
        </w:rPr>
        <w:t xml:space="preserve">加强领导，精心实施，夯实政务公开工作的组织基础 </w:t>
      </w:r>
      <w:r>
        <w:rPr>
          <w:rFonts w:hint="eastAsia" w:ascii="楷体" w:hAnsi="楷体" w:eastAsia="楷体" w:cs="楷体"/>
          <w:b/>
          <w:bCs/>
          <w:color w:val="333333"/>
          <w:sz w:val="32"/>
          <w:szCs w:val="32"/>
          <w:lang w:eastAsia="zh-CN"/>
        </w:rPr>
        <w:t>。</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一直把推行政务公开当作贯彻落实总目标，打造清廉机关，转变工作作风的重要抓手，以此推动工作方式的改进和工作效率的提高，有效促进我局加快形成行为规范、运转协调、公开透明、廉洁高效的运作体制。通过集中宣讲学习文件内容等形式，教育广大干部职工充分认识推行政务公开的必要性和重要性，不断增强推行政务公开工作的自觉性和责任感，并结合要点</w:t>
      </w:r>
      <w:r>
        <w:rPr>
          <w:rFonts w:ascii="仿宋_GB2312" w:hAnsi="仿宋_GB2312" w:eastAsia="仿宋_GB2312" w:cs="仿宋_GB2312"/>
          <w:sz w:val="32"/>
          <w:szCs w:val="32"/>
        </w:rPr>
        <w:t>, 加速推进政务公开工作。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b/>
          <w:sz w:val="32"/>
          <w:szCs w:val="32"/>
        </w:rPr>
        <w:t>一是抓好组织领导。</w:t>
      </w:r>
      <w:r>
        <w:rPr>
          <w:rFonts w:hint="eastAsia" w:ascii="仿宋_GB2312" w:hAnsi="仿宋_GB2312" w:eastAsia="仿宋_GB2312" w:cs="仿宋_GB2312"/>
          <w:sz w:val="32"/>
          <w:szCs w:val="32"/>
        </w:rPr>
        <w:t>完善相应的领导机制，成立了以党组副书记、局长丁郊生为组长，分管领导为副组长，相关科室责任人为成员的政务公开工作领导小组。落实每位干部职工的岗位工作职责，形成一级抓一级、层层抓落实的责任体系，形成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b/>
          <w:sz w:val="32"/>
          <w:szCs w:val="32"/>
        </w:rPr>
        <w:t>二是抓好方案制定。</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局自身工作特点出发，确定政务公开的基本思路、内容方式和工作机制，同步督促科室有针对性地制定和完善本科室政务公开的措施和办法。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三是抓好制度配套。</w:t>
      </w:r>
      <w:r>
        <w:rPr>
          <w:rFonts w:hint="eastAsia" w:ascii="仿宋_GB2312" w:hAnsi="仿宋_GB2312" w:eastAsia="仿宋_GB2312" w:cs="仿宋_GB2312"/>
          <w:sz w:val="32"/>
          <w:szCs w:val="32"/>
        </w:rPr>
        <w:t>建立完善系统的政务公开运作模式和工作程序，通过信息报送制度、网络发布制度等，建起了一套与政务公开相配套的</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局内部管理工作制度。如：廉洁从政教育管理规定、工作考评与奖励暂行办法、车辆管理与使用规定等，进一步促进了全局</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引资工作有计划、有步骤的开展。</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bCs/>
          <w:color w:val="333333"/>
          <w:sz w:val="32"/>
          <w:szCs w:val="32"/>
          <w:lang w:eastAsia="zh-CN"/>
        </w:rPr>
        <w:t>（二）突出重点、加强商务领域自治区一体化在线政务服务平台建设。</w:t>
      </w:r>
      <w:r>
        <w:rPr>
          <w:rFonts w:hint="eastAsia" w:ascii="仿宋_GB2312" w:hAnsi="仿宋_GB2312" w:eastAsia="仿宋_GB2312" w:cs="仿宋_GB2312"/>
          <w:sz w:val="32"/>
          <w:szCs w:val="32"/>
          <w:lang w:eastAsia="zh-CN"/>
        </w:rPr>
        <w:t>自治区一体化在线政务服务平台建设</w:t>
      </w:r>
      <w:r>
        <w:rPr>
          <w:rFonts w:hint="eastAsia" w:ascii="仿宋_GB2312" w:hAnsi="仿宋_GB2312" w:eastAsia="仿宋_GB2312" w:cs="仿宋_GB2312"/>
          <w:sz w:val="32"/>
          <w:szCs w:val="32"/>
        </w:rPr>
        <w:t>关系重大，深受群众、</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媒体、投资商关注，因此必须坚持原则，规范操作，把握重点，系统推进。我局根据</w:t>
      </w:r>
      <w:r>
        <w:rPr>
          <w:rFonts w:hint="eastAsia" w:ascii="仿宋_GB2312" w:hAnsi="仿宋_GB2312" w:eastAsia="仿宋_GB2312" w:cs="仿宋_GB2312"/>
          <w:sz w:val="32"/>
          <w:szCs w:val="32"/>
          <w:lang w:eastAsia="zh-CN"/>
        </w:rPr>
        <w:t>自身业务工作，按照地区一体化在线政务服务平台建设要求，积极与</w:t>
      </w:r>
      <w:r>
        <w:rPr>
          <w:rFonts w:hint="eastAsia" w:ascii="仿宋_GB2312" w:hAnsi="仿宋_GB2312" w:eastAsia="仿宋_GB2312" w:cs="仿宋_GB2312"/>
          <w:sz w:val="32"/>
          <w:szCs w:val="32"/>
        </w:rPr>
        <w:t>自治区一体化在线政务服务平台</w:t>
      </w:r>
      <w:r>
        <w:rPr>
          <w:rFonts w:hint="eastAsia" w:ascii="仿宋_GB2312" w:hAnsi="仿宋_GB2312" w:eastAsia="仿宋_GB2312" w:cs="仿宋_GB2312"/>
          <w:sz w:val="32"/>
          <w:szCs w:val="32"/>
          <w:lang w:eastAsia="zh-CN"/>
        </w:rPr>
        <w:t>商务厅负责人进行对接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对自治区商务厅提供网上办理的</w:t>
      </w:r>
      <w:r>
        <w:rPr>
          <w:rFonts w:hint="eastAsia" w:ascii="仿宋_GB2312" w:hAnsi="仿宋_GB2312" w:eastAsia="仿宋_GB2312" w:cs="仿宋_GB2312"/>
          <w:sz w:val="32"/>
          <w:szCs w:val="32"/>
        </w:rPr>
        <w:t>“对外贸易经营者备案登记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从事拍卖业务许可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二手车交易市场经营者和二手车经营主体备案”等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行政服务职能进行了积极认领，在网上公开了办理条件，服务流程、公布了工作人员联系方式，安排专职人员在塔城地区地（市）行政服务中心综合服务窗口为企业网上办理，设置了</w:t>
      </w:r>
      <w:r>
        <w:rPr>
          <w:rFonts w:hint="eastAsia" w:ascii="仿宋_GB2312" w:hAnsi="仿宋_GB2312" w:eastAsia="仿宋_GB2312" w:cs="仿宋_GB2312"/>
          <w:sz w:val="32"/>
          <w:szCs w:val="32"/>
          <w:lang w:val="en-US" w:eastAsia="zh-CN"/>
        </w:rPr>
        <w:t>AB岗，</w:t>
      </w:r>
      <w:r>
        <w:rPr>
          <w:rFonts w:hint="eastAsia" w:ascii="仿宋_GB2312" w:hAnsi="仿宋_GB2312" w:eastAsia="仿宋_GB2312" w:cs="仿宋_GB2312"/>
          <w:sz w:val="32"/>
          <w:szCs w:val="32"/>
          <w:lang w:eastAsia="zh-CN"/>
        </w:rPr>
        <w:t>企业最多跑一次办理率达到</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“对外劳务合作经营资格核准”</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涉及国家规定实施准入特别管理措施的外商投资企业设立及变更的审批”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“权限内设立典当企业的审核”</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3项</w:t>
      </w:r>
      <w:r>
        <w:rPr>
          <w:rFonts w:hint="eastAsia" w:ascii="仿宋_GB2312" w:hAnsi="仿宋_GB2312" w:eastAsia="仿宋_GB2312" w:cs="仿宋_GB2312"/>
          <w:sz w:val="32"/>
          <w:szCs w:val="32"/>
          <w:lang w:eastAsia="zh-CN"/>
        </w:rPr>
        <w:t>审批权不在地区一级的或根据机构改革职能职责已划转到其它部门等进行了专门的情况说明，得到了地区（市）行政服务中心的高度肯定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color w:val="333333"/>
          <w:sz w:val="32"/>
          <w:szCs w:val="32"/>
          <w:lang w:eastAsia="zh-CN"/>
        </w:rPr>
        <w:t>（三）把握原则，全面提升政务公开工作水平。</w:t>
      </w:r>
      <w:r>
        <w:rPr>
          <w:rFonts w:hint="eastAsia" w:ascii="仿宋_GB2312" w:hAnsi="仿宋_GB2312" w:eastAsia="仿宋_GB2312" w:cs="仿宋_GB2312"/>
          <w:sz w:val="32"/>
          <w:szCs w:val="32"/>
          <w:lang w:eastAsia="zh-CN"/>
        </w:rPr>
        <w:t>我局政务公开工作</w:t>
      </w:r>
      <w:r>
        <w:rPr>
          <w:rFonts w:hint="eastAsia" w:ascii="仿宋_GB2312" w:hAnsi="仿宋_GB2312" w:eastAsia="仿宋_GB2312" w:cs="仿宋_GB2312"/>
          <w:sz w:val="32"/>
          <w:szCs w:val="32"/>
        </w:rPr>
        <w:t>坚持把握四个原则。一是依法公开的原则。按照法律、法规、规章和国家有关政策规定，除涉及国家秘密和依法受保护的商业秘密、个人隐私外，一律予以公开。二是重点公开的原则。凡是与</w:t>
      </w:r>
      <w:r>
        <w:rPr>
          <w:rFonts w:hint="eastAsia" w:ascii="仿宋_GB2312" w:hAnsi="仿宋_GB2312" w:eastAsia="仿宋_GB2312" w:cs="仿宋_GB2312"/>
          <w:sz w:val="32"/>
          <w:szCs w:val="32"/>
          <w:lang w:eastAsia="zh-CN"/>
        </w:rPr>
        <w:t>内外贸</w:t>
      </w:r>
      <w:r>
        <w:rPr>
          <w:rFonts w:hint="eastAsia" w:ascii="仿宋_GB2312" w:hAnsi="仿宋_GB2312" w:eastAsia="仿宋_GB2312" w:cs="仿宋_GB2312"/>
          <w:sz w:val="32"/>
          <w:szCs w:val="32"/>
        </w:rPr>
        <w:t>企业、投资商，以及干部职工利益相关、群众普遍关心的事项，都进行公开。三是逐步公开的原则。根据实际，分层推进，逐步公开，梳理一批，成熟一批，公开一批。四是注重实效的原则。从实际出发，讲究实效。通过编辑发行《塔城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引资情况》、《</w:t>
      </w:r>
      <w:r>
        <w:rPr>
          <w:rFonts w:hint="eastAsia" w:ascii="仿宋_GB2312" w:hAnsi="仿宋_GB2312" w:eastAsia="仿宋_GB2312" w:cs="仿宋_GB2312"/>
          <w:sz w:val="32"/>
          <w:szCs w:val="32"/>
          <w:lang w:eastAsia="zh-CN"/>
        </w:rPr>
        <w:t>塔城地区每月进出口运行分析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信息》，向地委、行署、自治区</w:t>
      </w:r>
      <w:r>
        <w:rPr>
          <w:rFonts w:hint="eastAsia" w:ascii="仿宋_GB2312" w:hAnsi="仿宋_GB2312" w:eastAsia="仿宋_GB2312" w:cs="仿宋_GB2312"/>
          <w:sz w:val="32"/>
          <w:szCs w:val="32"/>
          <w:lang w:eastAsia="zh-CN"/>
        </w:rPr>
        <w:t>商务厅</w:t>
      </w:r>
      <w:r>
        <w:rPr>
          <w:rFonts w:hint="eastAsia" w:ascii="仿宋_GB2312" w:hAnsi="仿宋_GB2312" w:eastAsia="仿宋_GB2312" w:cs="仿宋_GB2312"/>
          <w:sz w:val="32"/>
          <w:szCs w:val="32"/>
        </w:rPr>
        <w:t>、各县（市）</w:t>
      </w:r>
      <w:r>
        <w:rPr>
          <w:rFonts w:hint="eastAsia" w:ascii="仿宋_GB2312" w:hAnsi="仿宋_GB2312" w:eastAsia="仿宋_GB2312" w:cs="仿宋_GB2312"/>
          <w:sz w:val="32"/>
          <w:szCs w:val="32"/>
          <w:lang w:eastAsia="zh-CN"/>
        </w:rPr>
        <w:t>商工信局及时</w:t>
      </w:r>
      <w:r>
        <w:rPr>
          <w:rFonts w:hint="eastAsia" w:ascii="仿宋_GB2312" w:hAnsi="仿宋_GB2312" w:eastAsia="仿宋_GB2312" w:cs="仿宋_GB2312"/>
          <w:sz w:val="32"/>
          <w:szCs w:val="32"/>
        </w:rPr>
        <w:t>公布全地区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工作进展情况。其次，广泛联系、建设网络公开渠道，宣传塔城地区投资环境，介绍重大投资项目，向社会提供有关投资的政策法规咨询服务,投资办事指南等，方便投资企业查询和监督，受理投资商的建议、投诉。增大政务公开的容量和覆盖面，达到便捷、快速、面宽、有深度的公开目的。再次，通过新闻媒体向社会公开政务。在</w:t>
      </w:r>
      <w:r>
        <w:rPr>
          <w:rFonts w:hint="eastAsia" w:ascii="仿宋_GB2312" w:hAnsi="仿宋_GB2312" w:eastAsia="仿宋_GB2312" w:cs="仿宋_GB2312"/>
          <w:sz w:val="32"/>
          <w:szCs w:val="32"/>
          <w:lang w:eastAsia="zh-CN"/>
        </w:rPr>
        <w:t>塔城中哈巴克图边民互市转型发展正式运营、</w:t>
      </w:r>
      <w:r>
        <w:rPr>
          <w:rFonts w:hint="eastAsia" w:ascii="仿宋_GB2312" w:hAnsi="仿宋_GB2312" w:eastAsia="仿宋_GB2312" w:cs="仿宋_GB2312"/>
          <w:sz w:val="32"/>
          <w:szCs w:val="32"/>
        </w:rPr>
        <w:t>西洽会、厦洽会、西博会期间，邀请各大新闻媒体，召开记者座谈会；在日常工作中，向塔城广播电视局、报社等新闻媒体提供</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引资方面的素材，通过这些形式向公众公开本单位的政务工作情况，主动接受社会的监督。</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二、主动公开政府信息情况</w:t>
      </w:r>
      <w:r>
        <w:rPr>
          <w:rFonts w:hint="eastAsia" w:ascii="黑体" w:hAnsi="黑体" w:eastAsia="黑体" w:cs="黑体"/>
          <w:sz w:val="32"/>
          <w:szCs w:val="32"/>
          <w:lang w:eastAsia="zh-CN"/>
        </w:rPr>
        <w:t>（无）</w:t>
      </w: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新制作数量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新公开数量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对外公开</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规章</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规范性文件</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其他对外管理服务事项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行政处罚</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行政强制</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行政事业性收费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政府集中采购</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c>
          <w:tcPr>
            <w:tcW w:w="2180" w:type="dxa"/>
            <w:noWrap w:val="0"/>
            <w:vAlign w:val="center"/>
          </w:tcPr>
          <w:p>
            <w:pPr>
              <w:spacing w:line="320" w:lineRule="exact"/>
              <w:jc w:val="center"/>
              <w:rPr>
                <w:rFonts w:hint="eastAsia" w:ascii="仿宋_GB2312" w:hAnsi="仿宋_GB2312" w:eastAsia="仿宋_GB2312" w:cs="仿宋_GB2312"/>
                <w:sz w:val="30"/>
                <w:szCs w:val="30"/>
              </w:rPr>
            </w:pPr>
          </w:p>
        </w:tc>
      </w:tr>
    </w:tbl>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r>
        <w:rPr>
          <w:rFonts w:hint="eastAsia" w:ascii="黑体" w:hAnsi="黑体" w:eastAsia="黑体" w:cs="黑体"/>
          <w:sz w:val="32"/>
          <w:szCs w:val="32"/>
          <w:lang w:eastAsia="zh-CN"/>
        </w:rPr>
        <w:t>（无）</w:t>
      </w:r>
    </w:p>
    <w:tbl>
      <w:tblPr>
        <w:tblStyle w:val="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（本列数据的勾稽关系为：第一项加第二项之和，等于第三项加第四项之和）</w:t>
            </w:r>
          </w:p>
        </w:tc>
        <w:tc>
          <w:tcPr>
            <w:tcW w:w="4101" w:type="dxa"/>
            <w:gridSpan w:val="7"/>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然</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3161" w:type="dxa"/>
            <w:gridSpan w:val="5"/>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法人或其他组织</w:t>
            </w:r>
          </w:p>
        </w:tc>
        <w:tc>
          <w:tcPr>
            <w:tcW w:w="53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商业企业</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科研机构</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社会公益组织</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法律服务机构</w:t>
            </w:r>
          </w:p>
        </w:tc>
        <w:tc>
          <w:tcPr>
            <w:tcW w:w="416"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535" w:type="dxa"/>
            <w:vMerge w:val="continue"/>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一、本年新收政府信息公开申请数量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二、上年结转政府信息公开申请数量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三、本年度办理结果</w:t>
            </w: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（一）予以公开</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（二）部分公开（区分处理的，只计这一情形，不计其他情形）</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（三）不予公开</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1、属于国家秘密</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2、其他法律行政法规禁止公开</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3、危及“三安全一稳定”</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4、保护第三方合法权益</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5、属于三类内部事务信息</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6、属于四类过程性信息</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7、属于行政执法案卷</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8、属于行政查询事项</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（四）无法提供</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1、本机关不掌握相关政府信息</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2、没有现成信息需要另行制作</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3、补正后申请内容仍不明确</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（五）不予处理</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1、信访举报投诉类申请</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2、重复申请</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3、要求提供公开出版物</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4、无正当理由大量反复申请</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5、要求行政机关确认或重新出具已获取信息</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（六）其他处理</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（七）总计</w:t>
            </w:r>
          </w:p>
        </w:tc>
        <w:tc>
          <w:tcPr>
            <w:tcW w:w="405" w:type="dxa"/>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p>
        </w:tc>
        <w:tc>
          <w:tcPr>
            <w:tcW w:w="510" w:type="dxa"/>
            <w:noWrap w:val="0"/>
            <w:vAlign w:val="center"/>
          </w:tcPr>
          <w:p>
            <w:pPr>
              <w:spacing w:line="360" w:lineRule="exact"/>
              <w:rPr>
                <w:rFonts w:hint="eastAsia" w:ascii="仿宋_GB2312" w:hAnsi="仿宋_GB2312" w:eastAsia="仿宋_GB2312" w:cs="仿宋_GB2312"/>
                <w:sz w:val="30"/>
                <w:szCs w:val="30"/>
              </w:rPr>
            </w:pPr>
          </w:p>
        </w:tc>
        <w:tc>
          <w:tcPr>
            <w:tcW w:w="840" w:type="dxa"/>
            <w:noWrap w:val="0"/>
            <w:vAlign w:val="center"/>
          </w:tcPr>
          <w:p>
            <w:pPr>
              <w:spacing w:line="360" w:lineRule="exact"/>
              <w:rPr>
                <w:rFonts w:hint="eastAsia" w:ascii="仿宋_GB2312" w:hAnsi="仿宋_GB2312" w:eastAsia="仿宋_GB2312" w:cs="仿宋_GB2312"/>
                <w:sz w:val="30"/>
                <w:szCs w:val="30"/>
              </w:rPr>
            </w:pPr>
          </w:p>
        </w:tc>
        <w:tc>
          <w:tcPr>
            <w:tcW w:w="825" w:type="dxa"/>
            <w:noWrap w:val="0"/>
            <w:vAlign w:val="center"/>
          </w:tcPr>
          <w:p>
            <w:pPr>
              <w:spacing w:line="360" w:lineRule="exact"/>
              <w:rPr>
                <w:rFonts w:hint="eastAsia" w:ascii="仿宋_GB2312" w:hAnsi="仿宋_GB2312" w:eastAsia="仿宋_GB2312" w:cs="仿宋_GB2312"/>
                <w:sz w:val="30"/>
                <w:szCs w:val="30"/>
              </w:rPr>
            </w:pPr>
          </w:p>
        </w:tc>
        <w:tc>
          <w:tcPr>
            <w:tcW w:w="416" w:type="dxa"/>
            <w:noWrap w:val="0"/>
            <w:vAlign w:val="center"/>
          </w:tcPr>
          <w:p>
            <w:pPr>
              <w:spacing w:line="360" w:lineRule="exact"/>
              <w:rPr>
                <w:rFonts w:hint="eastAsia" w:ascii="仿宋_GB2312" w:hAnsi="仿宋_GB2312" w:eastAsia="仿宋_GB2312" w:cs="仿宋_GB2312"/>
                <w:sz w:val="30"/>
                <w:szCs w:val="30"/>
              </w:rPr>
            </w:pPr>
          </w:p>
        </w:tc>
        <w:tc>
          <w:tcPr>
            <w:tcW w:w="535" w:type="dxa"/>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620" w:type="dxa"/>
            <w:gridSpan w:val="10"/>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四、结转下年度继续办理</w:t>
            </w:r>
          </w:p>
        </w:tc>
      </w:tr>
    </w:tbl>
    <w:p>
      <w:pPr>
        <w:spacing w:line="560" w:lineRule="exact"/>
        <w:ind w:firstLine="320" w:firstLineChars="1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r>
        <w:rPr>
          <w:rFonts w:hint="eastAsia" w:ascii="黑体" w:hAnsi="黑体" w:eastAsia="黑体" w:cs="黑体"/>
          <w:sz w:val="32"/>
          <w:szCs w:val="32"/>
          <w:lang w:eastAsia="zh-CN"/>
        </w:rPr>
        <w:t>（无）</w:t>
      </w: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931"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行政复议</w:t>
            </w:r>
          </w:p>
        </w:tc>
        <w:tc>
          <w:tcPr>
            <w:tcW w:w="5829" w:type="dxa"/>
            <w:gridSpan w:val="10"/>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84"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8"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2930"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未经复议直接起诉</w:t>
            </w:r>
          </w:p>
        </w:tc>
        <w:tc>
          <w:tcPr>
            <w:tcW w:w="2899"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584"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8"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7"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5"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4"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4" w:type="dxa"/>
            <w:noWrap w:val="0"/>
            <w:vAlign w:val="center"/>
          </w:tcPr>
          <w:p>
            <w:pPr>
              <w:spacing w:line="560" w:lineRule="exact"/>
              <w:jc w:val="center"/>
              <w:rPr>
                <w:rFonts w:hint="eastAsia" w:ascii="仿宋_GB2312" w:hAnsi="仿宋_GB2312" w:eastAsia="仿宋_GB2312" w:cs="仿宋_GB2312"/>
                <w:sz w:val="30"/>
                <w:szCs w:val="30"/>
              </w:rPr>
            </w:pPr>
          </w:p>
        </w:tc>
        <w:tc>
          <w:tcPr>
            <w:tcW w:w="588" w:type="dxa"/>
            <w:noWrap w:val="0"/>
            <w:vAlign w:val="center"/>
          </w:tcPr>
          <w:p>
            <w:pPr>
              <w:spacing w:line="560" w:lineRule="exact"/>
              <w:jc w:val="center"/>
              <w:rPr>
                <w:rFonts w:hint="eastAsia" w:ascii="仿宋_GB2312" w:hAnsi="仿宋_GB2312" w:eastAsia="仿宋_GB2312" w:cs="仿宋_GB2312"/>
                <w:sz w:val="30"/>
                <w:szCs w:val="30"/>
              </w:rPr>
            </w:pPr>
          </w:p>
        </w:tc>
        <w:tc>
          <w:tcPr>
            <w:tcW w:w="586" w:type="dxa"/>
            <w:noWrap w:val="0"/>
            <w:vAlign w:val="center"/>
          </w:tcPr>
          <w:p>
            <w:pPr>
              <w:spacing w:line="560" w:lineRule="exact"/>
              <w:jc w:val="center"/>
              <w:rPr>
                <w:rFonts w:hint="eastAsia" w:ascii="仿宋_GB2312" w:hAnsi="仿宋_GB2312" w:eastAsia="仿宋_GB2312" w:cs="仿宋_GB2312"/>
                <w:sz w:val="30"/>
                <w:szCs w:val="30"/>
              </w:rPr>
            </w:pPr>
          </w:p>
        </w:tc>
        <w:tc>
          <w:tcPr>
            <w:tcW w:w="587" w:type="dxa"/>
            <w:noWrap w:val="0"/>
            <w:vAlign w:val="center"/>
          </w:tcPr>
          <w:p>
            <w:pPr>
              <w:spacing w:line="560" w:lineRule="exact"/>
              <w:jc w:val="center"/>
              <w:rPr>
                <w:rFonts w:hint="eastAsia" w:ascii="仿宋_GB2312" w:hAnsi="仿宋_GB2312" w:eastAsia="仿宋_GB2312" w:cs="仿宋_GB2312"/>
                <w:sz w:val="30"/>
                <w:szCs w:val="30"/>
              </w:rPr>
            </w:pPr>
          </w:p>
        </w:tc>
        <w:tc>
          <w:tcPr>
            <w:tcW w:w="586" w:type="dxa"/>
            <w:noWrap w:val="0"/>
            <w:vAlign w:val="center"/>
          </w:tcPr>
          <w:p>
            <w:pPr>
              <w:spacing w:line="560" w:lineRule="exact"/>
              <w:jc w:val="center"/>
              <w:rPr>
                <w:rFonts w:hint="eastAsia" w:ascii="仿宋_GB2312" w:hAnsi="仿宋_GB2312" w:eastAsia="仿宋_GB2312" w:cs="仿宋_GB2312"/>
                <w:sz w:val="30"/>
                <w:szCs w:val="30"/>
              </w:rPr>
            </w:pPr>
          </w:p>
        </w:tc>
        <w:tc>
          <w:tcPr>
            <w:tcW w:w="585" w:type="dxa"/>
            <w:noWrap w:val="0"/>
            <w:vAlign w:val="center"/>
          </w:tcPr>
          <w:p>
            <w:pPr>
              <w:spacing w:line="560" w:lineRule="exact"/>
              <w:jc w:val="center"/>
              <w:rPr>
                <w:rFonts w:hint="eastAsia" w:ascii="仿宋_GB2312" w:hAnsi="仿宋_GB2312" w:eastAsia="仿宋_GB2312" w:cs="仿宋_GB2312"/>
                <w:sz w:val="30"/>
                <w:szCs w:val="30"/>
              </w:rPr>
            </w:pPr>
          </w:p>
        </w:tc>
        <w:tc>
          <w:tcPr>
            <w:tcW w:w="587" w:type="dxa"/>
            <w:noWrap w:val="0"/>
            <w:vAlign w:val="center"/>
          </w:tcPr>
          <w:p>
            <w:pPr>
              <w:spacing w:line="560" w:lineRule="exact"/>
              <w:jc w:val="center"/>
              <w:rPr>
                <w:rFonts w:hint="eastAsia" w:ascii="仿宋_GB2312" w:hAnsi="仿宋_GB2312" w:eastAsia="仿宋_GB2312" w:cs="仿宋_GB2312"/>
                <w:sz w:val="30"/>
                <w:szCs w:val="30"/>
              </w:rPr>
            </w:pPr>
          </w:p>
        </w:tc>
        <w:tc>
          <w:tcPr>
            <w:tcW w:w="587" w:type="dxa"/>
            <w:noWrap w:val="0"/>
            <w:vAlign w:val="center"/>
          </w:tcPr>
          <w:p>
            <w:pPr>
              <w:spacing w:line="560" w:lineRule="exact"/>
              <w:jc w:val="center"/>
              <w:rPr>
                <w:rFonts w:hint="eastAsia" w:ascii="仿宋_GB2312" w:hAnsi="仿宋_GB2312" w:eastAsia="仿宋_GB2312" w:cs="仿宋_GB2312"/>
                <w:sz w:val="30"/>
                <w:szCs w:val="30"/>
              </w:rPr>
            </w:pPr>
          </w:p>
        </w:tc>
        <w:tc>
          <w:tcPr>
            <w:tcW w:w="587" w:type="dxa"/>
            <w:noWrap w:val="0"/>
            <w:vAlign w:val="center"/>
          </w:tcPr>
          <w:p>
            <w:pPr>
              <w:spacing w:line="560" w:lineRule="exact"/>
              <w:jc w:val="center"/>
              <w:rPr>
                <w:rFonts w:hint="eastAsia" w:ascii="仿宋_GB2312" w:hAnsi="仿宋_GB2312" w:eastAsia="仿宋_GB2312" w:cs="仿宋_GB2312"/>
                <w:sz w:val="30"/>
                <w:szCs w:val="30"/>
              </w:rPr>
            </w:pPr>
          </w:p>
        </w:tc>
        <w:tc>
          <w:tcPr>
            <w:tcW w:w="584" w:type="dxa"/>
            <w:noWrap w:val="0"/>
            <w:vAlign w:val="center"/>
          </w:tcPr>
          <w:p>
            <w:pPr>
              <w:spacing w:line="560" w:lineRule="exact"/>
              <w:jc w:val="center"/>
              <w:rPr>
                <w:rFonts w:hint="eastAsia" w:ascii="仿宋_GB2312" w:hAnsi="仿宋_GB2312" w:eastAsia="仿宋_GB2312" w:cs="仿宋_GB2312"/>
                <w:sz w:val="30"/>
                <w:szCs w:val="30"/>
              </w:rPr>
            </w:pPr>
          </w:p>
        </w:tc>
        <w:tc>
          <w:tcPr>
            <w:tcW w:w="581" w:type="dxa"/>
            <w:noWrap w:val="0"/>
            <w:vAlign w:val="center"/>
          </w:tcPr>
          <w:p>
            <w:pPr>
              <w:spacing w:line="560" w:lineRule="exact"/>
              <w:jc w:val="center"/>
              <w:rPr>
                <w:rFonts w:hint="eastAsia" w:ascii="仿宋_GB2312" w:hAnsi="仿宋_GB2312" w:eastAsia="仿宋_GB2312" w:cs="仿宋_GB2312"/>
                <w:sz w:val="30"/>
                <w:szCs w:val="30"/>
              </w:rPr>
            </w:pPr>
          </w:p>
        </w:tc>
        <w:tc>
          <w:tcPr>
            <w:tcW w:w="581" w:type="dxa"/>
            <w:noWrap w:val="0"/>
            <w:vAlign w:val="center"/>
          </w:tcPr>
          <w:p>
            <w:pPr>
              <w:spacing w:line="560" w:lineRule="exact"/>
              <w:jc w:val="center"/>
              <w:rPr>
                <w:rFonts w:hint="eastAsia" w:ascii="仿宋_GB2312" w:hAnsi="仿宋_GB2312" w:eastAsia="仿宋_GB2312" w:cs="仿宋_GB2312"/>
                <w:sz w:val="30"/>
                <w:szCs w:val="30"/>
              </w:rPr>
            </w:pPr>
          </w:p>
        </w:tc>
        <w:tc>
          <w:tcPr>
            <w:tcW w:w="581" w:type="dxa"/>
            <w:noWrap w:val="0"/>
            <w:vAlign w:val="center"/>
          </w:tcPr>
          <w:p>
            <w:pPr>
              <w:spacing w:line="560" w:lineRule="exact"/>
              <w:jc w:val="center"/>
              <w:rPr>
                <w:rFonts w:hint="eastAsia" w:ascii="仿宋_GB2312" w:hAnsi="仿宋_GB2312" w:eastAsia="仿宋_GB2312" w:cs="仿宋_GB2312"/>
                <w:sz w:val="30"/>
                <w:szCs w:val="30"/>
              </w:rPr>
            </w:pPr>
          </w:p>
        </w:tc>
        <w:tc>
          <w:tcPr>
            <w:tcW w:w="578" w:type="dxa"/>
            <w:noWrap w:val="0"/>
            <w:vAlign w:val="center"/>
          </w:tcPr>
          <w:p>
            <w:pPr>
              <w:spacing w:line="560" w:lineRule="exact"/>
              <w:jc w:val="center"/>
              <w:rPr>
                <w:rFonts w:hint="eastAsia" w:ascii="仿宋_GB2312" w:hAnsi="仿宋_GB2312" w:eastAsia="仿宋_GB2312" w:cs="仿宋_GB2312"/>
                <w:sz w:val="30"/>
                <w:szCs w:val="30"/>
              </w:rPr>
            </w:pPr>
          </w:p>
        </w:tc>
        <w:tc>
          <w:tcPr>
            <w:tcW w:w="578" w:type="dxa"/>
            <w:noWrap w:val="0"/>
            <w:vAlign w:val="center"/>
          </w:tcPr>
          <w:p>
            <w:pPr>
              <w:spacing w:line="560" w:lineRule="exact"/>
              <w:jc w:val="center"/>
              <w:rPr>
                <w:rFonts w:hint="eastAsia" w:ascii="仿宋_GB2312" w:hAnsi="仿宋_GB2312" w:eastAsia="仿宋_GB2312" w:cs="仿宋_GB2312"/>
                <w:sz w:val="30"/>
                <w:szCs w:val="30"/>
              </w:rPr>
            </w:pPr>
          </w:p>
        </w:tc>
      </w:tr>
    </w:tbl>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五、存在的主要问题及改进情况</w:t>
      </w:r>
    </w:p>
    <w:p>
      <w:pPr>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一是重视程度不够</w:t>
      </w:r>
      <w:r>
        <w:rPr>
          <w:rFonts w:hint="eastAsia" w:ascii="仿宋_GB2312" w:hAnsi="仿宋_GB2312" w:eastAsia="仿宋_GB2312" w:cs="仿宋_GB2312"/>
          <w:sz w:val="32"/>
          <w:szCs w:val="32"/>
        </w:rPr>
        <w:t>。一些干部职工对政务公开工作重视不够，在政务公开工作上表现为不主动，不积极。一些人认为公开就是公布，公布了也就完事了，对投资企业和投资者的意见重视不够、研究不够，更谈不上改进。</w:t>
      </w:r>
    </w:p>
    <w:p>
      <w:pPr>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二是政务公开的内容不规范，重点不突出。</w:t>
      </w:r>
      <w:r>
        <w:rPr>
          <w:rFonts w:hint="eastAsia" w:ascii="仿宋_GB2312" w:hAnsi="仿宋_GB2312" w:eastAsia="仿宋_GB2312" w:cs="仿宋_GB2312"/>
          <w:sz w:val="32"/>
          <w:szCs w:val="32"/>
        </w:rPr>
        <w:t>表现为政务公开的内容还不够具体，重点还很不突出，对投资企业和投资商关心的问题等还没有能够做到全部公开；只注重对办事依据、程序的公布，却对办事结果公开少。</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三是监督机制不够完善。</w:t>
      </w:r>
      <w:r>
        <w:rPr>
          <w:rFonts w:hint="eastAsia" w:ascii="仿宋_GB2312" w:hAnsi="仿宋_GB2312" w:eastAsia="仿宋_GB2312" w:cs="仿宋_GB2312"/>
          <w:sz w:val="32"/>
          <w:szCs w:val="32"/>
        </w:rPr>
        <w:t>没有建立起与政务公开相适应的系统的内、外监督制度，监督机制尚未真正形成。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政务公开工作关系到深化改革成效，关系到政府职能从行政型向服务型的转变，关系到亲商营商环境的打造，为切实让政务公开工作服务于商务工作，我们计划2020年主要突出抓好以下几项工作：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提高对开展政务公开工作重要性的认识。要继续实行一把手负总责、办公室具体负责、各科室共同承担的工作格局，不断丰富政务公开的内容和形式，保证这项工作有始有终、健康有序地发展。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加强政务公开的载体建设。一是尽快设立专用政务公开栏，方便对外服务和接受监督。二是要完善各项公开工作的运行程序。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要充分利用地区政府网、自治区商务网等网站的功能，将部门职能、机构设置、招商项目、优惠政策全部上网并向公众公布，自觉接受社会监督。 </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其他需要报告的事项</w:t>
      </w:r>
      <w:r>
        <w:rPr>
          <w:rFonts w:hint="eastAsia" w:ascii="黑体" w:hAnsi="黑体" w:eastAsia="黑体" w:cs="黑体"/>
          <w:sz w:val="32"/>
          <w:szCs w:val="32"/>
          <w:lang w:eastAsia="zh-CN"/>
        </w:rPr>
        <w:t>（无）</w:t>
      </w:r>
    </w:p>
    <w:p>
      <w:pPr>
        <w:pStyle w:val="2"/>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p>
    <w:p>
      <w:pPr>
        <w:pStyle w:val="2"/>
        <w:pageBreakBefore w:val="0"/>
        <w:widowControl w:val="0"/>
        <w:numPr>
          <w:numId w:val="0"/>
        </w:numPr>
        <w:kinsoku/>
        <w:wordWrap/>
        <w:overflowPunct/>
        <w:topLinePunct w:val="0"/>
        <w:autoSpaceDE/>
        <w:autoSpaceDN/>
        <w:bidi w:val="0"/>
        <w:adjustRightInd/>
        <w:snapToGrid/>
        <w:spacing w:line="560" w:lineRule="exact"/>
        <w:ind w:firstLine="5461" w:firstLineChars="17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塔城地区商务局</w:t>
      </w:r>
    </w:p>
    <w:p>
      <w:pPr>
        <w:ind w:firstLine="5440" w:firstLineChars="1700"/>
      </w:pPr>
      <w:bookmarkStart w:id="0" w:name="_GoBack"/>
      <w:bookmarkEnd w:id="0"/>
      <w:r>
        <w:rPr>
          <w:rFonts w:hint="eastAsia" w:ascii="仿宋_GB2312" w:hAnsi="仿宋_GB2312" w:eastAsia="仿宋_GB2312" w:cs="仿宋_GB2312"/>
          <w:b w:val="0"/>
          <w:bCs w:val="0"/>
          <w:sz w:val="32"/>
          <w:szCs w:val="32"/>
          <w:lang w:val="en-US" w:eastAsia="zh-CN"/>
        </w:rPr>
        <w:t xml:space="preserve">2020年1月17日  </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3B61"/>
    <w:multiLevelType w:val="singleLevel"/>
    <w:tmpl w:val="43B73B61"/>
    <w:lvl w:ilvl="0" w:tentative="0">
      <w:start w:val="6"/>
      <w:numFmt w:val="chineseCounting"/>
      <w:suff w:val="nothing"/>
      <w:lvlText w:val="%1、"/>
      <w:lvlJc w:val="left"/>
      <w:rPr>
        <w:rFonts w:hint="eastAsia"/>
      </w:rPr>
    </w:lvl>
  </w:abstractNum>
  <w:abstractNum w:abstractNumId="1">
    <w:nsid w:val="4B676735"/>
    <w:multiLevelType w:val="singleLevel"/>
    <w:tmpl w:val="4B67673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C6829"/>
    <w:rsid w:val="1088513E"/>
    <w:rsid w:val="120C34BF"/>
    <w:rsid w:val="1EAF4FFE"/>
    <w:rsid w:val="2D2737BE"/>
    <w:rsid w:val="35CC6829"/>
    <w:rsid w:val="36F934CD"/>
    <w:rsid w:val="52C71EE4"/>
    <w:rsid w:val="7BB5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2020-01-08T02:50:00Z</dcterms:created>
  <dc:creator>Administrator</dc:creator>
  <lastModifiedBy>Administrator</lastModifiedBy>
  <dcterms:modified xsi:type="dcterms:W3CDTF">2020-01-17T05:02:15Z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