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after="200" w:line="240" w:lineRule="auto"/>
        <w:jc w:val="center"/>
        <w:rPr>
          <w:rFonts w:hint="eastAsia" w:ascii="方正小标宋简体" w:hAnsi="方正小标宋简体" w:eastAsia="方正小标宋简体" w:cs="方正小标宋简体"/>
          <w:b/>
          <w:bCs/>
          <w:kern w:val="0"/>
          <w:sz w:val="36"/>
          <w:szCs w:val="36"/>
          <w:lang w:val="en-US" w:eastAsia="zh-CN"/>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snapToGrid w:val="0"/>
        <w:spacing w:beforeAutospacing="0" w:after="0" w:afterAutospacing="0" w:line="600" w:lineRule="exact"/>
        <w:ind w:left="0" w:leftChars="0" w:firstLine="0" w:firstLineChars="0"/>
        <w:jc w:val="center"/>
        <w:textAlignment w:val="auto"/>
        <w:rPr>
          <w:rFonts w:hint="eastAsia" w:ascii="方正小标宋_GBK" w:hAnsi="方正小标宋_GBK" w:eastAsia="方正小标宋_GBK" w:cs="方正小标宋_GBK"/>
          <w:sz w:val="44"/>
          <w:szCs w:val="44"/>
          <w:lang w:val="en-US" w:eastAsia="zh-CN" w:bidi="zh-CN"/>
        </w:rPr>
      </w:pPr>
      <w:r>
        <w:rPr>
          <w:rFonts w:hint="eastAsia" w:ascii="方正小标宋_GBK" w:hAnsi="方正小标宋_GBK" w:eastAsia="方正小标宋_GBK" w:cs="方正小标宋_GBK"/>
          <w:sz w:val="44"/>
          <w:szCs w:val="44"/>
          <w:lang w:val="en-US" w:eastAsia="zh-CN" w:bidi="zh-CN"/>
        </w:rPr>
        <w:t>关于自治区第一轮第三批生态环境保护督察反馈问题（地区序号第8号）整改</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snapToGrid w:val="0"/>
        <w:spacing w:beforeAutospacing="0" w:after="0" w:afterAutospacing="0" w:line="600" w:lineRule="exact"/>
        <w:ind w:left="0" w:leftChars="0" w:firstLine="0" w:firstLineChars="0"/>
        <w:jc w:val="center"/>
        <w:textAlignment w:val="auto"/>
        <w:rPr>
          <w:rFonts w:hint="eastAsia" w:ascii="方正小标宋_GBK" w:hAnsi="方正小标宋_GBK" w:eastAsia="方正小标宋_GBK" w:cs="方正小标宋_GBK"/>
          <w:sz w:val="44"/>
          <w:szCs w:val="44"/>
          <w:lang w:val="en-US" w:eastAsia="zh-CN" w:bidi="zh-CN"/>
        </w:rPr>
      </w:pPr>
      <w:r>
        <w:rPr>
          <w:rFonts w:hint="eastAsia" w:ascii="方正小标宋_GBK" w:hAnsi="方正小标宋_GBK" w:eastAsia="方正小标宋_GBK" w:cs="方正小标宋_GBK"/>
          <w:sz w:val="44"/>
          <w:szCs w:val="44"/>
          <w:lang w:val="en-US" w:eastAsia="zh-CN" w:bidi="zh-CN"/>
        </w:rPr>
        <w:t>完成情况的公示</w:t>
      </w:r>
    </w:p>
    <w:p>
      <w:pPr>
        <w:keepNext w:val="0"/>
        <w:keepLines w:val="0"/>
        <w:pageBreakBefore w:val="0"/>
        <w:widowControl w:val="0"/>
        <w:kinsoku/>
        <w:wordWrap/>
        <w:overflowPunct/>
        <w:topLinePunct w:val="0"/>
        <w:autoSpaceDN/>
        <w:bidi w:val="0"/>
        <w:spacing w:after="0"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N/>
        <w:bidi w:val="0"/>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根据《</w:t>
      </w:r>
      <w:r>
        <w:rPr>
          <w:rFonts w:hint="eastAsia" w:ascii="仿宋_GB2312" w:hAnsi="仿宋_GB2312" w:eastAsia="仿宋_GB2312" w:cs="仿宋_GB2312"/>
          <w:sz w:val="32"/>
          <w:szCs w:val="32"/>
          <w:lang w:val="en" w:eastAsia="zh-CN"/>
        </w:rPr>
        <w:t>塔城地区自治区第一轮第三批生态环境保护督察报告整改</w:t>
      </w:r>
      <w:r>
        <w:rPr>
          <w:rFonts w:hint="eastAsia" w:ascii="仿宋_GB2312" w:hAnsi="仿宋_GB2312" w:eastAsia="仿宋_GB2312" w:cs="仿宋_GB2312"/>
          <w:sz w:val="32"/>
          <w:szCs w:val="32"/>
          <w:lang w:val="en-US" w:eastAsia="zh-CN"/>
        </w:rPr>
        <w:t>任务方案</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自治区第一轮第三批</w:t>
      </w:r>
      <w:r>
        <w:rPr>
          <w:rFonts w:hint="eastAsia" w:ascii="仿宋_GB2312" w:hAnsi="仿宋_GB2312" w:eastAsia="仿宋_GB2312" w:cs="仿宋_GB2312"/>
          <w:sz w:val="32"/>
          <w:szCs w:val="32"/>
        </w:rPr>
        <w:t>生态环境保护督察</w:t>
      </w:r>
      <w:r>
        <w:rPr>
          <w:rFonts w:hint="eastAsia" w:ascii="仿宋_GB2312" w:hAnsi="仿宋_GB2312" w:eastAsia="仿宋_GB2312" w:cs="仿宋_GB2312"/>
          <w:sz w:val="32"/>
          <w:szCs w:val="32"/>
          <w:lang w:val="en-US" w:eastAsia="zh-CN"/>
        </w:rPr>
        <w:t>报告反馈</w:t>
      </w:r>
      <w:r>
        <w:rPr>
          <w:rFonts w:hint="eastAsia" w:ascii="仿宋_GB2312" w:hAnsi="仿宋_GB2312" w:eastAsia="仿宋_GB2312" w:cs="仿宋_GB2312"/>
          <w:sz w:val="32"/>
          <w:szCs w:val="32"/>
        </w:rPr>
        <w:t>问题（</w:t>
      </w:r>
      <w:r>
        <w:rPr>
          <w:rFonts w:hint="eastAsia" w:ascii="仿宋_GB2312" w:hAnsi="仿宋_GB2312" w:eastAsia="仿宋_GB2312" w:cs="仿宋_GB2312"/>
          <w:sz w:val="32"/>
          <w:szCs w:val="32"/>
          <w:lang w:val="en-US" w:eastAsia="zh-CN"/>
        </w:rPr>
        <w:t>地区序号第8</w:t>
      </w:r>
      <w:r>
        <w:rPr>
          <w:rFonts w:hint="eastAsia" w:ascii="仿宋_GB2312" w:hAnsi="仿宋_GB2312" w:eastAsia="仿宋_GB2312" w:cs="仿宋_GB2312"/>
          <w:sz w:val="32"/>
          <w:szCs w:val="32"/>
        </w:rPr>
        <w:t>项）已完成整改，现将具体情况予以公示：</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right="0" w:rightChars="0" w:firstLine="640" w:firstLineChars="200"/>
        <w:jc w:val="both"/>
        <w:textAlignment w:val="auto"/>
        <w:rPr>
          <w:rFonts w:hint="eastAsia" w:ascii="宋体" w:hAnsi="宋体" w:eastAsia="黑体" w:cs="黑体"/>
          <w:sz w:val="32"/>
        </w:rPr>
      </w:pPr>
      <w:r>
        <w:rPr>
          <w:rFonts w:hint="eastAsia" w:ascii="宋体" w:hAnsi="宋体" w:eastAsia="黑体" w:cs="黑体"/>
          <w:sz w:val="32"/>
        </w:rPr>
        <w:t>一、整改任务</w:t>
      </w:r>
    </w:p>
    <w:p>
      <w:pPr>
        <w:pStyle w:val="9"/>
        <w:keepNext w:val="0"/>
        <w:keepLines w:val="0"/>
        <w:pageBreakBefore w:val="0"/>
        <w:widowControl w:val="0"/>
        <w:kinsoku/>
        <w:wordWrap/>
        <w:overflowPunct/>
        <w:topLinePunct w:val="0"/>
        <w:bidi w:val="0"/>
        <w:snapToGrid/>
        <w:spacing w:beforeAutospacing="0" w:afterAutospacing="0"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和布克赛尔蒙古自治县全荣有限责任公司、托里县新疆天盾特种水泥有限公司近年来一直未按要求执行水泥行业错峰生产。</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right="0" w:rightChars="0" w:firstLine="640" w:firstLineChars="200"/>
        <w:jc w:val="both"/>
        <w:textAlignment w:val="auto"/>
        <w:rPr>
          <w:rFonts w:hint="eastAsia" w:ascii="宋体" w:hAnsi="宋体" w:eastAsia="黑体" w:cs="黑体"/>
          <w:sz w:val="32"/>
        </w:rPr>
      </w:pPr>
      <w:r>
        <w:rPr>
          <w:rFonts w:hint="eastAsia" w:ascii="宋体" w:hAnsi="宋体" w:eastAsia="黑体" w:cs="黑体"/>
          <w:sz w:val="32"/>
          <w:lang w:eastAsia="zh-CN"/>
        </w:rPr>
        <w:t>二、</w:t>
      </w:r>
      <w:r>
        <w:rPr>
          <w:rFonts w:hint="eastAsia" w:ascii="宋体" w:hAnsi="宋体" w:eastAsia="黑体" w:cs="黑体"/>
          <w:sz w:val="32"/>
        </w:rPr>
        <w:t>整改时限</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立行立改</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right="0" w:rightChars="0" w:firstLine="640" w:firstLineChars="200"/>
        <w:jc w:val="both"/>
        <w:textAlignment w:val="auto"/>
        <w:rPr>
          <w:rFonts w:hint="eastAsia" w:ascii="宋体" w:hAnsi="宋体" w:eastAsia="黑体" w:cs="黑体"/>
          <w:sz w:val="32"/>
        </w:rPr>
      </w:pPr>
      <w:r>
        <w:rPr>
          <w:rFonts w:hint="eastAsia" w:ascii="宋体" w:hAnsi="宋体" w:eastAsia="黑体" w:cs="黑体"/>
          <w:sz w:val="32"/>
          <w:lang w:eastAsia="zh-CN"/>
        </w:rPr>
        <w:t>三、</w:t>
      </w:r>
      <w:r>
        <w:rPr>
          <w:rFonts w:hint="eastAsia" w:ascii="宋体" w:hAnsi="宋体" w:eastAsia="黑体" w:cs="黑体"/>
          <w:sz w:val="32"/>
        </w:rPr>
        <w:t>整改目标</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0" w:afterAutospacing="0" w:line="560" w:lineRule="exact"/>
        <w:ind w:right="0" w:rightChars="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在生产过程中，严格落实新疆水泥行业错峰生产有关规定。</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right="0" w:rightChars="0" w:firstLine="640" w:firstLineChars="200"/>
        <w:jc w:val="both"/>
        <w:textAlignment w:val="auto"/>
        <w:rPr>
          <w:rFonts w:hint="eastAsia" w:ascii="宋体" w:hAnsi="宋体" w:eastAsia="黑体" w:cs="黑体"/>
          <w:sz w:val="32"/>
        </w:rPr>
      </w:pPr>
      <w:r>
        <w:rPr>
          <w:rFonts w:hint="eastAsia" w:ascii="宋体" w:hAnsi="宋体" w:eastAsia="黑体" w:cs="黑体"/>
          <w:sz w:val="32"/>
          <w:lang w:eastAsia="zh-CN"/>
        </w:rPr>
        <w:t>四、</w:t>
      </w:r>
      <w:r>
        <w:rPr>
          <w:rFonts w:hint="eastAsia" w:ascii="宋体" w:hAnsi="宋体" w:eastAsia="黑体" w:cs="黑体"/>
          <w:sz w:val="32"/>
        </w:rPr>
        <w:t>整改措施</w:t>
      </w:r>
    </w:p>
    <w:p>
      <w:pPr>
        <w:keepNext w:val="0"/>
        <w:keepLines w:val="0"/>
        <w:pageBreakBefore w:val="0"/>
        <w:widowControl w:val="0"/>
        <w:kinsoku/>
        <w:wordWrap/>
        <w:overflowPunct/>
        <w:topLinePunct w:val="0"/>
        <w:autoSpaceDE/>
        <w:autoSpaceDN/>
        <w:bidi w:val="0"/>
        <w:snapToGrid/>
        <w:spacing w:beforeAutospacing="0" w:after="0" w:afterAutospacing="0" w:line="560" w:lineRule="exact"/>
        <w:ind w:firstLine="642"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sz w:val="32"/>
          <w:szCs w:val="32"/>
        </w:rPr>
        <w:t>一</w:t>
      </w:r>
      <w:r>
        <w:rPr>
          <w:rFonts w:hint="eastAsia" w:ascii="仿宋_GB2312" w:hAnsi="仿宋_GB2312" w:eastAsia="仿宋_GB2312" w:cs="仿宋_GB2312"/>
          <w:b/>
          <w:bCs/>
          <w:sz w:val="32"/>
          <w:szCs w:val="32"/>
          <w:lang w:val="en-US" w:eastAsia="zh-CN"/>
        </w:rPr>
        <w:t>是</w:t>
      </w:r>
      <w:r>
        <w:rPr>
          <w:rFonts w:hint="eastAsia" w:ascii="仿宋_GB2312" w:hAnsi="仿宋_GB2312" w:eastAsia="仿宋_GB2312" w:cs="仿宋_GB2312"/>
          <w:b/>
          <w:bCs/>
          <w:sz w:val="32"/>
          <w:szCs w:val="32"/>
        </w:rPr>
        <w:t>强化</w:t>
      </w:r>
      <w:r>
        <w:rPr>
          <w:rFonts w:hint="eastAsia" w:ascii="仿宋_GB2312" w:hAnsi="仿宋_GB2312" w:eastAsia="仿宋_GB2312" w:cs="仿宋_GB2312"/>
          <w:b/>
          <w:bCs/>
          <w:sz w:val="32"/>
          <w:szCs w:val="32"/>
          <w:lang w:val="en-US" w:eastAsia="zh-CN"/>
        </w:rPr>
        <w:t>责任</w:t>
      </w:r>
      <w:r>
        <w:rPr>
          <w:rFonts w:hint="eastAsia" w:ascii="仿宋_GB2312" w:hAnsi="仿宋_GB2312" w:eastAsia="仿宋_GB2312" w:cs="仿宋_GB2312"/>
          <w:b/>
          <w:bCs/>
          <w:sz w:val="32"/>
          <w:szCs w:val="32"/>
        </w:rPr>
        <w:t>担当</w:t>
      </w:r>
      <w:r>
        <w:rPr>
          <w:rFonts w:hint="eastAsia" w:ascii="仿宋_GB2312" w:hAnsi="仿宋_GB2312" w:eastAsia="仿宋_GB2312" w:cs="仿宋_GB2312"/>
          <w:b/>
          <w:bCs/>
          <w:sz w:val="32"/>
          <w:szCs w:val="32"/>
          <w:lang w:val="en-US" w:eastAsia="zh-CN"/>
        </w:rPr>
        <w:t>抓错峰</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color w:val="auto"/>
          <w:kern w:val="2"/>
          <w:sz w:val="32"/>
          <w:szCs w:val="32"/>
          <w:lang w:val="en-US" w:eastAsia="zh-CN" w:bidi="ar-SA"/>
        </w:rPr>
        <w:t>工信局强化责任担当，定期深入学习领会习近平生态文明思想，全面贯彻党的二十大精神，牢固树立新发展理念，按照自治区水泥错峰生产常态化要求，科学谋划、分类指导、差异管控、落实责任，合理调配水泥熟料生产装置的运行时间，有效压减过剩产能。</w:t>
      </w:r>
      <w:r>
        <w:rPr>
          <w:rFonts w:hint="eastAsia" w:ascii="仿宋_GB2312" w:hAnsi="仿宋_GB2312" w:eastAsia="仿宋_GB2312" w:cs="仿宋_GB2312"/>
          <w:b/>
          <w:bCs/>
          <w:sz w:val="32"/>
          <w:szCs w:val="32"/>
          <w:lang w:val="en-US" w:eastAsia="zh-CN"/>
        </w:rPr>
        <w:t>二是落实</w:t>
      </w:r>
      <w:r>
        <w:rPr>
          <w:rFonts w:hint="eastAsia" w:ascii="仿宋_GB2312" w:hAnsi="仿宋_GB2312" w:eastAsia="仿宋_GB2312" w:cs="仿宋_GB2312"/>
          <w:b/>
          <w:bCs/>
          <w:sz w:val="32"/>
          <w:szCs w:val="32"/>
        </w:rPr>
        <w:t>精准施策</w:t>
      </w:r>
      <w:r>
        <w:rPr>
          <w:rFonts w:hint="eastAsia" w:ascii="仿宋_GB2312" w:hAnsi="仿宋_GB2312" w:eastAsia="仿宋_GB2312" w:cs="仿宋_GB2312"/>
          <w:b/>
          <w:bCs/>
          <w:sz w:val="32"/>
          <w:szCs w:val="32"/>
          <w:lang w:val="en-US" w:eastAsia="zh-CN"/>
        </w:rPr>
        <w:t>抓错峰</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color w:val="auto"/>
          <w:kern w:val="2"/>
          <w:sz w:val="32"/>
          <w:szCs w:val="32"/>
          <w:lang w:val="en-US" w:eastAsia="zh-CN" w:bidi="ar-SA"/>
        </w:rPr>
        <w:t>工信、生态环境等部门主动作为，组织水泥熟料的生产企业沟通协调，合理调配生产时间，通过“错峰调配”参与全疆水泥行业错峰生产。</w:t>
      </w:r>
      <w:r>
        <w:rPr>
          <w:rFonts w:hint="eastAsia" w:ascii="仿宋_GB2312" w:hAnsi="仿宋_GB2312" w:eastAsia="仿宋_GB2312" w:cs="仿宋_GB2312"/>
          <w:b/>
          <w:bCs/>
          <w:sz w:val="32"/>
          <w:szCs w:val="32"/>
        </w:rPr>
        <w:t>三</w:t>
      </w:r>
      <w:r>
        <w:rPr>
          <w:rFonts w:hint="eastAsia" w:ascii="仿宋_GB2312" w:hAnsi="仿宋_GB2312" w:eastAsia="仿宋_GB2312" w:cs="仿宋_GB2312"/>
          <w:b/>
          <w:bCs/>
          <w:sz w:val="32"/>
          <w:szCs w:val="32"/>
          <w:lang w:val="en-US" w:eastAsia="zh-CN"/>
        </w:rPr>
        <w:t>是合理</w:t>
      </w:r>
      <w:r>
        <w:rPr>
          <w:rFonts w:hint="eastAsia" w:ascii="仿宋_GB2312" w:hAnsi="仿宋_GB2312" w:eastAsia="仿宋_GB2312" w:cs="仿宋_GB2312"/>
          <w:b/>
          <w:bCs/>
          <w:sz w:val="32"/>
          <w:szCs w:val="32"/>
        </w:rPr>
        <w:t>统筹谋划</w:t>
      </w:r>
      <w:r>
        <w:rPr>
          <w:rFonts w:hint="eastAsia" w:ascii="仿宋_GB2312" w:hAnsi="仿宋_GB2312" w:eastAsia="仿宋_GB2312" w:cs="仿宋_GB2312"/>
          <w:b/>
          <w:bCs/>
          <w:sz w:val="32"/>
          <w:szCs w:val="32"/>
          <w:lang w:val="en-US" w:eastAsia="zh-CN"/>
        </w:rPr>
        <w:t>抓错峰</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color w:val="auto"/>
          <w:kern w:val="2"/>
          <w:sz w:val="32"/>
          <w:szCs w:val="32"/>
          <w:lang w:val="en-US" w:eastAsia="zh-CN" w:bidi="ar-SA"/>
        </w:rPr>
        <w:t>组织水泥企业提前谋划、科学组织，把水泥市场供应和员工关心关爱相结合。督促企业利用错峰停炉期间统筹做好人员合理修整、水泥窑炉维护、环保设施检修、技术设备升级，用优质的人员、设备、制度等因素确保水泥生产体系安全、环保运行。</w:t>
      </w:r>
      <w:r>
        <w:rPr>
          <w:rFonts w:hint="eastAsia" w:ascii="仿宋_GB2312" w:hAnsi="仿宋_GB2312" w:eastAsia="仿宋_GB2312" w:cs="仿宋_GB2312"/>
          <w:b/>
          <w:bCs/>
          <w:sz w:val="32"/>
          <w:szCs w:val="32"/>
        </w:rPr>
        <w:t>四</w:t>
      </w:r>
      <w:r>
        <w:rPr>
          <w:rFonts w:hint="eastAsia" w:ascii="仿宋_GB2312" w:hAnsi="仿宋_GB2312" w:eastAsia="仿宋_GB2312" w:cs="仿宋_GB2312"/>
          <w:b/>
          <w:bCs/>
          <w:sz w:val="32"/>
          <w:szCs w:val="32"/>
          <w:lang w:val="en-US" w:eastAsia="zh-CN"/>
        </w:rPr>
        <w:t>是注重部门联动抓错峰</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color w:val="auto"/>
          <w:kern w:val="2"/>
          <w:sz w:val="32"/>
          <w:szCs w:val="32"/>
          <w:lang w:val="en-US" w:eastAsia="zh-CN" w:bidi="ar-SA"/>
        </w:rPr>
        <w:t>县商工信部门定期会同生态环境部门加大落实和检查力度，每个月监督企业认真执行相关法律法规和强制性标准，强化对企业环保设施运行情况检查，促进环境绩效水平不断提升。</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right="0" w:rightChars="0" w:firstLine="640" w:firstLineChars="200"/>
        <w:jc w:val="both"/>
        <w:textAlignment w:val="auto"/>
        <w:rPr>
          <w:rFonts w:hint="eastAsia" w:ascii="宋体" w:hAnsi="宋体" w:eastAsia="黑体" w:cs="黑体"/>
          <w:sz w:val="32"/>
          <w:lang w:val="en-US" w:eastAsia="zh-CN"/>
        </w:rPr>
      </w:pPr>
      <w:r>
        <w:rPr>
          <w:rFonts w:hint="eastAsia" w:ascii="宋体" w:hAnsi="宋体" w:eastAsia="黑体" w:cs="黑体"/>
          <w:sz w:val="32"/>
          <w:lang w:val="en-US" w:eastAsia="zh-CN"/>
        </w:rPr>
        <w:t>五、完成情况</w:t>
      </w:r>
    </w:p>
    <w:p>
      <w:pPr>
        <w:keepNext w:val="0"/>
        <w:keepLines w:val="0"/>
        <w:pageBreakBefore w:val="0"/>
        <w:widowControl w:val="0"/>
        <w:kinsoku/>
        <w:wordWrap/>
        <w:overflowPunct/>
        <w:topLinePunct w:val="0"/>
        <w:autoSpaceDE/>
        <w:autoSpaceDN/>
        <w:bidi w:val="0"/>
        <w:snapToGrid/>
        <w:spacing w:beforeAutospacing="0" w:after="0" w:afterAutospacing="0" w:line="560" w:lineRule="exact"/>
        <w:ind w:firstLine="642"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color w:val="auto"/>
          <w:kern w:val="2"/>
          <w:sz w:val="32"/>
          <w:szCs w:val="32"/>
          <w:lang w:val="en-US" w:eastAsia="zh-CN" w:bidi="ar-SA"/>
        </w:rPr>
        <w:t>针对新疆天盾特种水泥有限公司在线监测数据二氧化硫的超标情况，聘请有资质的第三方公司对新疆天盾特种水泥有限公司环保在线监测设备进行现场比对监测，经监测排放数据与现场仪器检测的数据一致，排除仪器故障的可能，并对原燃材料进行取样分析，如出现超标现象，现场核实违法行为，对其超标违法行为依法予以查处，制定水泥企业超低排放改造计划，并监督落实。</w:t>
      </w:r>
    </w:p>
    <w:p>
      <w:pPr>
        <w:pStyle w:val="5"/>
        <w:keepNext w:val="0"/>
        <w:keepLines w:val="0"/>
        <w:pageBreakBefore w:val="0"/>
        <w:widowControl w:val="0"/>
        <w:numPr>
          <w:ilvl w:val="0"/>
          <w:numId w:val="0"/>
        </w:numPr>
        <w:kinsoku/>
        <w:wordWrap/>
        <w:overflowPunct/>
        <w:topLinePunct w:val="0"/>
        <w:autoSpaceDE/>
        <w:autoSpaceDN/>
        <w:bidi w:val="0"/>
        <w:snapToGrid/>
        <w:spacing w:beforeAutospacing="0" w:after="0" w:afterAutospacing="0" w:line="560" w:lineRule="exact"/>
        <w:ind w:firstLine="642"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color w:val="auto"/>
          <w:kern w:val="2"/>
          <w:sz w:val="32"/>
          <w:szCs w:val="32"/>
          <w:lang w:val="en-US" w:eastAsia="zh-CN" w:bidi="ar-SA"/>
        </w:rPr>
        <w:t>2022年4月21日，由和布克赛尔县商工信局党组成员、副局长董峰对全荣水泥厂委托代理人、水泥厂副总经理张县华进行约谈（法定代表人在乌市出差）。</w:t>
      </w:r>
    </w:p>
    <w:p>
      <w:pPr>
        <w:pStyle w:val="5"/>
        <w:keepNext w:val="0"/>
        <w:keepLines w:val="0"/>
        <w:pageBreakBefore w:val="0"/>
        <w:widowControl w:val="0"/>
        <w:numPr>
          <w:ilvl w:val="0"/>
          <w:numId w:val="0"/>
        </w:numPr>
        <w:kinsoku/>
        <w:wordWrap/>
        <w:overflowPunct/>
        <w:topLinePunct w:val="0"/>
        <w:autoSpaceDE/>
        <w:autoSpaceDN/>
        <w:bidi w:val="0"/>
        <w:snapToGrid/>
        <w:spacing w:beforeAutospacing="0" w:after="0" w:afterAutospacing="0" w:line="56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color w:val="auto"/>
          <w:kern w:val="2"/>
          <w:sz w:val="32"/>
          <w:szCs w:val="32"/>
          <w:lang w:val="en-US" w:eastAsia="zh-CN" w:bidi="ar-SA"/>
        </w:rPr>
        <w:t>全荣水泥厂法定代表人向我局提交《承诺书》。2022年6月已整改销号，并举一反三、长期坚持</w:t>
      </w:r>
      <w:r>
        <w:rPr>
          <w:rFonts w:hint="eastAsia" w:ascii="仿宋_GB2312" w:hAnsi="仿宋_GB2312" w:eastAsia="仿宋_GB2312" w:cs="仿宋_GB2312"/>
          <w:sz w:val="32"/>
          <w:szCs w:val="32"/>
          <w:lang w:val="en-US" w:eastAsia="zh-CN"/>
        </w:rPr>
        <w:t>。</w:t>
      </w:r>
    </w:p>
    <w:p>
      <w:pPr>
        <w:keepNext w:val="0"/>
        <w:keepLines w:val="0"/>
        <w:pageBreakBefore w:val="0"/>
        <w:kinsoku/>
        <w:wordWrap/>
        <w:overflowPunct/>
        <w:topLinePunct w:val="0"/>
        <w:autoSpaceDE/>
        <w:autoSpaceDN/>
        <w:bidi w:val="0"/>
        <w:adjustRightInd/>
        <w:snapToGrid/>
        <w:spacing w:beforeAutospacing="0" w:after="0" w:afterAutospacing="0" w:line="560" w:lineRule="exact"/>
        <w:ind w:firstLine="642" w:firstLineChars="200"/>
        <w:textAlignment w:val="auto"/>
        <w:rPr>
          <w:rFonts w:hint="eastAsia" w:ascii="仿宋_GB2312" w:eastAsia="仿宋_GB2312"/>
          <w:sz w:val="32"/>
          <w:szCs w:val="32"/>
          <w:lang w:val="en-US" w:eastAsia="zh-CN"/>
        </w:rPr>
      </w:pPr>
      <w:r>
        <w:rPr>
          <w:rFonts w:hint="eastAsia" w:ascii="仿宋_GB2312" w:eastAsia="仿宋_GB2312"/>
          <w:b/>
          <w:bCs/>
          <w:sz w:val="32"/>
          <w:szCs w:val="32"/>
          <w:lang w:val="en-US" w:eastAsia="zh-CN"/>
        </w:rPr>
        <w:t>四是</w:t>
      </w:r>
      <w:r>
        <w:rPr>
          <w:rFonts w:hint="eastAsia" w:ascii="仿宋_GB2312" w:eastAsia="仿宋_GB2312"/>
          <w:sz w:val="32"/>
          <w:szCs w:val="32"/>
          <w:lang w:val="en-US" w:eastAsia="zh-CN"/>
        </w:rPr>
        <w:t>严格错峰生产。错峰生产工作严格参照“政府监督指导、协会组织实施、企业主动落实”的原则开展。</w:t>
      </w:r>
    </w:p>
    <w:p>
      <w:pPr>
        <w:pStyle w:val="2"/>
        <w:pageBreakBefore w:val="0"/>
        <w:kinsoku/>
        <w:wordWrap/>
        <w:overflowPunct/>
        <w:topLinePunct w:val="0"/>
        <w:bidi w:val="0"/>
        <w:spacing w:after="0" w:line="560" w:lineRule="exact"/>
        <w:ind w:left="0" w:leftChars="0" w:firstLine="642" w:firstLineChars="200"/>
        <w:textAlignment w:val="auto"/>
        <w:rPr>
          <w:rFonts w:hint="eastAsia" w:ascii="仿宋_GB2312" w:eastAsia="仿宋_GB2312"/>
          <w:color w:val="000000" w:themeColor="text1"/>
          <w:sz w:val="32"/>
          <w:szCs w:val="32"/>
          <w:lang w:val="en-US" w:eastAsia="zh-CN"/>
        </w:rPr>
      </w:pPr>
      <w:r>
        <w:rPr>
          <w:rFonts w:hint="eastAsia" w:ascii="仿宋_GB2312" w:eastAsia="仿宋_GB2312"/>
          <w:b/>
          <w:bCs/>
          <w:color w:val="000000" w:themeColor="text1"/>
          <w:sz w:val="32"/>
          <w:szCs w:val="32"/>
          <w:lang w:val="en-US" w:eastAsia="zh-CN"/>
        </w:rPr>
        <w:t>五是</w:t>
      </w:r>
      <w:r>
        <w:rPr>
          <w:rFonts w:hint="eastAsia" w:ascii="仿宋_GB2312" w:eastAsia="仿宋_GB2312"/>
          <w:color w:val="000000" w:themeColor="text1"/>
          <w:sz w:val="32"/>
          <w:szCs w:val="32"/>
          <w:lang w:val="en-US" w:eastAsia="zh-CN"/>
        </w:rPr>
        <w:t>水泥企业如遇特殊情况按流程申请上报，得到自治区地区批复后进行调整。</w:t>
      </w:r>
    </w:p>
    <w:p>
      <w:pPr>
        <w:pageBreakBefore w:val="0"/>
        <w:kinsoku/>
        <w:wordWrap/>
        <w:overflowPunct/>
        <w:topLinePunct w:val="0"/>
        <w:bidi w:val="0"/>
        <w:spacing w:after="0" w:line="560" w:lineRule="exact"/>
        <w:ind w:firstLine="642" w:firstLineChars="200"/>
        <w:textAlignment w:val="auto"/>
        <w:rPr>
          <w:rFonts w:hint="default"/>
          <w:lang w:val="en-US" w:eastAsia="zh-CN"/>
        </w:rPr>
      </w:pPr>
      <w:r>
        <w:rPr>
          <w:rFonts w:hint="eastAsia" w:ascii="仿宋_GB2312" w:hAnsi="仿宋" w:eastAsia="仿宋_GB2312" w:cs="宋体"/>
          <w:b/>
          <w:bCs/>
          <w:color w:val="000000" w:themeColor="text1"/>
          <w:sz w:val="32"/>
          <w:szCs w:val="32"/>
          <w:lang w:val="en-US" w:eastAsia="zh-CN" w:bidi="ar-SA"/>
        </w:rPr>
        <w:t>六是</w:t>
      </w:r>
      <w:r>
        <w:rPr>
          <w:rFonts w:hint="eastAsia" w:ascii="仿宋_GB2312" w:eastAsia="仿宋_GB2312"/>
          <w:sz w:val="32"/>
          <w:szCs w:val="32"/>
          <w:lang w:val="en-US" w:eastAsia="zh-CN"/>
        </w:rPr>
        <w:t>生态环境部门要加强日常监管，定期开展执法检查，确保水泥企业稳定达标排放。</w:t>
      </w:r>
    </w:p>
    <w:p>
      <w:pPr>
        <w:pageBreakBefore w:val="0"/>
        <w:numPr>
          <w:ilvl w:val="0"/>
          <w:numId w:val="0"/>
        </w:numPr>
        <w:kinsoku/>
        <w:wordWrap/>
        <w:overflowPunct/>
        <w:topLinePunct w:val="0"/>
        <w:bidi w:val="0"/>
        <w:spacing w:after="0" w:line="560" w:lineRule="exact"/>
        <w:ind w:firstLine="640" w:firstLineChars="200"/>
        <w:jc w:val="both"/>
        <w:textAlignment w:val="auto"/>
        <w:rPr>
          <w:rFonts w:hint="eastAsia" w:ascii="仿宋_GB2312" w:hAnsi="仿宋_GB2312" w:eastAsia="仿宋_GB2312" w:cs="仿宋_GB2312"/>
          <w:color w:val="auto"/>
          <w:sz w:val="32"/>
          <w:szCs w:val="32"/>
          <w:lang w:val="en-US" w:eastAsia="zh"/>
        </w:rPr>
      </w:pPr>
    </w:p>
    <w:p>
      <w:pPr>
        <w:keepNext w:val="0"/>
        <w:keepLines w:val="0"/>
        <w:pageBreakBefore w:val="0"/>
        <w:numPr>
          <w:ilvl w:val="0"/>
          <w:numId w:val="0"/>
        </w:numPr>
        <w:kinsoku/>
        <w:wordWrap/>
        <w:overflowPunct/>
        <w:topLinePunct w:val="0"/>
        <w:autoSpaceDE/>
        <w:autoSpaceDN/>
        <w:bidi w:val="0"/>
        <w:spacing w:after="0" w:line="600" w:lineRule="exact"/>
        <w:ind w:firstLine="640" w:firstLineChars="200"/>
        <w:textAlignment w:val="auto"/>
        <w:rPr>
          <w:rFonts w:hint="eastAsia"/>
          <w:lang w:val="en-US" w:eastAsia="zh"/>
        </w:rPr>
      </w:pPr>
      <w:r>
        <w:rPr>
          <w:rFonts w:hint="eastAsia" w:ascii="仿宋_GB2312" w:hAnsi="仿宋_GB2312" w:eastAsia="仿宋_GB2312" w:cs="仿宋_GB2312"/>
          <w:sz w:val="32"/>
          <w:szCs w:val="32"/>
          <w:lang w:val="en-US" w:eastAsia="zh-CN"/>
        </w:rPr>
        <w:t>公示时间：</w:t>
      </w:r>
      <w:r>
        <w:rPr>
          <w:rFonts w:hint="eastAsia" w:ascii="仿宋_GB2312" w:hAnsi="仿宋_GB2312" w:eastAsia="仿宋_GB2312" w:cs="仿宋_GB2312"/>
          <w:color w:val="auto"/>
          <w:sz w:val="32"/>
          <w:szCs w:val="32"/>
          <w:lang w:val="en-US" w:eastAsia="zh-CN"/>
        </w:rPr>
        <w:t>2023年12月13日至12月26日</w:t>
      </w:r>
      <w:r>
        <w:rPr>
          <w:rFonts w:hint="eastAsia" w:ascii="仿宋_GB2312" w:hAnsi="仿宋_GB2312" w:eastAsia="仿宋_GB2312" w:cs="仿宋_GB2312"/>
          <w:sz w:val="32"/>
          <w:szCs w:val="32"/>
          <w:lang w:val="en-US" w:eastAsia="zh-CN"/>
        </w:rPr>
        <w:t>，共10个工作日。如有异议，请在公示期间来电来函如实反映。</w:t>
      </w:r>
    </w:p>
    <w:p>
      <w:pPr>
        <w:pStyle w:val="9"/>
        <w:keepNext w:val="0"/>
        <w:keepLines w:val="0"/>
        <w:pageBreakBefore w:val="0"/>
        <w:kinsoku/>
        <w:wordWrap/>
        <w:overflowPunct/>
        <w:topLinePunct w:val="0"/>
        <w:bidi w:val="0"/>
        <w:spacing w:line="600" w:lineRule="exact"/>
        <w:rPr>
          <w:rFonts w:hint="eastAsia"/>
          <w:lang w:val="en-US" w:eastAsia="zh"/>
        </w:rPr>
      </w:pP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牵头责任单位电话：0901</w:t>
      </w:r>
      <w:r>
        <w:rPr>
          <w:rFonts w:hint="eastAsia" w:ascii="仿宋_GB2312" w:hAnsi="仿宋_GB2312" w:eastAsia="仿宋_GB2312" w:cs="仿宋_GB2312"/>
          <w:b w:val="0"/>
          <w:bCs w:val="0"/>
          <w:kern w:val="2"/>
          <w:sz w:val="32"/>
          <w:szCs w:val="32"/>
          <w:lang w:val="en-US" w:eastAsia="zh" w:bidi="ar-SA"/>
        </w:rPr>
        <w:t>-</w:t>
      </w:r>
      <w:r>
        <w:rPr>
          <w:rFonts w:hint="eastAsia" w:ascii="仿宋_GB2312" w:hAnsi="仿宋_GB2312" w:eastAsia="仿宋_GB2312" w:cs="仿宋_GB2312"/>
          <w:b w:val="0"/>
          <w:bCs w:val="0"/>
          <w:kern w:val="2"/>
          <w:sz w:val="32"/>
          <w:szCs w:val="32"/>
          <w:lang w:val="en-US" w:eastAsia="zh-CN" w:bidi="ar-SA"/>
        </w:rPr>
        <w:t>6227761</w:t>
      </w:r>
      <w:bookmarkStart w:id="0" w:name="_GoBack"/>
      <w:bookmarkEnd w:id="0"/>
      <w:r>
        <w:rPr>
          <w:rFonts w:hint="eastAsia" w:ascii="仿宋_GB2312" w:hAnsi="仿宋_GB2312" w:eastAsia="仿宋_GB2312" w:cs="仿宋_GB2312"/>
          <w:b w:val="0"/>
          <w:bCs w:val="0"/>
          <w:kern w:val="2"/>
          <w:sz w:val="32"/>
          <w:szCs w:val="32"/>
          <w:lang w:val="en-US" w:eastAsia="zh-CN" w:bidi="ar-SA"/>
        </w:rPr>
        <w:t>、6283090</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邮箱：tcdczggs@163.com</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牵头验收单位电话</w:t>
      </w:r>
      <w:r>
        <w:rPr>
          <w:rFonts w:hint="eastAsia" w:ascii="仿宋_GB2312" w:hAnsi="仿宋_GB2312" w:eastAsia="仿宋_GB2312" w:cs="仿宋_GB2312"/>
          <w:b w:val="0"/>
          <w:bCs w:val="0"/>
          <w:kern w:val="2"/>
          <w:sz w:val="32"/>
          <w:szCs w:val="32"/>
          <w:lang w:val="en-US" w:eastAsia="zh" w:bidi="ar-SA"/>
        </w:rPr>
        <w:t>：</w:t>
      </w:r>
      <w:r>
        <w:rPr>
          <w:rFonts w:hint="eastAsia" w:ascii="仿宋_GB2312" w:hAnsi="仿宋_GB2312" w:eastAsia="仿宋_GB2312" w:cs="仿宋_GB2312"/>
          <w:b w:val="0"/>
          <w:bCs w:val="0"/>
          <w:kern w:val="2"/>
          <w:sz w:val="32"/>
          <w:szCs w:val="32"/>
          <w:lang w:val="en-US" w:eastAsia="zh-CN" w:bidi="ar-SA"/>
        </w:rPr>
        <w:t>0901</w:t>
      </w:r>
      <w:r>
        <w:rPr>
          <w:rFonts w:hint="eastAsia" w:ascii="仿宋_GB2312" w:hAnsi="仿宋_GB2312" w:eastAsia="仿宋_GB2312" w:cs="仿宋_GB2312"/>
          <w:b w:val="0"/>
          <w:bCs w:val="0"/>
          <w:kern w:val="2"/>
          <w:sz w:val="32"/>
          <w:szCs w:val="32"/>
          <w:lang w:val="en-US" w:eastAsia="zh" w:bidi="ar-SA"/>
        </w:rPr>
        <w:t>-</w:t>
      </w:r>
      <w:r>
        <w:rPr>
          <w:rFonts w:hint="eastAsia" w:ascii="仿宋_GB2312" w:hAnsi="仿宋_GB2312" w:eastAsia="仿宋_GB2312" w:cs="仿宋_GB2312"/>
          <w:b w:val="0"/>
          <w:bCs w:val="0"/>
          <w:kern w:val="2"/>
          <w:sz w:val="32"/>
          <w:szCs w:val="32"/>
          <w:lang w:val="en-US" w:eastAsia="zh-CN" w:bidi="ar-SA"/>
        </w:rPr>
        <w:t>6227761、6283090</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right"/>
        <w:textAlignment w:val="auto"/>
        <w:rPr>
          <w:rFonts w:hint="eastAsia" w:ascii="仿宋_GB2312" w:hAnsi="仿宋_GB2312" w:eastAsia="仿宋_GB2312" w:cs="仿宋_GB2312"/>
          <w:b w:val="0"/>
          <w:bCs w:val="0"/>
          <w:kern w:val="2"/>
          <w:sz w:val="32"/>
          <w:szCs w:val="32"/>
          <w:lang w:val="en-US" w:eastAsia="zh" w:bidi="ar-SA"/>
        </w:rPr>
      </w:pP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righ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 w:bidi="ar-SA"/>
        </w:rPr>
        <w:t xml:space="preserve"> </w:t>
      </w:r>
      <w:r>
        <w:rPr>
          <w:rFonts w:hint="eastAsia" w:ascii="仿宋_GB2312" w:hAnsi="仿宋_GB2312" w:eastAsia="仿宋_GB2312" w:cs="仿宋_GB2312"/>
          <w:b w:val="0"/>
          <w:bCs w:val="0"/>
          <w:kern w:val="2"/>
          <w:sz w:val="32"/>
          <w:szCs w:val="32"/>
          <w:lang w:val="en-US" w:eastAsia="zh-CN" w:bidi="ar-SA"/>
        </w:rPr>
        <w:t>塔城地区中央环境保护督察反馈意见</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center"/>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 xml:space="preserve">               整改工作领导小组办公室</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center"/>
        <w:textAlignment w:val="auto"/>
      </w:pPr>
      <w:r>
        <w:rPr>
          <w:rFonts w:hint="eastAsia" w:ascii="仿宋_GB2312" w:hAnsi="仿宋_GB2312" w:eastAsia="仿宋_GB2312" w:cs="仿宋_GB2312"/>
          <w:b w:val="0"/>
          <w:bCs w:val="0"/>
          <w:kern w:val="2"/>
          <w:sz w:val="32"/>
          <w:szCs w:val="32"/>
          <w:lang w:val="en-US" w:eastAsia="zh-CN" w:bidi="ar-SA"/>
        </w:rPr>
        <w:t xml:space="preserve">               </w:t>
      </w:r>
      <w:r>
        <w:rPr>
          <w:rFonts w:hint="eastAsia" w:ascii="仿宋_GB2312" w:hAnsi="仿宋_GB2312" w:eastAsia="仿宋_GB2312" w:cs="仿宋_GB2312"/>
          <w:b w:val="0"/>
          <w:bCs w:val="0"/>
          <w:kern w:val="2"/>
          <w:sz w:val="32"/>
          <w:szCs w:val="32"/>
          <w:lang w:val="en-US" w:eastAsia="zh" w:bidi="ar-SA"/>
        </w:rPr>
        <w:t>202</w:t>
      </w:r>
      <w:r>
        <w:rPr>
          <w:rFonts w:hint="eastAsia" w:ascii="仿宋_GB2312" w:hAnsi="仿宋_GB2312" w:eastAsia="仿宋_GB2312" w:cs="仿宋_GB2312"/>
          <w:b w:val="0"/>
          <w:bCs w:val="0"/>
          <w:kern w:val="2"/>
          <w:sz w:val="32"/>
          <w:szCs w:val="32"/>
          <w:lang w:val="en-US" w:eastAsia="zh-CN" w:bidi="ar-SA"/>
        </w:rPr>
        <w:t>3</w:t>
      </w:r>
      <w:r>
        <w:rPr>
          <w:rFonts w:hint="eastAsia" w:ascii="仿宋_GB2312" w:hAnsi="仿宋_GB2312" w:eastAsia="仿宋_GB2312" w:cs="仿宋_GB2312"/>
          <w:b w:val="0"/>
          <w:bCs w:val="0"/>
          <w:kern w:val="2"/>
          <w:sz w:val="32"/>
          <w:szCs w:val="32"/>
          <w:lang w:val="en-US" w:eastAsia="zh" w:bidi="ar-SA"/>
        </w:rPr>
        <w:t>年</w:t>
      </w:r>
      <w:r>
        <w:rPr>
          <w:rFonts w:hint="eastAsia" w:ascii="仿宋_GB2312" w:hAnsi="仿宋_GB2312" w:eastAsia="仿宋_GB2312" w:cs="仿宋_GB2312"/>
          <w:b w:val="0"/>
          <w:bCs w:val="0"/>
          <w:kern w:val="2"/>
          <w:sz w:val="32"/>
          <w:szCs w:val="32"/>
          <w:lang w:val="en-US" w:eastAsia="zh-CN" w:bidi="ar-SA"/>
        </w:rPr>
        <w:t>12</w:t>
      </w:r>
      <w:r>
        <w:rPr>
          <w:rFonts w:hint="eastAsia" w:ascii="仿宋_GB2312" w:hAnsi="仿宋_GB2312" w:eastAsia="仿宋_GB2312" w:cs="仿宋_GB2312"/>
          <w:b w:val="0"/>
          <w:bCs w:val="0"/>
          <w:kern w:val="2"/>
          <w:sz w:val="32"/>
          <w:szCs w:val="32"/>
          <w:lang w:val="en-US" w:eastAsia="zh" w:bidi="ar-SA"/>
        </w:rPr>
        <w:t>月</w:t>
      </w:r>
      <w:r>
        <w:rPr>
          <w:rFonts w:hint="eastAsia" w:ascii="仿宋_GB2312" w:hAnsi="仿宋_GB2312" w:eastAsia="仿宋_GB2312" w:cs="仿宋_GB2312"/>
          <w:b w:val="0"/>
          <w:bCs w:val="0"/>
          <w:kern w:val="2"/>
          <w:sz w:val="32"/>
          <w:szCs w:val="32"/>
          <w:lang w:val="en-US" w:eastAsia="zh-CN" w:bidi="ar-SA"/>
        </w:rPr>
        <w:t>12</w:t>
      </w:r>
      <w:r>
        <w:rPr>
          <w:rFonts w:hint="eastAsia" w:ascii="仿宋_GB2312" w:hAnsi="仿宋_GB2312" w:eastAsia="仿宋_GB2312" w:cs="仿宋_GB2312"/>
          <w:b w:val="0"/>
          <w:bCs w:val="0"/>
          <w:kern w:val="2"/>
          <w:sz w:val="32"/>
          <w:szCs w:val="32"/>
          <w:lang w:val="en-US" w:eastAsia="zh" w:bidi="ar-SA"/>
        </w:rPr>
        <w:t>日</w:t>
      </w:r>
    </w:p>
    <w:p>
      <w:pPr>
        <w:pStyle w:val="3"/>
        <w:keepNext w:val="0"/>
        <w:keepLines w:val="0"/>
        <w:pageBreakBefore w:val="0"/>
        <w:widowControl w:val="0"/>
        <w:numPr>
          <w:ilvl w:val="0"/>
          <w:numId w:val="0"/>
        </w:numPr>
        <w:kinsoku/>
        <w:wordWrap/>
        <w:overflowPunct/>
        <w:topLinePunct w:val="0"/>
        <w:bidi w:val="0"/>
        <w:snapToGrid/>
        <w:spacing w:before="0" w:beforeAutospacing="0" w:after="0" w:afterAutospacing="0" w:line="560" w:lineRule="exact"/>
        <w:textAlignment w:val="auto"/>
        <w:outlineLvl w:val="1"/>
        <w:rPr>
          <w:rFonts w:hint="default" w:eastAsia="宋体"/>
          <w:lang w:val="en-US" w:eastAsia="zh-CN"/>
        </w:rPr>
      </w:pPr>
    </w:p>
    <w:p>
      <w:pPr>
        <w:spacing w:line="220" w:lineRule="atLeast"/>
      </w:pPr>
    </w:p>
    <w:sectPr>
      <w:pgSz w:w="11906" w:h="16838"/>
      <w:pgMar w:top="1440" w:right="1633" w:bottom="1440" w:left="1633" w:header="851" w:footer="992" w:gutter="0"/>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2010600030101010101"/>
    <w:charset w:val="50"/>
    <w:family w:val="auto"/>
    <w:pitch w:val="default"/>
    <w:sig w:usb0="00000000" w:usb1="0000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Tahoma">
    <w:altName w:val="DejaVu Sans"/>
    <w:panose1 w:val="020B0604030504040204"/>
    <w:charset w:val="00"/>
    <w:family w:val="swiss"/>
    <w:pitch w:val="default"/>
    <w:sig w:usb0="00000000" w:usb1="00000000" w:usb2="00000029" w:usb3="00000000" w:csb0="200101FF" w:csb1="20280000"/>
  </w:font>
  <w:font w:name="仿宋">
    <w:altName w:val="方正仿宋_GBK"/>
    <w:panose1 w:val="02010609060101010101"/>
    <w:charset w:val="86"/>
    <w:family w:val="auto"/>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Verdana">
    <w:altName w:val="Ubuntu"/>
    <w:panose1 w:val="020B0604030504040204"/>
    <w:charset w:val="00"/>
    <w:family w:val="swiss"/>
    <w:pitch w:val="default"/>
    <w:sig w:usb0="00000000" w:usb1="00000000" w:usb2="00000010" w:usb3="00000000" w:csb0="2000019F"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Ubuntu">
    <w:panose1 w:val="020B0604030602030204"/>
    <w:charset w:val="00"/>
    <w:family w:val="auto"/>
    <w:pitch w:val="default"/>
    <w:sig w:usb0="E00002FF" w:usb1="5000205B" w:usb2="00000000" w:usb3="00000000" w:csb0="2000009F" w:csb1="56010000"/>
  </w:font>
  <w:font w:name="方正小标宋_GBK">
    <w:panose1 w:val="02000000000000000000"/>
    <w:charset w:val="86"/>
    <w:family w:val="auto"/>
    <w:pitch w:val="default"/>
    <w:sig w:usb0="00000001" w:usb1="08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rsids>
    <w:rsidRoot w:val="00D31D50"/>
    <w:rsid w:val="00323B43"/>
    <w:rsid w:val="003D37D8"/>
    <w:rsid w:val="00426133"/>
    <w:rsid w:val="004358AB"/>
    <w:rsid w:val="008B7726"/>
    <w:rsid w:val="00D31D50"/>
    <w:rsid w:val="0306154B"/>
    <w:rsid w:val="143C71FC"/>
    <w:rsid w:val="1B717EBF"/>
    <w:rsid w:val="22DC2707"/>
    <w:rsid w:val="259E76C5"/>
    <w:rsid w:val="36F0014D"/>
    <w:rsid w:val="7FF1DE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3">
    <w:name w:val="heading 2"/>
    <w:basedOn w:val="1"/>
    <w:next w:val="4"/>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paragraph" w:styleId="2">
    <w:name w:val="heading 3"/>
    <w:basedOn w:val="1"/>
    <w:next w:val="1"/>
    <w:unhideWhenUsed/>
    <w:qFormat/>
    <w:uiPriority w:val="0"/>
    <w:pPr>
      <w:keepNext/>
      <w:keepLines/>
      <w:ind w:firstLine="200" w:firstLineChars="200"/>
      <w:jc w:val="left"/>
      <w:outlineLvl w:val="2"/>
    </w:pPr>
    <w:rPr>
      <w:rFonts w:ascii="仿宋" w:hAnsi="仿宋" w:eastAsia="仿宋" w:cs="宋体"/>
      <w:color w:val="FF0000"/>
      <w:sz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rPr>
      <w:szCs w:val="24"/>
    </w:rPr>
  </w:style>
  <w:style w:type="paragraph" w:styleId="5">
    <w:name w:val="Body Text"/>
    <w:basedOn w:val="1"/>
    <w:next w:val="1"/>
    <w:unhideWhenUsed/>
    <w:qFormat/>
    <w:uiPriority w:val="99"/>
    <w:pPr>
      <w:widowControl w:val="0"/>
      <w:spacing w:after="120"/>
      <w:jc w:val="both"/>
    </w:pPr>
    <w:rPr>
      <w:rFonts w:hint="eastAsia" w:ascii="Calibri" w:hAnsi="Calibri" w:eastAsia="宋体" w:cs="Times New Roman"/>
      <w:kern w:val="2"/>
      <w:sz w:val="21"/>
      <w:szCs w:val="24"/>
      <w:lang w:val="en-US" w:eastAsia="zh-CN" w:bidi="ar-SA"/>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9">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0">
    <w:name w:val="_Style 5"/>
    <w:qFormat/>
    <w:uiPriority w:val="0"/>
    <w:pPr>
      <w:widowControl w:val="0"/>
      <w:ind w:firstLine="200" w:firstLineChars="200"/>
      <w:jc w:val="both"/>
    </w:pPr>
    <w:rPr>
      <w:rFonts w:ascii="Calibri" w:hAnsi="Calibri" w:eastAsia="宋体" w:cs="Times New Roman"/>
      <w:kern w:val="2"/>
      <w:sz w:val="24"/>
      <w:szCs w:val="22"/>
      <w:lang w:val="en-US" w:eastAsia="zh-CN" w:bidi="ar-SA"/>
    </w:rPr>
  </w:style>
  <w:style w:type="paragraph" w:customStyle="1" w:styleId="11">
    <w:name w:val="Char"/>
    <w:basedOn w:val="1"/>
    <w:qFormat/>
    <w:uiPriority w:val="99"/>
    <w:pPr>
      <w:widowControl/>
      <w:spacing w:after="160" w:line="240" w:lineRule="exact"/>
      <w:jc w:val="left"/>
    </w:pPr>
    <w:rPr>
      <w:rFonts w:ascii="Verdana" w:hAnsi="Verdana" w:cs="Verdana"/>
      <w:kern w:val="0"/>
      <w:sz w:val="24"/>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2008-09-12T01:20:00Z</dcterms:created>
  <dc:creator>Administrator</dc:creator>
  <cp:lastModifiedBy>user</cp:lastModifiedBy>
  <dcterms:modified xsi:type="dcterms:W3CDTF">2023-12-12T18:16:41Z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9E7A11895AA44968B5AB4C72FED07573</vt:lpwstr>
  </property>
</Properties>
</file>