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12" w:rightChars="-244" w:firstLine="109" w:firstLineChars="34"/>
        <w:rPr>
          <w:rFonts w:hint="default" w:eastAsia="宋体"/>
          <w:b/>
          <w:sz w:val="32"/>
          <w:szCs w:val="32"/>
          <w:lang w:val="en-US" w:eastAsia="zh-CN"/>
        </w:rPr>
      </w:pPr>
      <w:r>
        <w:rPr>
          <w:rFonts w:hint="eastAsia"/>
          <w:b/>
          <w:sz w:val="32"/>
          <w:szCs w:val="32"/>
          <w:lang w:val="en-US" w:eastAsia="zh-CN"/>
        </w:rPr>
        <w:t>公开发布</w:t>
      </w:r>
      <w:bookmarkStart w:id="2" w:name="_GoBack"/>
      <w:bookmarkEnd w:id="2"/>
    </w:p>
    <w:p>
      <w:pPr>
        <w:ind w:right="-512" w:rightChars="-244" w:firstLine="177" w:firstLineChars="34"/>
        <w:rPr>
          <w:rFonts w:hint="eastAsia"/>
          <w:b/>
          <w:sz w:val="52"/>
          <w:szCs w:val="52"/>
        </w:rPr>
      </w:pPr>
    </w:p>
    <w:p>
      <w:pPr>
        <w:ind w:right="-512" w:rightChars="-244" w:firstLine="177" w:firstLineChars="34"/>
        <w:rPr>
          <w:rFonts w:hint="eastAsia"/>
          <w:b/>
          <w:sz w:val="52"/>
          <w:szCs w:val="52"/>
        </w:rPr>
      </w:pPr>
    </w:p>
    <w:p>
      <w:pPr>
        <w:ind w:right="-512" w:rightChars="-244" w:firstLine="177" w:firstLineChars="34"/>
        <w:rPr>
          <w:b/>
          <w:sz w:val="52"/>
          <w:szCs w:val="52"/>
        </w:rPr>
      </w:pPr>
      <w:r>
        <w:rPr>
          <w:rFonts w:hint="eastAsia"/>
          <w:b/>
          <w:sz w:val="52"/>
          <w:szCs w:val="52"/>
        </w:rPr>
        <w:t>塔城地区农</w:t>
      </w:r>
      <w:r>
        <w:rPr>
          <w:rFonts w:hint="eastAsia"/>
          <w:b/>
          <w:sz w:val="52"/>
          <w:szCs w:val="52"/>
          <w:lang w:val="en-US" w:eastAsia="zh-CN"/>
        </w:rPr>
        <w:t xml:space="preserve"> </w:t>
      </w:r>
      <w:r>
        <w:rPr>
          <w:rFonts w:hint="eastAsia"/>
          <w:b/>
          <w:sz w:val="52"/>
          <w:szCs w:val="52"/>
          <w:lang w:eastAsia="zh-CN"/>
        </w:rPr>
        <w:t>业</w:t>
      </w:r>
      <w:r>
        <w:rPr>
          <w:rFonts w:hint="eastAsia"/>
          <w:b/>
          <w:sz w:val="52"/>
          <w:szCs w:val="52"/>
          <w:lang w:val="en-US" w:eastAsia="zh-CN"/>
        </w:rPr>
        <w:t xml:space="preserve"> </w:t>
      </w:r>
      <w:r>
        <w:rPr>
          <w:rFonts w:hint="eastAsia"/>
          <w:b/>
          <w:sz w:val="52"/>
          <w:szCs w:val="52"/>
          <w:lang w:eastAsia="zh-CN"/>
        </w:rPr>
        <w:t>农</w:t>
      </w:r>
      <w:r>
        <w:rPr>
          <w:rFonts w:hint="eastAsia"/>
          <w:b/>
          <w:sz w:val="52"/>
          <w:szCs w:val="52"/>
          <w:lang w:val="en-US" w:eastAsia="zh-CN"/>
        </w:rPr>
        <w:t xml:space="preserve">  </w:t>
      </w:r>
      <w:r>
        <w:rPr>
          <w:rFonts w:hint="eastAsia"/>
          <w:b/>
          <w:sz w:val="52"/>
          <w:szCs w:val="52"/>
          <w:lang w:eastAsia="zh-CN"/>
        </w:rPr>
        <w:t>村</w:t>
      </w:r>
      <w:r>
        <w:rPr>
          <w:rFonts w:hint="eastAsia"/>
          <w:b/>
          <w:sz w:val="52"/>
          <w:szCs w:val="52"/>
          <w:lang w:val="en-US" w:eastAsia="zh-CN"/>
        </w:rPr>
        <w:t xml:space="preserve">  </w:t>
      </w:r>
      <w:r>
        <w:rPr>
          <w:rFonts w:hint="eastAsia"/>
          <w:b/>
          <w:sz w:val="52"/>
          <w:szCs w:val="52"/>
        </w:rPr>
        <w:t>局</w:t>
      </w:r>
    </w:p>
    <w:p>
      <w:pPr>
        <w:ind w:left="-358" w:leftChars="-171" w:right="-512" w:rightChars="-244" w:hanging="1"/>
        <w:rPr>
          <w:b/>
          <w:sz w:val="72"/>
          <w:szCs w:val="72"/>
        </w:rPr>
      </w:pPr>
      <w:r>
        <w:rPr>
          <w:b/>
          <w:sz w:val="52"/>
          <w:szCs w:val="52"/>
        </w:rPr>
        <w:t xml:space="preserve">                           </w:t>
      </w:r>
      <w:r>
        <w:rPr>
          <w:rFonts w:hint="eastAsia"/>
          <w:b/>
          <w:sz w:val="52"/>
          <w:szCs w:val="52"/>
          <w:lang w:val="en-US" w:eastAsia="zh-CN"/>
        </w:rPr>
        <w:t xml:space="preserve"> </w:t>
      </w:r>
      <w:r>
        <w:rPr>
          <w:rFonts w:hint="eastAsia"/>
          <w:b/>
          <w:sz w:val="72"/>
          <w:szCs w:val="72"/>
        </w:rPr>
        <w:t>文</w:t>
      </w:r>
      <w:r>
        <w:rPr>
          <w:b/>
          <w:sz w:val="72"/>
          <w:szCs w:val="72"/>
        </w:rPr>
        <w:t xml:space="preserve"> </w:t>
      </w:r>
      <w:r>
        <w:rPr>
          <w:rFonts w:hint="eastAsia"/>
          <w:b/>
          <w:sz w:val="72"/>
          <w:szCs w:val="72"/>
        </w:rPr>
        <w:t>件</w:t>
      </w:r>
    </w:p>
    <w:p>
      <w:pPr>
        <w:ind w:left="-357" w:leftChars="-170" w:right="-512" w:rightChars="-244" w:firstLine="522" w:firstLineChars="100"/>
        <w:rPr>
          <w:b/>
          <w:sz w:val="52"/>
          <w:szCs w:val="52"/>
        </w:rPr>
      </w:pPr>
      <w:r>
        <w:rPr>
          <w:rFonts w:hint="eastAsia"/>
          <w:b/>
          <w:sz w:val="52"/>
          <w:szCs w:val="52"/>
        </w:rPr>
        <w:t>塔城地区财</w:t>
      </w:r>
      <w:r>
        <w:rPr>
          <w:b/>
          <w:sz w:val="52"/>
          <w:szCs w:val="52"/>
        </w:rPr>
        <w:t xml:space="preserve">     </w:t>
      </w:r>
      <w:r>
        <w:rPr>
          <w:rFonts w:hint="eastAsia"/>
          <w:b/>
          <w:sz w:val="52"/>
          <w:szCs w:val="52"/>
        </w:rPr>
        <w:t>政</w:t>
      </w:r>
      <w:r>
        <w:rPr>
          <w:b/>
          <w:sz w:val="52"/>
          <w:szCs w:val="52"/>
        </w:rPr>
        <w:t xml:space="preserve">     </w:t>
      </w:r>
      <w:r>
        <w:rPr>
          <w:rFonts w:hint="eastAsia"/>
          <w:b/>
          <w:sz w:val="52"/>
          <w:szCs w:val="52"/>
        </w:rPr>
        <w:t>局</w:t>
      </w:r>
    </w:p>
    <w:p>
      <w:pPr>
        <w:ind w:left="-358" w:leftChars="-171" w:right="-512" w:rightChars="-244" w:hanging="1"/>
        <w:rPr>
          <w:sz w:val="32"/>
          <w:szCs w:val="32"/>
        </w:rPr>
      </w:pPr>
      <w:r>
        <w:rPr>
          <w:sz w:val="32"/>
          <w:szCs w:val="32"/>
        </w:rPr>
        <w:t xml:space="preserve">   </w:t>
      </w:r>
    </w:p>
    <w:p>
      <w:pPr>
        <w:pStyle w:val="4"/>
        <w:spacing w:line="500" w:lineRule="exact"/>
        <w:jc w:val="center"/>
        <w:rPr>
          <w:rFonts w:hAnsi="宋体" w:cs="Times New Roman"/>
          <w:bCs/>
          <w:sz w:val="32"/>
        </w:rPr>
      </w:pPr>
    </w:p>
    <w:p>
      <w:pPr>
        <w:pStyle w:val="4"/>
        <w:spacing w:line="520" w:lineRule="exact"/>
        <w:jc w:val="center"/>
        <w:rPr>
          <w:rFonts w:ascii="Times New Roman" w:hAnsi="Times New Roman" w:eastAsia="仿宋_GB2312" w:cs="Times New Roman"/>
          <w:bCs/>
          <w:sz w:val="32"/>
        </w:rPr>
      </w:pPr>
      <w:bookmarkStart w:id="0" w:name="OLE_LINK1"/>
      <w:r>
        <w:rPr>
          <w:rFonts w:hint="eastAsia" w:ascii="Times New Roman" w:hAnsi="Times New Roman" w:eastAsia="仿宋_GB2312" w:cs="Times New Roman"/>
          <w:bCs/>
          <w:sz w:val="32"/>
        </w:rPr>
        <w:t>塔地</w:t>
      </w:r>
      <w:r>
        <w:rPr>
          <w:rFonts w:hint="eastAsia" w:ascii="Times New Roman" w:hAnsi="Times New Roman" w:eastAsia="仿宋_GB2312" w:cs="Times New Roman"/>
          <w:bCs/>
          <w:sz w:val="32"/>
          <w:lang w:eastAsia="zh-CN"/>
        </w:rPr>
        <w:t>农业农村</w:t>
      </w:r>
      <w:r>
        <w:rPr>
          <w:rFonts w:hint="eastAsia" w:ascii="Times New Roman" w:hAnsi="Times New Roman" w:eastAsia="仿宋_GB2312" w:cs="Times New Roman"/>
          <w:bCs/>
          <w:sz w:val="32"/>
        </w:rPr>
        <w:t>字</w:t>
      </w:r>
      <w:r>
        <w:rPr>
          <w:rFonts w:hint="eastAsia" w:ascii="仿宋_GB2312" w:hAnsi="仿宋" w:eastAsia="仿宋_GB2312" w:cs="文星简小标宋"/>
          <w:sz w:val="32"/>
          <w:szCs w:val="32"/>
        </w:rPr>
        <w:t>〔</w:t>
      </w:r>
      <w:r>
        <w:rPr>
          <w:rFonts w:ascii="仿宋_GB2312" w:hAnsi="仿宋" w:eastAsia="仿宋_GB2312" w:cs="文星简小标宋"/>
          <w:sz w:val="32"/>
          <w:szCs w:val="32"/>
        </w:rPr>
        <w:t>20</w:t>
      </w:r>
      <w:r>
        <w:rPr>
          <w:rFonts w:hint="eastAsia" w:ascii="仿宋_GB2312" w:hAnsi="仿宋" w:eastAsia="仿宋_GB2312" w:cs="文星简小标宋"/>
          <w:sz w:val="32"/>
          <w:szCs w:val="32"/>
          <w:lang w:val="en-US" w:eastAsia="zh-CN"/>
        </w:rPr>
        <w:t>2</w:t>
      </w:r>
      <w:r>
        <w:rPr>
          <w:rFonts w:ascii="仿宋_GB2312" w:hAnsi="仿宋" w:eastAsia="仿宋_GB2312" w:cs="文星简小标宋"/>
          <w:sz w:val="32"/>
          <w:szCs w:val="32"/>
        </w:rPr>
        <w:t>1</w:t>
      </w:r>
      <w:r>
        <w:rPr>
          <w:rFonts w:hint="eastAsia" w:ascii="仿宋_GB2312" w:hAnsi="仿宋" w:eastAsia="仿宋_GB2312" w:cs="文星简小标宋"/>
          <w:sz w:val="32"/>
          <w:szCs w:val="32"/>
        </w:rPr>
        <w:t>〕</w:t>
      </w:r>
      <w:r>
        <w:rPr>
          <w:rFonts w:hint="eastAsia" w:ascii="仿宋_GB2312" w:hAnsi="仿宋" w:eastAsia="仿宋_GB2312" w:cs="文星简小标宋"/>
          <w:sz w:val="32"/>
          <w:szCs w:val="32"/>
          <w:lang w:val="en-US" w:eastAsia="zh-CN"/>
        </w:rPr>
        <w:t>6</w:t>
      </w:r>
      <w:r>
        <w:rPr>
          <w:rFonts w:hint="eastAsia" w:ascii="仿宋_GB2312" w:hAnsi="仿宋" w:eastAsia="仿宋_GB2312" w:cs="文星简小标宋"/>
          <w:sz w:val="32"/>
          <w:szCs w:val="32"/>
        </w:rPr>
        <w:t>4号</w:t>
      </w:r>
      <w:bookmarkEnd w:id="0"/>
    </w:p>
    <w:p>
      <w:pPr>
        <w:pStyle w:val="4"/>
        <w:spacing w:line="500" w:lineRule="exact"/>
        <w:rPr>
          <w:rFonts w:hint="eastAsia" w:hAnsi="宋体"/>
          <w:bCs/>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177800</wp:posOffset>
                </wp:positionV>
                <wp:extent cx="5629910" cy="1905"/>
                <wp:effectExtent l="0" t="13970" r="8890" b="22225"/>
                <wp:wrapNone/>
                <wp:docPr id="1" name="任意多边形 1"/>
                <wp:cNvGraphicFramePr/>
                <a:graphic xmlns:a="http://schemas.openxmlformats.org/drawingml/2006/main">
                  <a:graphicData uri="http://schemas.microsoft.com/office/word/2010/wordprocessingShape">
                    <wps:wsp>
                      <wps:cNvSpPr/>
                      <wps:spPr>
                        <a:xfrm>
                          <a:off x="0" y="0"/>
                          <a:ext cx="5629910" cy="1905"/>
                        </a:xfrm>
                        <a:custGeom>
                          <a:avLst/>
                          <a:gdLst/>
                          <a:ahLst/>
                          <a:cxnLst/>
                          <a:pathLst>
                            <a:path w="8866" h="3">
                              <a:moveTo>
                                <a:pt x="0" y="3"/>
                              </a:moveTo>
                              <a:lnTo>
                                <a:pt x="8866" y="0"/>
                              </a:lnTo>
                            </a:path>
                          </a:pathLst>
                        </a:custGeom>
                        <a:noFill/>
                        <a:ln w="2857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0pt;margin-top:14pt;height:0.15pt;width:443.3pt;z-index:251659264;mso-width-relative:page;mso-height-relative:page;" filled="f" stroked="t" coordsize="8866,3" o:gfxdata="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xP5kNYAAAAGAQAADwAAAAAAAAABACAAAAAiAAAAZHJzL2Rvd25yZXYueG1s&#10;UEsBAhQAFAAAAAgAh07iQGli/4szAgAAjAQAAA4AAAAAAAAAAQAgAAAAJQEAAGRycy9lMm9Eb2Mu&#10;eG1sUEsFBgAAAAAGAAYAWQEAAMoFAAAAAA==&#10;" path="m0,3l8866,0e">
                <v:fill on="f" focussize="0,0"/>
                <v:stroke weight="2.25pt" color="#000000" joinstyle="round"/>
                <v:imagedata o:title=""/>
                <o:lock v:ext="edit" aspectratio="f"/>
              </v:shape>
            </w:pict>
          </mc:Fallback>
        </mc:AlternateContent>
      </w:r>
    </w:p>
    <w:p>
      <w:pPr>
        <w:jc w:val="center"/>
        <w:rPr>
          <w:rFonts w:hint="eastAsia" w:ascii="宋体" w:hAnsi="宋体"/>
          <w:b/>
          <w:bCs/>
          <w:sz w:val="44"/>
          <w:szCs w:val="44"/>
        </w:rPr>
      </w:pP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关于印发《塔城地区2021-2023年农业机械</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购置补贴实施方案》的通知</w:t>
      </w:r>
    </w:p>
    <w:p/>
    <w:p>
      <w:pPr>
        <w:pStyle w:val="2"/>
      </w:pPr>
    </w:p>
    <w:p>
      <w:pPr>
        <w:pStyle w:val="2"/>
        <w:spacing w:after="0" w:line="600" w:lineRule="exact"/>
        <w:ind w:left="0" w:leftChars="0" w:firstLine="0" w:firstLineChars="0"/>
        <w:rPr>
          <w:rFonts w:hint="eastAsia" w:ascii="仿宋_GB2312" w:hAnsi="仿宋_GB2312" w:eastAsia="仿宋_GB2312" w:cs="仿宋_GB2312"/>
          <w:color w:val="000000"/>
          <w:sz w:val="32"/>
          <w:szCs w:val="32"/>
        </w:rPr>
      </w:pPr>
      <w:bookmarkStart w:id="1" w:name="OLE_LINK2"/>
      <w:r>
        <w:rPr>
          <w:rFonts w:hint="eastAsia" w:ascii="仿宋_GB2312" w:hAnsi="仿宋_GB2312" w:eastAsia="仿宋_GB2312" w:cs="仿宋_GB2312"/>
          <w:sz w:val="32"/>
          <w:szCs w:val="32"/>
        </w:rPr>
        <w:t>各</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（市）农业农村局、财政局：</w:t>
      </w:r>
    </w:p>
    <w:p>
      <w:pPr>
        <w:pStyle w:val="2"/>
        <w:spacing w:after="0" w:line="600" w:lineRule="exact"/>
        <w:ind w:left="0" w:leftChars="0"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为规范实施农机购置补贴政策，充分发挥政策效益，推动农业机械化向全程全面高质高效转型升级，助力全面推进乡村振兴和加快农业农村现代化，根据自治区农业农村</w:t>
      </w:r>
      <w:r>
        <w:rPr>
          <w:rFonts w:hint="eastAsia" w:ascii="仿宋_GB2312" w:hAnsi="仿宋_GB2312" w:eastAsia="仿宋_GB2312" w:cs="仿宋_GB2312"/>
          <w:color w:val="000000"/>
          <w:sz w:val="32"/>
          <w:szCs w:val="32"/>
          <w:lang w:eastAsia="zh-CN"/>
        </w:rPr>
        <w:t>厅、</w:t>
      </w:r>
      <w:r>
        <w:rPr>
          <w:rFonts w:hint="eastAsia" w:ascii="仿宋_GB2312" w:hAnsi="仿宋_GB2312" w:eastAsia="仿宋_GB2312" w:cs="仿宋_GB2312"/>
          <w:color w:val="000000"/>
          <w:sz w:val="32"/>
          <w:szCs w:val="32"/>
        </w:rPr>
        <w:t>自治区财政厅《新疆维吾尔自治区2021-2023年农业机械购置补贴实施方案》精神，</w:t>
      </w:r>
      <w:r>
        <w:rPr>
          <w:rFonts w:hint="eastAsia" w:ascii="仿宋_GB2312" w:hAnsi="仿宋_GB2312" w:eastAsia="仿宋_GB2312" w:cs="仿宋_GB2312"/>
          <w:color w:val="000000"/>
          <w:sz w:val="32"/>
          <w:szCs w:val="32"/>
          <w:lang w:eastAsia="zh-CN"/>
        </w:rPr>
        <w:t>地区</w:t>
      </w:r>
      <w:r>
        <w:rPr>
          <w:rFonts w:hint="eastAsia" w:ascii="仿宋_GB2312" w:hAnsi="仿宋_GB2312" w:eastAsia="仿宋_GB2312" w:cs="仿宋_GB2312"/>
          <w:color w:val="000000"/>
          <w:sz w:val="32"/>
          <w:szCs w:val="32"/>
        </w:rPr>
        <w:t>组织制定了《塔城地区2021-2023年农业机械购置补贴实施方案》，现印发你们，请遵照执行。</w:t>
      </w:r>
    </w:p>
    <w:p>
      <w:pPr>
        <w:pStyle w:val="7"/>
        <w:widowControl w:val="0"/>
        <w:snapToGrid w:val="0"/>
        <w:spacing w:before="0" w:beforeAutospacing="0" w:after="0" w:afterAutospacing="0" w:line="560" w:lineRule="exact"/>
        <w:jc w:val="center"/>
        <w:rPr>
          <w:rFonts w:hint="eastAsia" w:ascii="仿宋_GB2312" w:hAnsi="仿宋_GB2312" w:eastAsia="仿宋_GB2312" w:cs="仿宋_GB2312"/>
          <w:color w:val="000000"/>
          <w:sz w:val="32"/>
          <w:szCs w:val="32"/>
        </w:rPr>
      </w:pPr>
    </w:p>
    <w:p>
      <w:pPr>
        <w:pStyle w:val="2"/>
        <w:spacing w:after="0" w:line="600" w:lineRule="exact"/>
        <w:ind w:left="0" w:leftChars="0" w:firstLine="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附件：1.塔城地区</w:t>
      </w:r>
      <w:r>
        <w:rPr>
          <w:rFonts w:hint="eastAsia" w:ascii="仿宋_GB2312" w:hAnsi="仿宋_GB2312" w:eastAsia="仿宋_GB2312" w:cs="仿宋_GB2312"/>
          <w:color w:val="000000"/>
          <w:spacing w:val="-20"/>
          <w:sz w:val="32"/>
          <w:szCs w:val="32"/>
        </w:rPr>
        <w:t>2021-2023年农业机械购置补贴实施方案</w:t>
      </w:r>
    </w:p>
    <w:p>
      <w:pPr>
        <w:pStyle w:val="2"/>
        <w:spacing w:after="0" w:line="600" w:lineRule="exact"/>
        <w:ind w:left="0" w:leftChars="0"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2.2021-2023年塔城地区农机购置补贴机具种类范围</w:t>
      </w:r>
    </w:p>
    <w:p>
      <w:pPr>
        <w:pStyle w:val="7"/>
        <w:widowControl w:val="0"/>
        <w:snapToGrid w:val="0"/>
        <w:spacing w:before="0" w:beforeAutospacing="0" w:after="0" w:afterAutospacing="0" w:line="560" w:lineRule="exact"/>
        <w:ind w:firstLine="880"/>
        <w:jc w:val="both"/>
        <w:rPr>
          <w:rFonts w:hint="eastAsia" w:ascii="仿宋_GB2312" w:hAnsi="仿宋_GB2312" w:eastAsia="仿宋_GB2312" w:cs="仿宋_GB2312"/>
          <w:color w:val="000000"/>
          <w:sz w:val="32"/>
          <w:szCs w:val="32"/>
        </w:rPr>
      </w:pPr>
    </w:p>
    <w:p>
      <w:pPr>
        <w:pStyle w:val="7"/>
        <w:widowControl w:val="0"/>
        <w:snapToGrid w:val="0"/>
        <w:spacing w:before="0" w:beforeAutospacing="0" w:after="0" w:afterAutospacing="0" w:line="560" w:lineRule="exact"/>
        <w:ind w:firstLine="880"/>
        <w:jc w:val="both"/>
        <w:rPr>
          <w:rFonts w:hint="eastAsia" w:ascii="仿宋_GB2312" w:hAnsi="仿宋_GB2312" w:eastAsia="仿宋_GB2312" w:cs="仿宋_GB2312"/>
          <w:color w:val="000000"/>
          <w:sz w:val="32"/>
          <w:szCs w:val="32"/>
        </w:rPr>
      </w:pPr>
    </w:p>
    <w:p>
      <w:pPr>
        <w:pStyle w:val="7"/>
        <w:widowControl w:val="0"/>
        <w:snapToGrid w:val="0"/>
        <w:spacing w:before="0" w:beforeAutospacing="0" w:after="0" w:afterAutospacing="0" w:line="560" w:lineRule="exact"/>
        <w:jc w:val="center"/>
        <w:rPr>
          <w:rFonts w:hint="eastAsia" w:ascii="仿宋_GB2312" w:hAnsi="仿宋_GB2312" w:eastAsia="仿宋_GB2312" w:cs="仿宋_GB2312"/>
          <w:color w:val="000000"/>
          <w:sz w:val="32"/>
          <w:szCs w:val="32"/>
        </w:rPr>
      </w:pPr>
    </w:p>
    <w:p>
      <w:pPr>
        <w:pStyle w:val="7"/>
        <w:widowControl w:val="0"/>
        <w:snapToGrid w:val="0"/>
        <w:spacing w:before="0" w:beforeAutospacing="0" w:after="0" w:afterAutospacing="0" w:line="560" w:lineRule="exact"/>
        <w:jc w:val="center"/>
        <w:rPr>
          <w:rFonts w:hint="eastAsia" w:ascii="仿宋_GB2312" w:hAnsi="仿宋_GB2312" w:eastAsia="仿宋_GB2312" w:cs="仿宋_GB2312"/>
          <w:color w:val="000000"/>
          <w:sz w:val="32"/>
          <w:szCs w:val="32"/>
        </w:rPr>
      </w:pPr>
    </w:p>
    <w:p>
      <w:pPr>
        <w:pStyle w:val="7"/>
        <w:widowControl w:val="0"/>
        <w:snapToGrid w:val="0"/>
        <w:spacing w:before="0" w:beforeAutospacing="0" w:after="0" w:afterAutospacing="0" w:line="560" w:lineRule="exact"/>
        <w:jc w:val="center"/>
        <w:rPr>
          <w:rFonts w:hint="eastAsia" w:ascii="仿宋_GB2312" w:hAnsi="仿宋_GB2312" w:eastAsia="仿宋_GB2312" w:cs="仿宋_GB2312"/>
          <w:color w:val="000000"/>
          <w:sz w:val="32"/>
          <w:szCs w:val="32"/>
        </w:rPr>
      </w:pPr>
    </w:p>
    <w:p>
      <w:pPr>
        <w:pStyle w:val="2"/>
        <w:spacing w:after="0" w:line="600" w:lineRule="exact"/>
        <w:ind w:left="0" w:leftChars="0"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塔城地区</w:t>
      </w:r>
      <w:r>
        <w:rPr>
          <w:rFonts w:hint="eastAsia" w:ascii="仿宋_GB2312" w:hAnsi="仿宋_GB2312" w:eastAsia="仿宋_GB2312" w:cs="仿宋_GB2312"/>
          <w:color w:val="000000"/>
          <w:sz w:val="32"/>
          <w:szCs w:val="32"/>
        </w:rPr>
        <w:t>农业农村</w:t>
      </w:r>
      <w:r>
        <w:rPr>
          <w:rFonts w:hint="eastAsia" w:ascii="仿宋_GB2312" w:hAnsi="仿宋_GB2312" w:eastAsia="仿宋_GB2312" w:cs="仿宋_GB2312"/>
          <w:color w:val="000000"/>
          <w:sz w:val="32"/>
          <w:szCs w:val="32"/>
          <w:lang w:eastAsia="zh-CN"/>
        </w:rPr>
        <w:t>局</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塔城地区</w:t>
      </w:r>
      <w:r>
        <w:rPr>
          <w:rFonts w:hint="eastAsia" w:ascii="仿宋_GB2312" w:hAnsi="仿宋_GB2312" w:eastAsia="仿宋_GB2312" w:cs="仿宋_GB2312"/>
          <w:color w:val="000000"/>
          <w:sz w:val="32"/>
          <w:szCs w:val="32"/>
        </w:rPr>
        <w:t>财政</w:t>
      </w:r>
      <w:r>
        <w:rPr>
          <w:rFonts w:hint="eastAsia" w:ascii="仿宋_GB2312" w:hAnsi="仿宋_GB2312" w:eastAsia="仿宋_GB2312" w:cs="仿宋_GB2312"/>
          <w:color w:val="000000"/>
          <w:sz w:val="32"/>
          <w:szCs w:val="32"/>
          <w:lang w:eastAsia="zh-CN"/>
        </w:rPr>
        <w:t>局</w:t>
      </w:r>
    </w:p>
    <w:p>
      <w:pPr>
        <w:pStyle w:val="2"/>
        <w:spacing w:after="0" w:line="600" w:lineRule="exact"/>
        <w:ind w:left="0" w:leftChars="0" w:firstLine="64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pStyle w:val="2"/>
        <w:spacing w:after="0" w:line="600" w:lineRule="exact"/>
        <w:ind w:left="0" w:leftChars="0"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日</w:t>
      </w:r>
    </w:p>
    <w:p>
      <w:pPr>
        <w:pStyle w:val="7"/>
        <w:widowControl w:val="0"/>
        <w:snapToGrid w:val="0"/>
        <w:spacing w:before="0" w:beforeAutospacing="0" w:after="0" w:afterAutospacing="0" w:line="560" w:lineRule="exact"/>
        <w:jc w:val="center"/>
        <w:rPr>
          <w:rFonts w:hint="eastAsia" w:ascii="仿宋_GB2312" w:hAnsi="仿宋_GB2312" w:eastAsia="仿宋_GB2312" w:cs="仿宋_GB2312"/>
          <w:color w:val="000000"/>
          <w:sz w:val="32"/>
          <w:szCs w:val="32"/>
        </w:rPr>
      </w:pPr>
    </w:p>
    <w:p>
      <w:pPr>
        <w:pStyle w:val="7"/>
        <w:widowControl w:val="0"/>
        <w:snapToGrid w:val="0"/>
        <w:spacing w:before="0" w:beforeAutospacing="0" w:after="0" w:afterAutospacing="0" w:line="560" w:lineRule="exact"/>
        <w:jc w:val="center"/>
        <w:rPr>
          <w:rFonts w:hint="eastAsia" w:ascii="仿宋_GB2312" w:hAnsi="仿宋_GB2312" w:eastAsia="仿宋_GB2312" w:cs="仿宋_GB2312"/>
          <w:color w:val="000000"/>
          <w:sz w:val="32"/>
          <w:szCs w:val="32"/>
        </w:rPr>
      </w:pPr>
    </w:p>
    <w:bookmarkEnd w:id="1"/>
    <w:p>
      <w:pPr>
        <w:spacing w:line="560" w:lineRule="exact"/>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240" w:lineRule="exact"/>
        <w:rPr>
          <w:rFonts w:hint="eastAsia" w:ascii="仿宋_GB2312" w:hAnsi="仿宋_GB2312" w:eastAsia="仿宋_GB2312" w:cs="仿宋_GB2312"/>
          <w:sz w:val="32"/>
          <w:szCs w:val="32"/>
        </w:rPr>
      </w:pPr>
    </w:p>
    <w:p>
      <w:pPr>
        <w:spacing w:line="2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85725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6.75pt;height:0pt;width:441pt;z-index:251663360;mso-width-relative:page;mso-height-relative:page;" filled="f" stroked="t" coordsize="21600,21600" o:gfxdata="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jQq3XTAAAABwEAAA8AAAAAAAAAAQAgAAAAIgAAAGRycy9kb3ducmV2LnhtbFBLAQIUABQA&#10;AAAIAIdO4kDU2NT+9QEAAOQDAAAOAAAAAAAAAAEAIAAAACIBAABkcnMvZTJvRG9jLnhtbFBLBQYA&#10;AAAABgAGAFkBAACJBQAAAAA=&#10;">
                <v:fill on="f" focussize="0,0"/>
                <v:stroke color="#000000" joinstyle="round"/>
                <v:imagedata o:title=""/>
                <o:lock v:ext="edit" aspectratio="f"/>
              </v:line>
            </w:pict>
          </mc:Fallback>
        </mc:AlternateContent>
      </w:r>
    </w:p>
    <w:p>
      <w:pPr>
        <w:tabs>
          <w:tab w:val="left" w:pos="445"/>
        </w:tabs>
        <w:ind w:left="2" w:hanging="3" w:hangingChars="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2pt;height:0pt;width:0.05pt;z-index:251662336;mso-width-relative:page;mso-height-relative:page;" filled="f" stroked="t" coordsize="21600,21600" o:gfxdata="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H35&#10;CNAAAAADAQAADwAAAAAAAAABACAAAAAiAAAAZHJzL2Rvd25yZXYueG1sUEsBAhQAFAAAAAgAh07i&#10;QLhjKsHxAQAA4AMAAA4AAAAAAAAAAQAgAAAAHwEAAGRycy9lMm9Eb2MueG1sUEsFBgAAAAAGAAYA&#10;WQEAAII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lang w:eastAsia="zh-CN"/>
        </w:rPr>
        <w:t>抄送：自治区农业农村厅、自治区财政厅农业处</w:t>
      </w:r>
    </w:p>
    <w:p>
      <w:pPr>
        <w:spacing w:line="2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85725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6.75pt;height:0pt;width:441pt;z-index:251661312;mso-width-relative:page;mso-height-relative:page;" filled="f" stroked="t" coordsize="21600,21600" o:gfxdata="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erMCbTAAAABwEAAA8AAAAAAAAAAQAgAAAAIgAAAGRycy9kb3ducmV2LnhtbFBLAQIUABQA&#10;AAAIAIdO4kDzpPxK9QEAAOQDAAAOAAAAAAAAAAEAIAAAACIBAABkcnMvZTJvRG9jLnhtbFBLBQYA&#10;AAAABgAGAFkBAACJBQAAAAA=&#10;">
                <v:fill on="f" focussize="0,0"/>
                <v:stroke color="#000000" joinstyle="round"/>
                <v:imagedata o:title=""/>
                <o:lock v:ext="edit" aspectratio="f"/>
              </v:line>
            </w:pict>
          </mc:Fallback>
        </mc:AlternateContent>
      </w:r>
    </w:p>
    <w:p>
      <w:pPr>
        <w:tabs>
          <w:tab w:val="left" w:pos="4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396240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2pt;height:0pt;width:0.05pt;z-index:251660288;mso-width-relative:page;mso-height-relative:page;" filled="f" stroked="t" coordsize="21600,21600" o:gfxdata="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wffkI&#10;0AAAAAMBAAAPAAAAAAAAAAEAIAAAACIAAABkcnMvZG93bnJldi54bWxQSwECFAAUAAAACACHTuJA&#10;+Kbn+/ABAADgAwAADgAAAAAAAAABACAAAAAfAQAAZHJzL2Uyb0RvYy54bWxQSwUGAAAAAAYABgBZ&#10;AQAAgQ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w:t>塔城地区农</w:t>
      </w:r>
      <w:r>
        <w:rPr>
          <w:rFonts w:hint="eastAsia" w:ascii="仿宋_GB2312" w:hAnsi="仿宋_GB2312" w:eastAsia="仿宋_GB2312" w:cs="仿宋_GB2312"/>
          <w:sz w:val="32"/>
          <w:szCs w:val="32"/>
          <w:lang w:eastAsia="zh-CN"/>
        </w:rPr>
        <w:t>业农村</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日印发</w:t>
      </w:r>
    </w:p>
    <w:p>
      <w:pPr>
        <w:pStyle w:val="3"/>
      </w:pPr>
    </w:p>
    <w:p>
      <w:pPr>
        <w:pStyle w:val="3"/>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塔城地区2021-2023年农业机械购置补贴实施方案</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党的十九大和十九届二中、三中、四中、五中全会精神，贯彻落实第三次中央新疆工作座谈会精神，认真落实自治区党委九届十次、十一次全会精神、自治区党委农村工作会议精神，按照自治区党委“3+1”部署要求，坚持“稳粮、优棉、强果、兴畜、促特色”总思路，以满足广大农牧民对机械化生产的需要为目标，以稳定实施政策、最大限度发挥政策效益为主线，稳重点、扩范围、优服务、强监管、提效能，持续提升政策实施的精准化、规范化、便利化水平，支持引导农民购置使用先进适用的农业机械，引领推动农业机械化向全程全面高质高效发展，加快推动农机装备产业转型升级，为实施乡村振兴战略、推进农业农村现代化提供坚实支撑。</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二、补贴范围和补贴机具</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自治区享受中央财政补贴的机具种类范围为15大类42个小类155个品目（详见附件2）。各县（市）可以根据农业生产需要和资金供需实际，从自治区补贴范围中选取本县（市）补贴机具品目，优先保障粮棉、林果、畜牧养殖、设施、特色等重要农产品生产以及支持残膜回收、</w:t>
      </w:r>
      <w:r>
        <w:rPr>
          <w:rFonts w:hint="eastAsia" w:ascii="仿宋_GB2312" w:hAnsi="仿宋_GB2312" w:eastAsia="仿宋_GB2312" w:cs="仿宋_GB2312"/>
          <w:spacing w:val="-6"/>
          <w:sz w:val="32"/>
          <w:szCs w:val="32"/>
        </w:rPr>
        <w:t>翻堆肥等农业绿色发展和数字化发展所需机具的补贴需要。</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地方特色农业发展所需和小区域适用性强的机具，可列入县级财政安排资金的补贴范围，具体补贴机具品目和补贴标准由地方自定，不得占用中央财政补贴资金。补贴机具必须是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支持农机创新产品列入补贴范围。全面贯彻落实新修订的《农业机械试验鉴定办法》，积极开展农机专项鉴定，加快农机创新产品获得农机试验鉴定证书步伐，并按规定列入补贴范围。继续组织实施中央财政农机新产品购置补贴试点，对尚不能通过农机专项鉴定取得补贴资质的创新产品和成套设施装备等给予支持，重点补贴建设标准成熟的烘干机配套设施、温室大棚骨架和标准化猪舍钢结构、智能养殖设备、蔬菜初加工成套设备、林果初加工成套设备、蜜蜂养殖及蜂产品初加工成套设施装备等。全面开展植保无人驾驶航空器购置补贴工作，具体操作办法另行通知，在此之前，继续按有关规定实施引导植保无人飞机规范应用试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三、补贴对象和补贴标准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补贴对象为从事农业生产的个人和农业生产经营组织（以下简称“购机者”），其中农业生产经营组织包括农村集体经济组织、农民专业合作经济组织、农业企业和其他从事农业生产经营的组织。</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中央财政农机购置补贴实行定额补贴，即同一种类、同一档次农业机械实行统一的补贴标准。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保持补贴额总体稳定，全面公开农机购置补贴机具分类分档与补贴额一览表，加强宣传，引导购机者根据各档次的补贴定额自主议价，不再对外公布具体产品的补贴额。</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在政策实施过程中发现具体产品或档次的中央财政资金实际补贴比例超过50%的，应及时上报或组织调查，对有违规情节的，按相关规定处理；对无违规情节的补贴申请，可按原规定兑付补贴资金。自治区农业农村厅组织对相关产品及其所属档次补贴额进行评估，视情况及时调整。</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从事农业生产的个人年度内享受补贴购置农机具的总数原则上不得超过5台（套），从事农业生产的农业生产经营组织年度内享受补贴购置农机具的总数原则上不得超过15台（套）。</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四、资金分配与使用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购置补贴支出主要用于支持购置先进适用农业机械，以及开展有关试点和农机报废更新等方面。地区农业农村部门会同财政部门采用因素法测算分配资金，不突破县级需求上限分配补贴资金，调减资金结转量大、政策实施风险高、资金使用效益低县（市）的预算规模。财政部门会同农业农村部门加强资金使用情况监测，定期调度和发布各县（市）资金使用进度，督促相关县（市）优先使用结转资金，督促预算执行较慢的县（市）加快使用，并按需组织开展县（市）际余缺调剂，重点将实施进度低于序时进度县（市）的补贴资金调增给已出现供需缺口的县（市），确保不发生资金大量结转，促进资金使用实现两年动态紧平衡。对于上年超录部分的优先使用下年年度资金进行兑付，兑付标准按照上年标准执行。</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加快推进农机报废更新补贴工作。县（市）农业农村部门依据《新疆维吾尔自治区农业机械化促进条例》第三章第二十三条之规定，以及《新疆维吾尔自治区农业机械报废更新补贴实施方案》（新农机〔2020〕151号）规定的申报公布流程，对提交报废农机回收资质认定申请的农机合作社或其他企业，予以现场核查、公示，对符合要求的颁发《新疆维吾尔自治区报废农机回收企业认定书》，准予从事报废农机回收。依据《新疆维吾尔自治区农业机械化促进条例》第四十三条规定及《新疆维吾尔自治区农业机械报废更新补贴实施方案》相关规定，加强对报废农机回收企业的依法监督管理。</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购置补贴属约束性任务，资金必须足额保障，不得用于其他任务支出。对于挪用专项资金现象，将严格按照相关财经纪律进行处理，并相应调减来年资金分配数量。各级财政部门要保障补贴工作实施必要的组织管理经费。</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五、操作流程</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购置补贴政策按照“自主购机、定额补贴、先购后补、县级结算、直补到卡（户）”方式实施。购机者自主选择购买机具，按市场化原则自行与农机产销企业协商确定购机价格与支付方式，并对交易行为真实性、有效性和可能发生的纠纷承担法律责任。购机行为完成后，购机者自主向乡镇农牧发展服务中心提出补贴资金申领事项，签署告知承诺书，承诺购买行为、发票购机价格等信息真实有效，按相关规定申办补贴。</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各地农机购置补贴政策实施工作按以下流程操作。</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（一）发布实施规定。</w:t>
      </w:r>
      <w:r>
        <w:rPr>
          <w:rFonts w:hint="eastAsia" w:ascii="仿宋_GB2312" w:hAnsi="仿宋_GB2312" w:eastAsia="仿宋_GB2312" w:cs="仿宋_GB2312"/>
          <w:sz w:val="32"/>
          <w:szCs w:val="32"/>
        </w:rPr>
        <w:t>各级农业农村、财政管理部门按职责分工和有关规定发布本地区农机购置补贴实施方案、操作程序、补贴额一览表、补贴机具信息表、咨询投诉举报电话等信息。</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（二）组织机具投档。</w:t>
      </w:r>
      <w:r>
        <w:rPr>
          <w:rFonts w:hint="eastAsia" w:ascii="仿宋_GB2312" w:hAnsi="仿宋_GB2312" w:eastAsia="仿宋_GB2312" w:cs="仿宋_GB2312"/>
          <w:sz w:val="32"/>
          <w:szCs w:val="32"/>
        </w:rPr>
        <w:t>自治区农业农村部门按照《农机购置补贴机具投档工作规范（试行）》等要求，全面运用农机购置补贴机具自主投档平台，常年受理企业投档，组织开展形式审核，公示公布投档结果，并导入办理服务系统。</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（三）受理补贴申请。</w:t>
      </w:r>
      <w:r>
        <w:rPr>
          <w:rFonts w:hint="eastAsia" w:ascii="仿宋_GB2312" w:hAnsi="仿宋_GB2312" w:eastAsia="仿宋_GB2312" w:cs="仿宋_GB2312"/>
          <w:sz w:val="32"/>
          <w:szCs w:val="32"/>
        </w:rPr>
        <w:t>县级农业农村部门全面实行办理服务系统常年连续开放，推广使用带有人脸识别功能的手机App等信息化技术，方便购机者随时在线提交补贴申请、应录尽录，加快实现购机者线下申领补贴“最多跑一次”“最多跑一地”。县级农机购置补贴资金申请数量达到当年可用资金（含结转资金和调剂资金）总量110%的，县农业农村局应及时发布公告，停止受理补贴申请。</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（四）审验公示信息。</w:t>
      </w:r>
      <w:r>
        <w:rPr>
          <w:rFonts w:hint="eastAsia" w:ascii="仿宋_GB2312" w:hAnsi="仿宋_GB2312" w:eastAsia="仿宋_GB2312" w:cs="仿宋_GB2312"/>
          <w:sz w:val="32"/>
          <w:szCs w:val="32"/>
        </w:rPr>
        <w:t>县级农业农村局按照《农机购置补贴机具核验工作要点（试行）》等要求，对补贴相关申请资料进行形式审核，对补贴机具进行核验，其中牌证管理机具凭牌证免于现场实物核验。农业农村局在收到购机者补贴申请后，应于2个工作日内做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鼓励在乡村或补贴申请点公示栏中同时公开公示信息。</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（五）兑付补贴资金。</w:t>
      </w:r>
      <w:r>
        <w:rPr>
          <w:rFonts w:hint="eastAsia" w:ascii="仿宋_GB2312" w:hAnsi="仿宋_GB2312" w:eastAsia="仿宋_GB2312" w:cs="仿宋_GB2312"/>
          <w:sz w:val="32"/>
          <w:szCs w:val="32"/>
        </w:rPr>
        <w:t>县级农业农村局向地区农业农村局、县级财政部门提交资金兑付申请与有关材料，于15个工作日内经地区抽查核实报地区财政部门审批后，通过国库“一卡通”集中支付方式向符合要求的购机者兑付资金。严禁挤占挪用农机购置补贴资金。因资金不足或加强监管等原因需要延期兑付的，应告知购机者，并及时与同级农业农村部门联合向上报告资金供需情况。补贴申领原则上当年有效，因当年财政补贴资金规模不够、办理</w:t>
      </w:r>
      <w:r>
        <w:rPr>
          <w:rFonts w:hint="eastAsia" w:ascii="仿宋_GB2312" w:hAnsi="仿宋_GB2312" w:eastAsia="仿宋_GB2312" w:cs="仿宋_GB2312"/>
          <w:spacing w:val="-11"/>
          <w:sz w:val="32"/>
          <w:szCs w:val="32"/>
        </w:rPr>
        <w:t>手续时间紧张等无法享受补贴的，可在下一个年度优先兑付。</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六、工作要求</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（一）加强领导，明确分工。</w:t>
      </w:r>
      <w:r>
        <w:rPr>
          <w:rFonts w:hint="eastAsia" w:ascii="仿宋_GB2312" w:hAnsi="仿宋_GB2312" w:eastAsia="仿宋_GB2312" w:cs="仿宋_GB2312"/>
          <w:sz w:val="32"/>
          <w:szCs w:val="32"/>
        </w:rPr>
        <w:t>各级农业农村、财政部门要建立健全政府领导下的联合实施和监管机制，切实加强组织协调，密切沟通配合，健全完善风险防控工作制度和内部控制规程，明确职责分工，形成工作合力。县级人民政府要成立农机购置补贴领导小组，进一步明确职责分工，落实领导小组统管政策实施的责任。要进一步明确职责分工，全面落实县级农业农村局及乡镇政府组织实施、审核、监管责任和财政部门资金兑付、资金监管责任。要加强绩效管理，强化闭环管理，切实提升政策实施管理工作能力水平。</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（二）优化服务，提升效能。</w:t>
      </w:r>
      <w:r>
        <w:rPr>
          <w:rFonts w:hint="eastAsia" w:ascii="仿宋_GB2312" w:hAnsi="仿宋_GB2312" w:eastAsia="仿宋_GB2312" w:cs="仿宋_GB2312"/>
          <w:sz w:val="32"/>
          <w:szCs w:val="32"/>
        </w:rPr>
        <w:t>要依托农机购置补贴申请办理服务系统（以下简称“办理服务系统”），动态分析农业农村和财政部门办理补贴申请具体时限，及时预警和定期通报超时办理行为，督促切实加快补贴申请受理、资格审核、机具核验、资金兑付等工作。畅通产业链供应链，营造良好营商环境，保障市场主体合法权益，对经司法机关认定为恶意拖欠农机生产经销企业购机款的购机者，取消其享受补贴资格。提高补贴机具核验信息化水平，加快农机试验鉴定、补贴机具投档、牌证管理、补贴资金申领等环节信息系统的互联互通，推动补贴机具由人工核验向信息化核验转变。推广使用智能终端和应用智能作业模式，加大补贴力度，深化北斗系统在农业生产中的推广应用，确保农业生产数据安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农机深松、植保等作业数据信息上传工作，实现作业机具与新疆农机作业综合管理服务平台的数据对接，促进机械化和信息化的融合发展。积极推动农机购置补贴机具二维码应用试点工作，推广应用手机App、人脸识别、补贴机具二维码管理和物联网监控等技术集成应用，加快推进补贴全流程线上办理，实现“手机办补贴，农户少跑腿、信息化监督”的管理目标，解决机具核验难题。</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公开信息，接受监督。</w:t>
      </w:r>
      <w:r>
        <w:rPr>
          <w:rFonts w:hint="eastAsia" w:ascii="仿宋_GB2312" w:hAnsi="仿宋_GB2312" w:eastAsia="仿宋_GB2312" w:cs="仿宋_GB2312"/>
          <w:sz w:val="32"/>
          <w:szCs w:val="32"/>
        </w:rPr>
        <w:t>各级农业农村部门要因地制宜、综合运用宣传挂图、报纸杂志、广播电视、互联网等方式，以及村务公开等渠道，全方位开展补贴政策与实施工作宣传解读，着力提升政策知晓率，切实保障购机者、生产经销企业和广大农民群众的知情权、监督权。要健全完善农机购置补贴信息公开专栏，按年度公告近三年县域内补贴受益户信息，公开违规查处结果等信息，主动接受社会监督。</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严肃纪律，防控风险。</w:t>
      </w:r>
      <w:r>
        <w:rPr>
          <w:rFonts w:hint="eastAsia" w:ascii="仿宋_GB2312" w:hAnsi="仿宋_GB2312" w:eastAsia="仿宋_GB2312" w:cs="仿宋_GB2312"/>
          <w:sz w:val="32"/>
          <w:szCs w:val="32"/>
        </w:rPr>
        <w:t>要强化对各级农业农村和财政部门及其所属事业单位参与农机购置补贴关键重点工作人员的廉政教育和业务培训，提高补贴工作人员业务素质和风险防控能力。严禁有关人员以各种形式直接或间接进行补贴机具经营活动。各级农业农村、财政部门要以农机购置补贴实施操作流程为主线，逐项工作、逐一环节梳理查找风险点，有针对性地制定防控措施，切实提升补贴政策实施规范性，有效保障补贴资金安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（五）加强监管，严惩违规。</w:t>
      </w:r>
      <w:r>
        <w:rPr>
          <w:rFonts w:hint="eastAsia" w:ascii="仿宋_GB2312" w:hAnsi="仿宋_GB2312" w:eastAsia="仿宋_GB2312" w:cs="仿宋_GB2312"/>
          <w:sz w:val="32"/>
          <w:szCs w:val="32"/>
        </w:rPr>
        <w:t>各地要全面贯彻本方案和《农业农村部办公厅、财政部办公厅关于进一步加强农机购置补贴政策监管强化纪律约束的通知》（农办机〔2019〕6号）《农业部办公厅、财政部办公厅关于印发〈农业机械购置补贴产品违规经营行为处理办法（试行）〉的通知》（农办财〔2017〕26号）要求，认真落实风险防控责任和异常情形主动报告制度，严格信用管理和农机产销企业承诺制，充分发挥专业机构的技术优势和大数据的信息优势，有效开展违规行为全流程分析排查，强化农财两部门联合查处和省际跨区联动处理，从严整治突出违规行为，有效维护政策实施良好秩序。</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农业农村、财政部门要根据本实施方案，结合实际制定印发本地2021-2023年实施方案，并抄报地区农业农村局、财政局。每年12月15日前，要将全年中央财政农机购置补贴政策实施（含试点工作开展情况）总结报告报送地区农业农村局、财政局。</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2021-2023年新疆维吾尔自治区农机购置</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补贴机具种类范围</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（15大类42个小类155个品目）</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1.耕整地机械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1.1耕地机械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1.1.1铧式犁</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1.1.2圆盘犁</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1.1.3旋耕机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1.1.4深松机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1.1.5开沟机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1.1.6耕整机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1.1.7微耕机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1.2整地机械</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1.2.1圆盘耙</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1.2.2起垄机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1.2.3灭茬机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1.2.4筑埂机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1.2.5铺膜机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1.2.6联合整地机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1.2.7埋茬起浆机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2.种植施肥机械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2.1播种机械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2.1.1条播机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2.1.2穴播机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2.1.3小粒种子播种机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2.1.4根茎作物播种机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2.1.5免耕播种机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2.1.6铺膜播种机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2.1.7水稻直播机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2.1.8精量播种机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2.1.9整地施肥播种机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2.2育苗机械设备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2.2.1种子播前处理设备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2.2.2营养钵压制机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2.2.3秧盘播种成套设备（含床土处理）</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2.3栽植机械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2.3.1水稻插秧机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2.3.2秧苗移栽机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2.4施肥机械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2.4.1施肥机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2.4.2撒肥机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2.4.3追肥机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3.田间管理机械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3.1中耕机械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3.1.1中耕机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3.1.2培土机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3.1.3埋藤机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3.1.4田园管理机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3.2植保机械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3.2.1动力喷雾机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3.2.2喷杆喷雾机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3.2.3风送喷雾机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3.2.4植保无人驾驶航空器</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3.3修剪机械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3.3.2果树修剪机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3.3.3枝条切碎机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4.收获机械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4.1谷物收获机械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4.1.1割晒机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4.1.2自走轮式谷物联合收割机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4.1.3自走履带式谷物联合收割机（全喂入）</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4.1.4半喂入联合收割机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4.2玉米收获机械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4.2.1自走式玉米收获机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4.2.2自走式玉米籽粒联合收获机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4.2.3穗茎兼收玉米收获机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4.2.4玉米收获专用割台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4.3棉麻作物收获机械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4.3.1棉花收获机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4.4果实收获机械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4.4.1果实捡拾机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4.4.2番茄收获机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4.4.3辣椒收获机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4.5蔬菜收获机械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4.5.1果类蔬菜收获机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4.7籽粒作物收获机械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4.7.1油菜籽收获机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4.7.2葵花籽收获机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4.8根茎作物收获机械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4.8.1薯类收获机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4.8.2甜菜收获机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4.8.5花生收获机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4.9饲料作物收获机械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4.9.1割草机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4.9.2搂草机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4.9.3打（压）捆机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4.9.4圆草捆包膜机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4.9.5青饲料收获机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4.10茎秆收集处理机械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4.10.1秸秆粉碎还田机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4.10.2高秆作物割晒机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5.收获后处理机械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5.1脱粒机械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5.1.1稻麦脱粒机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5.1.2玉米脱粒机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5.1.3花生摘果机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5.2清选机械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5.2.1风筛清选机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5.2.2重力清选机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5.2.3窝眼清选机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5.2.4复式清选机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5.3干燥机械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5.3.1谷物烘干机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5.3.2果蔬烘干机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5.3.3油菜籽烘干机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5.4种子加工机械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5.4.1种子清选机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6.农产品初加工机械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6.1碾米机械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6.1.1碾米机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6.1.2组合米机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6.2磨粉（浆）机械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6.2.1磨粉机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6.2.2磨浆机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6.3果蔬加工机械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6.3.1水果分级机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6.3.2水果清洗机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6.3.3水果打蜡机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6.3.4蔬菜清洗机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6.5剥壳（去皮）机械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6.5.1玉米剥皮机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6.5.2花生脱壳机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6.5.3干坚果脱壳机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6.5.4剥（刮）麻机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7.农用搬运机械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7.1装卸机械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7.1.1抓草机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8.排灌机械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8.1水泵</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8.1.1离心泵</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8.1.2潜水电泵</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8.2喷灌机械设备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8.2.1喷灌机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8.2.2微灌设备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8.2.3灌溉首部（含灌溉水增压设备、过滤设备、水质软化设备、灌溉施肥一体化设备以及营养液消毒设备等）</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9.畜牧机械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9.1饲料（草）加工机械设备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9.1.1铡草机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9.1.2青贮切碎机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9.1.3揉丝机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9.1.4压块机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9.1.5饲料（草）粉碎机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9.1.6饲料混合机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9.1.7颗粒饲料压制机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9.1.8饲料制备（搅拌）机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9.2饲养机械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9.2.1孵化机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9.2.2喂料机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9.2.3送料机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9.2.4清粪机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9.2.5粪污固液分离机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9.3畜产品采集加工机械设备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9.3.1挤奶机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9.3.2剪羊毛机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9.3.3贮奶（冷藏）罐</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10.水产机械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10.1水产养殖机械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10.1.1增氧机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10.1.2投饲机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10.1.3网箱养殖设备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10.2水产捕捞机械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10.2.1绞纲机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10.2.2船用油污水分离装置</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11.农业废弃物利用处理设备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11.1废弃物处理设备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11.1.1废弃物料烘干机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11.1.2残膜回收机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11.1.3沼液沼渣抽排设备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11.1.4秸秆压块（粒、棒）机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11.1.5病死畜禽无害化处理设备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11.1.6有机废弃物好氧发酵翻堆机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11.1.7有机废弃物干式厌氧发酵装置</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12.农田基本建设机械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12.1挖掘机械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12.1.1挖坑机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12.2平地机械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12.2.1平地机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13.设施农业设备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13.1温室大棚设备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13.1.1电动卷帘机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13.1.2热风炉</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13.2食用菌生产设备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13.2.1蒸汽灭菌设备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13.2.2食用菌料装瓶（袋）机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14.动力机械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14.1拖拉机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14.1.1轮式拖拉机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14.1.2手扶拖拉机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14.1.3履带式拖拉机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15.其他机械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15.1养蜂设备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15.1.1养蜂平台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15.2其他机械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15.2.1驱动耙</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15.2.2籽棉清理机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15.2.3水帘降温设备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15.2.4热水加温系统</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15.2.5简易保鲜储藏设备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15.2.6水井钻机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15.2.7旋耕播种机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15.2.8大米色选机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15.2.9杂粮色选机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15.2.11秸秆膨化机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15.2.12畜禽粪便发酵处理机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15.2.13农业用北斗终端（含渔船用）</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15.2.14沼气发电机组</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15.2.16有机肥加工设备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15.2.20根（块）茎作物收获机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15.2.21果园作业平台</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15.2.22果园轨道运输机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15.2.23秸秆收集机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15.2.24瓜果取籽机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15.2.25脱蓬（脯）机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15.2.26莲子剥壳去皮机</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15.2.27水产养殖水质监控设备</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简小标宋">
    <w:altName w:val="宋体"/>
    <w:panose1 w:val="00000000000000000000"/>
    <w:charset w:val="86"/>
    <w:family w:val="modern"/>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E1A39"/>
    <w:rsid w:val="02D907FB"/>
    <w:rsid w:val="15BE1A39"/>
    <w:rsid w:val="719A4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ind w:firstLine="420" w:firstLineChars="200"/>
    </w:pPr>
    <w:rPr>
      <w:rFonts w:ascii="Calibri" w:hAnsi="Calibri" w:eastAsia="宋体" w:cs="Times New Roman"/>
      <w:szCs w:val="24"/>
    </w:rPr>
  </w:style>
  <w:style w:type="paragraph" w:styleId="3">
    <w:name w:val="Body Text Indent"/>
    <w:basedOn w:val="1"/>
    <w:qFormat/>
    <w:uiPriority w:val="0"/>
    <w:pPr>
      <w:spacing w:after="120" w:afterLines="0"/>
      <w:ind w:left="420" w:leftChars="200"/>
    </w:pPr>
    <w:rPr>
      <w:rFonts w:ascii="Calibri" w:hAnsi="Calibri"/>
      <w:kern w:val="2"/>
      <w:sz w:val="21"/>
      <w:szCs w:val="22"/>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2021-08-05T02:18:00Z</dcterms:created>
  <dc:creator>Administrator</dc:creator>
  <cp:lastModifiedBy>Lenovo</cp:lastModifiedBy>
  <cp:lastPrinted>2021-08-05T02:45:00Z</cp:lastPrinted>
  <dcterms:modified xsi:type="dcterms:W3CDTF">2021-12-10T11:06:44Z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54C907B67FC24BFCAB4027E1DEB65D7A</vt:lpwstr>
  </property>
</Properties>
</file>