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cs="仿宋"/>
          <w:szCs w:val="24"/>
        </w:rPr>
      </w:pPr>
    </w:p>
    <w:p>
      <w:pPr>
        <w:jc w:val="distribute"/>
        <w:rPr>
          <w:rFonts w:ascii="仿宋" w:hAnsi="仿宋" w:cs="仿宋"/>
          <w:b/>
          <w:spacing w:val="-70"/>
          <w:sz w:val="72"/>
          <w:szCs w:val="72"/>
        </w:rPr>
      </w:pPr>
    </w:p>
    <w:p>
      <w:pPr>
        <w:pStyle w:val="14"/>
        <w:widowControl/>
        <w:shd w:val="clear" w:color="auto" w:fill="FFFFFF"/>
        <w:jc w:val="center"/>
        <w:rPr>
          <w:rFonts w:hint="default" w:ascii="仿宋" w:hAnsi="仿宋" w:eastAsia="仿宋" w:cs="仿宋"/>
          <w:b/>
          <w:kern w:val="2"/>
          <w:sz w:val="44"/>
          <w:szCs w:val="44"/>
        </w:rPr>
      </w:pPr>
    </w:p>
    <w:p>
      <w:pPr>
        <w:pStyle w:val="14"/>
        <w:widowControl/>
        <w:shd w:val="clear" w:color="auto" w:fill="FFFFFF"/>
        <w:jc w:val="center"/>
        <w:rPr>
          <w:rFonts w:hint="default" w:ascii="仿宋" w:hAnsi="仿宋" w:eastAsia="仿宋" w:cs="仿宋"/>
          <w:b/>
          <w:kern w:val="2"/>
          <w:sz w:val="44"/>
          <w:szCs w:val="44"/>
        </w:rPr>
      </w:pPr>
    </w:p>
    <w:p>
      <w:pPr>
        <w:pStyle w:val="14"/>
        <w:widowControl/>
        <w:shd w:val="clear" w:color="auto" w:fill="FFFFFF"/>
        <w:jc w:val="center"/>
        <w:rPr>
          <w:rFonts w:hint="default" w:ascii="仿宋" w:hAnsi="仿宋" w:eastAsia="仿宋" w:cs="仿宋"/>
          <w:b/>
          <w:kern w:val="2"/>
          <w:sz w:val="44"/>
          <w:szCs w:val="44"/>
        </w:rPr>
      </w:pPr>
    </w:p>
    <w:p>
      <w:pPr>
        <w:pStyle w:val="14"/>
        <w:widowControl/>
        <w:shd w:val="clear" w:color="auto" w:fill="FFFFFF"/>
        <w:jc w:val="center"/>
        <w:outlineLvl w:val="0"/>
        <w:rPr>
          <w:rFonts w:hint="default" w:ascii="仿宋" w:hAnsi="仿宋" w:eastAsia="仿宋" w:cs="仿宋"/>
          <w:b/>
          <w:kern w:val="2"/>
          <w:sz w:val="44"/>
          <w:szCs w:val="44"/>
        </w:rPr>
      </w:pPr>
      <w:bookmarkStart w:id="0" w:name="_Toc9612"/>
      <w:r>
        <w:rPr>
          <w:rFonts w:ascii="仿宋" w:hAnsi="仿宋" w:eastAsia="仿宋" w:cs="仿宋"/>
          <w:b/>
          <w:kern w:val="2"/>
          <w:sz w:val="44"/>
          <w:szCs w:val="44"/>
        </w:rPr>
        <w:t>新疆维吾尔自治区</w:t>
      </w:r>
      <w:bookmarkEnd w:id="0"/>
    </w:p>
    <w:p>
      <w:pPr>
        <w:pStyle w:val="14"/>
        <w:widowControl/>
        <w:shd w:val="clear" w:color="auto" w:fill="FFFFFF"/>
        <w:jc w:val="center"/>
        <w:outlineLvl w:val="0"/>
        <w:rPr>
          <w:rFonts w:hint="default" w:ascii="仿宋" w:hAnsi="仿宋" w:eastAsia="仿宋" w:cs="仿宋"/>
          <w:b/>
          <w:sz w:val="44"/>
          <w:szCs w:val="44"/>
        </w:rPr>
      </w:pPr>
      <w:bookmarkStart w:id="1" w:name="_Toc3246"/>
      <w:r>
        <w:rPr>
          <w:rFonts w:ascii="仿宋" w:hAnsi="仿宋" w:eastAsia="仿宋" w:cs="仿宋"/>
          <w:b/>
          <w:kern w:val="2"/>
          <w:sz w:val="44"/>
          <w:szCs w:val="44"/>
        </w:rPr>
        <w:t>政务服务事项管理平台</w:t>
      </w:r>
      <w:r>
        <w:rPr>
          <w:rFonts w:ascii="仿宋" w:hAnsi="仿宋" w:eastAsia="仿宋" w:cs="仿宋"/>
          <w:b/>
          <w:sz w:val="44"/>
          <w:szCs w:val="44"/>
        </w:rPr>
        <w:t>操作手册</w:t>
      </w:r>
      <w:bookmarkEnd w:id="1"/>
    </w:p>
    <w:p>
      <w:pPr>
        <w:spacing w:line="360" w:lineRule="auto"/>
        <w:jc w:val="center"/>
        <w:rPr>
          <w:rFonts w:ascii="仿宋" w:hAnsi="仿宋" w:cs="仿宋"/>
          <w:b/>
          <w:sz w:val="44"/>
          <w:szCs w:val="44"/>
        </w:rPr>
      </w:pPr>
    </w:p>
    <w:p>
      <w:pPr>
        <w:spacing w:line="360" w:lineRule="auto"/>
        <w:rPr>
          <w:rFonts w:ascii="仿宋" w:hAnsi="仿宋" w:cs="仿宋"/>
          <w:b/>
          <w:sz w:val="44"/>
          <w:szCs w:val="44"/>
        </w:rPr>
      </w:pPr>
    </w:p>
    <w:p>
      <w:pPr>
        <w:spacing w:line="360" w:lineRule="auto"/>
        <w:rPr>
          <w:rFonts w:ascii="仿宋" w:hAnsi="仿宋" w:cs="仿宋"/>
          <w:b/>
          <w:sz w:val="44"/>
          <w:szCs w:val="44"/>
        </w:rPr>
      </w:pPr>
    </w:p>
    <w:p>
      <w:pPr>
        <w:spacing w:line="360" w:lineRule="auto"/>
        <w:rPr>
          <w:rFonts w:ascii="仿宋" w:hAnsi="仿宋" w:cs="仿宋"/>
          <w:b/>
          <w:sz w:val="44"/>
          <w:szCs w:val="44"/>
        </w:rPr>
      </w:pPr>
    </w:p>
    <w:p>
      <w:pPr>
        <w:spacing w:line="360" w:lineRule="auto"/>
        <w:jc w:val="center"/>
        <w:rPr>
          <w:rFonts w:ascii="仿宋" w:hAnsi="仿宋" w:cs="仿宋"/>
          <w:b/>
          <w:sz w:val="44"/>
          <w:szCs w:val="44"/>
        </w:rPr>
      </w:pPr>
    </w:p>
    <w:p>
      <w:pPr>
        <w:spacing w:line="360" w:lineRule="auto"/>
        <w:rPr>
          <w:rFonts w:ascii="仿宋" w:hAnsi="仿宋" w:cs="仿宋"/>
          <w:b/>
          <w:sz w:val="32"/>
          <w:szCs w:val="32"/>
        </w:rPr>
      </w:pPr>
    </w:p>
    <w:p>
      <w:pPr>
        <w:spacing w:line="360" w:lineRule="auto"/>
        <w:rPr>
          <w:rFonts w:ascii="仿宋" w:hAnsi="仿宋" w:cs="仿宋"/>
          <w:b/>
          <w:sz w:val="32"/>
          <w:szCs w:val="32"/>
        </w:rPr>
      </w:pPr>
    </w:p>
    <w:p>
      <w:pPr>
        <w:spacing w:line="360" w:lineRule="auto"/>
        <w:rPr>
          <w:rFonts w:ascii="仿宋" w:hAnsi="仿宋" w:cs="仿宋"/>
          <w:b/>
          <w:sz w:val="32"/>
          <w:szCs w:val="32"/>
        </w:rPr>
      </w:pPr>
    </w:p>
    <w:p>
      <w:pPr>
        <w:spacing w:line="360" w:lineRule="auto"/>
        <w:jc w:val="center"/>
        <w:rPr>
          <w:rFonts w:ascii="仿宋" w:hAnsi="仿宋" w:cs="仿宋"/>
          <w:b/>
          <w:sz w:val="32"/>
          <w:szCs w:val="32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</w:pPr>
      <w:bookmarkStart w:id="44" w:name="_GoBack"/>
      <w:bookmarkEnd w:id="44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56911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eastAsia="仿宋" w:cs="Times New Roman"/>
          <w:kern w:val="2"/>
          <w:sz w:val="28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_Toc26813 </w:instrText>
          </w:r>
          <w:r>
            <w:fldChar w:fldCharType="separate"/>
          </w:r>
          <w:r>
            <w:rPr>
              <w:rFonts w:hint="eastAsia"/>
            </w:rPr>
            <w:t>一、平台登录</w:t>
          </w:r>
          <w:r>
            <w:tab/>
          </w:r>
          <w:r>
            <w:fldChar w:fldCharType="begin"/>
          </w:r>
          <w:r>
            <w:instrText xml:space="preserve"> PAGEREF _Toc26813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_Toc8139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二、密码修改</w:t>
          </w:r>
          <w:r>
            <w:tab/>
          </w:r>
          <w:r>
            <w:fldChar w:fldCharType="begin"/>
          </w:r>
          <w:r>
            <w:instrText xml:space="preserve"> PAGEREF _Toc8139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</w:t>
          </w:r>
          <w:r>
            <w:rPr>
              <w:rFonts w:hint="eastAsia"/>
            </w:rPr>
            <w:t>个人信息设置</w:t>
          </w:r>
          <w:r>
            <w:tab/>
          </w:r>
          <w:r>
            <w:fldChar w:fldCharType="begin"/>
          </w:r>
          <w:r>
            <w:instrText xml:space="preserve"> PAGEREF _Toc31376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_Toc28901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四、基本</w:t>
          </w:r>
          <w:r>
            <w:rPr>
              <w:rFonts w:hint="eastAsia"/>
              <w:lang w:eastAsia="zh-CN"/>
            </w:rPr>
            <w:t>目录</w:t>
          </w:r>
          <w:r>
            <w:rPr>
              <w:rFonts w:hint="eastAsia"/>
              <w:lang w:val="en-US" w:eastAsia="zh-CN"/>
            </w:rPr>
            <w:t>维护</w:t>
          </w:r>
          <w:r>
            <w:tab/>
          </w:r>
          <w:r>
            <w:fldChar w:fldCharType="begin"/>
          </w:r>
          <w:r>
            <w:instrText xml:space="preserve"> PAGEREF _Toc28901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_Toc9898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4.1国家目录维护</w:t>
          </w:r>
          <w:r>
            <w:tab/>
          </w:r>
          <w:r>
            <w:fldChar w:fldCharType="begin"/>
          </w:r>
          <w:r>
            <w:instrText xml:space="preserve"> PAGEREF _Toc9898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_Toc29946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.1.1</w:t>
          </w:r>
          <w:r>
            <w:rPr>
              <w:rFonts w:hint="eastAsia"/>
              <w:lang w:val="en-US" w:eastAsia="zh-CN"/>
            </w:rPr>
            <w:t>首次维护</w:t>
          </w:r>
          <w:r>
            <w:tab/>
          </w:r>
          <w:r>
            <w:fldChar w:fldCharType="begin"/>
          </w:r>
          <w:r>
            <w:instrText xml:space="preserve"> PAGEREF _Toc29946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_Toc19805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.1.</w:t>
          </w:r>
          <w:r>
            <w:rPr>
              <w:rFonts w:hint="eastAsia"/>
              <w:lang w:val="en-US" w:eastAsia="zh-CN"/>
            </w:rPr>
            <w:t>2目录变更</w:t>
          </w:r>
          <w:r>
            <w:tab/>
          </w:r>
          <w:r>
            <w:fldChar w:fldCharType="begin"/>
          </w:r>
          <w:r>
            <w:instrText xml:space="preserve"> PAGEREF _Toc19805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4.2自治区目录维护</w:t>
          </w:r>
          <w:r>
            <w:tab/>
          </w:r>
          <w:r>
            <w:fldChar w:fldCharType="begin"/>
          </w:r>
          <w:r>
            <w:instrText xml:space="preserve"> PAGEREF _Toc937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.1</w:t>
          </w:r>
          <w:r>
            <w:rPr>
              <w:rFonts w:hint="eastAsia"/>
              <w:lang w:val="en-US" w:eastAsia="zh-CN"/>
            </w:rPr>
            <w:t>目录新增</w:t>
          </w:r>
          <w:r>
            <w:tab/>
          </w:r>
          <w:r>
            <w:fldChar w:fldCharType="begin"/>
          </w:r>
          <w:r>
            <w:instrText xml:space="preserve"> PAGEREF _Toc17942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_Toc9165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2目录上报</w:t>
          </w:r>
          <w:r>
            <w:tab/>
          </w:r>
          <w:r>
            <w:fldChar w:fldCharType="begin"/>
          </w:r>
          <w:r>
            <w:instrText xml:space="preserve"> PAGEREF _Toc9165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3目录发布</w:t>
          </w:r>
          <w:r>
            <w:tab/>
          </w:r>
          <w:r>
            <w:fldChar w:fldCharType="begin"/>
          </w:r>
          <w:r>
            <w:instrText xml:space="preserve"> PAGEREF _Toc23773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_Toc14209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4.3应纳入国家目录</w:t>
          </w:r>
          <w:r>
            <w:tab/>
          </w:r>
          <w:r>
            <w:fldChar w:fldCharType="begin"/>
          </w:r>
          <w:r>
            <w:instrText xml:space="preserve"> PAGEREF _Toc14209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_Toc24780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4.4特有目录维护</w:t>
          </w:r>
          <w:r>
            <w:tab/>
          </w:r>
          <w:r>
            <w:fldChar w:fldCharType="begin"/>
          </w:r>
          <w:r>
            <w:instrText xml:space="preserve"> PAGEREF _Toc24780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4.5目录检测</w:t>
          </w:r>
          <w:r>
            <w:tab/>
          </w:r>
          <w:r>
            <w:fldChar w:fldCharType="begin"/>
          </w:r>
          <w:r>
            <w:instrText xml:space="preserve"> PAGEREF _Toc6453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_Toc29515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五、基本目录管理</w:t>
          </w:r>
          <w:r>
            <w:tab/>
          </w:r>
          <w:r>
            <w:fldChar w:fldCharType="begin"/>
          </w:r>
          <w:r>
            <w:instrText xml:space="preserve"> PAGEREF _Toc29515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_Toc14982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六、实施清单</w:t>
          </w:r>
          <w:r>
            <w:rPr>
              <w:rFonts w:hint="eastAsia"/>
            </w:rPr>
            <w:t>梳理</w:t>
          </w:r>
          <w:r>
            <w:tab/>
          </w:r>
          <w:r>
            <w:fldChar w:fldCharType="begin"/>
          </w:r>
          <w:r>
            <w:instrText xml:space="preserve"> PAGEREF _Toc14982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.1</w:t>
          </w:r>
          <w:r>
            <w:rPr>
              <w:rFonts w:hint="eastAsia"/>
              <w:lang w:val="en-US" w:eastAsia="zh-CN"/>
            </w:rPr>
            <w:t>实施清单维护</w:t>
          </w:r>
          <w:r>
            <w:tab/>
          </w:r>
          <w:r>
            <w:fldChar w:fldCharType="begin"/>
          </w:r>
          <w:r>
            <w:instrText xml:space="preserve"> PAGEREF _Toc1552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_Toc6836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.1.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事项认领</w:t>
          </w:r>
          <w:r>
            <w:tab/>
          </w:r>
          <w:r>
            <w:fldChar w:fldCharType="begin"/>
          </w:r>
          <w:r>
            <w:instrText xml:space="preserve"> PAGEREF _Toc6836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_Toc9777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2拆分业务办理项</w:t>
          </w:r>
          <w:r>
            <w:tab/>
          </w:r>
          <w:r>
            <w:fldChar w:fldCharType="begin"/>
          </w:r>
          <w:r>
            <w:instrText xml:space="preserve"> PAGEREF _Toc9777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.1.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实施清单编制</w:t>
          </w:r>
          <w:r>
            <w:tab/>
          </w:r>
          <w:r>
            <w:fldChar w:fldCharType="begin"/>
          </w:r>
          <w:r>
            <w:instrText xml:space="preserve"> PAGEREF _Toc23020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_Toc25812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.1.</w:t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 xml:space="preserve"> 特殊实施要素梳理</w:t>
          </w:r>
          <w:r>
            <w:rPr>
              <w:rFonts w:hint="eastAsia"/>
              <w:lang w:val="en-US" w:eastAsia="zh-CN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_Toc25812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_Toc6081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.1.</w:t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实施清单</w:t>
          </w:r>
          <w:r>
            <w:rPr>
              <w:rFonts w:hint="eastAsia"/>
            </w:rPr>
            <w:t>上报</w:t>
          </w:r>
          <w:r>
            <w:tab/>
          </w:r>
          <w:r>
            <w:fldChar w:fldCharType="begin"/>
          </w:r>
          <w:r>
            <w:instrText xml:space="preserve"> PAGEREF _Toc6081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_Toc29241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.1.</w:t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实施清单查看</w:t>
          </w:r>
          <w:r>
            <w:tab/>
          </w:r>
          <w:r>
            <w:fldChar w:fldCharType="begin"/>
          </w:r>
          <w:r>
            <w:instrText xml:space="preserve"> PAGEREF _Toc29241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_Toc32391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.1.</w:t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实施清单变更</w:t>
          </w:r>
          <w:r>
            <w:tab/>
          </w:r>
          <w:r>
            <w:fldChar w:fldCharType="begin"/>
          </w:r>
          <w:r>
            <w:instrText xml:space="preserve"> PAGEREF _Toc32391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_Toc26159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3实施清单发布</w:t>
          </w:r>
          <w:r>
            <w:tab/>
          </w:r>
          <w:r>
            <w:fldChar w:fldCharType="begin"/>
          </w:r>
          <w:r>
            <w:instrText xml:space="preserve"> PAGEREF _Toc26159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_Toc10862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清单发布</w:t>
          </w:r>
          <w:r>
            <w:tab/>
          </w:r>
          <w:r>
            <w:fldChar w:fldCharType="begin"/>
          </w:r>
          <w:r>
            <w:instrText xml:space="preserve"> PAGEREF _Toc10862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_Toc18751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2清单不发布</w:t>
          </w:r>
          <w:r>
            <w:tab/>
          </w:r>
          <w:r>
            <w:fldChar w:fldCharType="begin"/>
          </w:r>
          <w:r>
            <w:instrText xml:space="preserve"> PAGEREF _Toc18751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3清单发布状态变更</w:t>
          </w:r>
          <w:r>
            <w:tab/>
          </w:r>
          <w:r>
            <w:fldChar w:fldCharType="begin"/>
          </w:r>
          <w:r>
            <w:instrText xml:space="preserve"> PAGEREF _Toc21134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_Toc19466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4实施清单检测</w:t>
          </w:r>
          <w:r>
            <w:tab/>
          </w:r>
          <w:r>
            <w:fldChar w:fldCharType="begin"/>
          </w:r>
          <w:r>
            <w:instrText xml:space="preserve"> PAGEREF _Toc19466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_Toc2888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5实施清单管理（清单取消、恢复）</w:t>
          </w:r>
          <w:r>
            <w:tab/>
          </w:r>
          <w:r>
            <w:fldChar w:fldCharType="begin"/>
          </w:r>
          <w:r>
            <w:instrText xml:space="preserve"> PAGEREF _Toc2888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t>七.业务办理项管控................................................................................24</w:t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t xml:space="preserve">    7.1新增（厅局使用）....................................................................24</w:t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t xml:space="preserve">    7.2修改及取消（厅局使用）.........................................................24</w:t>
          </w:r>
        </w:p>
        <w:p>
          <w:pPr>
            <w:rPr>
              <w:rFonts w:hint="default"/>
              <w:lang w:val="en-US" w:eastAsia="zh-CN"/>
            </w:rPr>
          </w:pPr>
          <w:r>
            <w:rPr>
              <w:rFonts w:hint="eastAsia"/>
              <w:lang w:val="en-US" w:eastAsia="zh-CN"/>
            </w:rPr>
            <w:t xml:space="preserve">    7.3认领............................................................................................25</w:t>
          </w:r>
        </w:p>
        <w:p>
          <w:r>
            <w:fldChar w:fldCharType="end"/>
          </w:r>
        </w:p>
      </w:sdtContent>
    </w:sdt>
    <w:p>
      <w:pPr>
        <w:jc w:val="center"/>
        <w:rPr>
          <w:rFonts w:ascii="仿宋" w:hAnsi="仿宋" w:cs="仿宋"/>
          <w:b/>
          <w:sz w:val="32"/>
          <w:szCs w:val="32"/>
        </w:rPr>
      </w:pPr>
    </w:p>
    <w:p>
      <w:pPr>
        <w:jc w:val="center"/>
        <w:rPr>
          <w:rFonts w:ascii="仿宋" w:hAnsi="仿宋" w:cs="仿宋"/>
          <w:b/>
          <w:sz w:val="32"/>
          <w:szCs w:val="32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2"/>
        <w:bidi w:val="0"/>
        <w:outlineLvl w:val="0"/>
      </w:pPr>
      <w:bookmarkStart w:id="2" w:name="_Toc26813"/>
      <w:r>
        <w:rPr>
          <w:rFonts w:hint="eastAsia"/>
        </w:rPr>
        <w:t>一、平台登录</w:t>
      </w:r>
      <w:bookmarkEnd w:id="2"/>
    </w:p>
    <w:p>
      <w:pPr>
        <w:bidi w:val="0"/>
        <w:ind w:firstLine="560" w:firstLineChars="200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3" w:name="_Toc2357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首先，请确保计算机已连接自治区电子政务外网。</w:t>
      </w:r>
      <w:bookmarkEnd w:id="3"/>
    </w:p>
    <w:p>
      <w:pPr>
        <w:bidi w:val="0"/>
        <w:ind w:firstLine="56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打开浏览器（推荐使用IE浏览器，版本9.0以上），输入网址：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"http://59.222.246.138/xjtyzc/xinjiang/pages/desktop_new/index"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17"/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http://59.222.246.138/xjtyzc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，输入工作组提供的用户名，初始密码为11111，进入事项梳理平台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jc w:val="left"/>
      </w:pPr>
      <w:r>
        <w:drawing>
          <wp:inline distT="0" distB="0" distL="114300" distR="114300">
            <wp:extent cx="5269230" cy="2345690"/>
            <wp:effectExtent l="0" t="0" r="7620" b="16510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点击右侧“应用中心”-“事项管理系统”，进入新疆维吾尔自治区政务服务事项管理平台。</w:t>
      </w:r>
    </w:p>
    <w:p>
      <w:pPr>
        <w:jc w:val="left"/>
      </w:pPr>
      <w:r>
        <w:drawing>
          <wp:inline distT="0" distB="0" distL="114300" distR="114300">
            <wp:extent cx="5269230" cy="2430145"/>
            <wp:effectExtent l="0" t="0" r="762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74310" cy="25126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outlineLvl w:val="0"/>
        <w:rPr>
          <w:rFonts w:hint="eastAsia"/>
          <w:lang w:val="en-US" w:eastAsia="zh-CN"/>
        </w:rPr>
      </w:pPr>
      <w:bookmarkStart w:id="4" w:name="_Toc8139"/>
      <w:r>
        <w:rPr>
          <w:rFonts w:hint="eastAsia"/>
          <w:lang w:val="en-US" w:eastAsia="zh-CN"/>
        </w:rPr>
        <w:t>二、密码修改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default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首次进入事项管理平台，平台将提示修改密码。新密码复杂度要求长度8位以上，且包含小写、大写字母、数字、特殊字符4中组合中的三种。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840740"/>
            <wp:effectExtent l="0" t="0" r="1143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/>
          <w:bCs/>
          <w:kern w:val="2"/>
          <w:sz w:val="28"/>
          <w:szCs w:val="22"/>
          <w:lang w:val="en-US" w:eastAsia="zh-CN" w:bidi="ar-SA"/>
        </w:rPr>
        <w:t>注意</w:t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20" w:leftChars="0" w:hanging="420" w:firstLineChars="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密码修改后，一体化平台中各个子应用将同步生效。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20" w:leftChars="0" w:hanging="420" w:firstLineChars="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请务必记住修改后的密码，下次登录平台，需使用新密码登录。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20" w:leftChars="0" w:hanging="420" w:firstLineChars="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若遗忘密码，可联系技术人员初始化密码。</w:t>
      </w:r>
    </w:p>
    <w:p>
      <w:pPr>
        <w:pStyle w:val="2"/>
        <w:bidi w:val="0"/>
        <w:outlineLvl w:val="0"/>
      </w:pPr>
      <w:bookmarkStart w:id="5" w:name="_Toc31376"/>
      <w:r>
        <w:rPr>
          <w:rFonts w:hint="eastAsia"/>
          <w:lang w:val="en-US" w:eastAsia="zh-CN"/>
        </w:rPr>
        <w:t>三、</w:t>
      </w:r>
      <w:r>
        <w:rPr>
          <w:rFonts w:hint="eastAsia"/>
        </w:rPr>
        <w:t>个人信息设置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此模块主要用于完善个人信息。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点击右上角头像如下图：</w:t>
      </w:r>
    </w:p>
    <w:p>
      <w:pPr>
        <w:jc w:val="left"/>
      </w:pPr>
      <w:r>
        <w:drawing>
          <wp:inline distT="0" distB="0" distL="0" distR="0">
            <wp:extent cx="5274310" cy="2438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/>
        </w:rPr>
        <w:t xml:space="preserve"> </w:t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 xml:space="preserve">  点击“个人资料”进入个人资料编辑界面，完善当前账号信息。</w:t>
      </w:r>
    </w:p>
    <w:p>
      <w:pPr>
        <w:jc w:val="left"/>
      </w:pPr>
      <w:r>
        <w:drawing>
          <wp:inline distT="0" distB="0" distL="0" distR="0">
            <wp:extent cx="5274310" cy="2505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点击“密码修改”，可进入密码修改页面，输入原密码和新密码，点击确认后，完成密码修改。</w:t>
      </w:r>
    </w:p>
    <w:p>
      <w:pPr>
        <w:pStyle w:val="2"/>
        <w:bidi w:val="0"/>
        <w:outlineLvl w:val="0"/>
      </w:pPr>
      <w:bookmarkStart w:id="6" w:name="_Toc28901"/>
      <w:r>
        <w:rPr>
          <w:rFonts w:hint="eastAsia"/>
          <w:lang w:val="en-US" w:eastAsia="zh-CN"/>
        </w:rPr>
        <w:t>四、基本</w:t>
      </w:r>
      <w:r>
        <w:rPr>
          <w:rFonts w:hint="eastAsia"/>
          <w:lang w:eastAsia="zh-CN"/>
        </w:rPr>
        <w:t>目录</w:t>
      </w:r>
      <w:r>
        <w:rPr>
          <w:rFonts w:hint="eastAsia"/>
          <w:lang w:val="en-US" w:eastAsia="zh-CN"/>
        </w:rPr>
        <w:t>维护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default" w:eastAsia="仿宋"/>
          <w:szCs w:val="28"/>
          <w:lang w:val="en-US" w:eastAsia="zh-CN"/>
        </w:rPr>
      </w:pPr>
      <w:r>
        <w:rPr>
          <w:rFonts w:hint="eastAsia"/>
          <w:szCs w:val="28"/>
        </w:rPr>
        <w:t>在此模块对政务服务事项</w:t>
      </w:r>
      <w:r>
        <w:rPr>
          <w:rFonts w:hint="eastAsia"/>
          <w:szCs w:val="28"/>
          <w:lang w:val="en-US" w:eastAsia="zh-CN"/>
        </w:rPr>
        <w:t>基本</w:t>
      </w:r>
      <w:r>
        <w:rPr>
          <w:rFonts w:hint="eastAsia"/>
          <w:szCs w:val="28"/>
          <w:lang w:eastAsia="zh-CN"/>
        </w:rPr>
        <w:t>目录</w:t>
      </w:r>
      <w:r>
        <w:rPr>
          <w:rFonts w:hint="eastAsia"/>
          <w:szCs w:val="28"/>
        </w:rPr>
        <w:t>进行以下操作：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="仿宋_GB2312" w:hAnsi="仿宋_GB2312" w:eastAsia="仿宋_GB2312" w:cs="仿宋_GB2312"/>
          <w:bCs/>
          <w:kern w:val="0"/>
          <w:szCs w:val="28"/>
        </w:rPr>
      </w:pP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区直部门</w:t>
      </w:r>
      <w:r>
        <w:rPr>
          <w:rFonts w:hint="eastAsia"/>
          <w:szCs w:val="28"/>
          <w:lang w:val="en-US" w:eastAsia="zh-CN"/>
        </w:rPr>
        <w:t>对国家基本目录中本部门行使的行政权力事项进行依据拆分、依据增补、权力下放等维护操作</w:t>
      </w:r>
      <w:r>
        <w:rPr>
          <w:rFonts w:hint="eastAsia" w:ascii="仿宋_GB2312" w:hAnsi="仿宋_GB2312" w:eastAsia="仿宋_GB2312" w:cs="仿宋_GB2312"/>
          <w:bCs/>
          <w:kern w:val="0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="仿宋_GB2312" w:hAnsi="仿宋_GB2312" w:eastAsia="仿宋_GB2312" w:cs="仿宋_GB2312"/>
          <w:bCs/>
          <w:kern w:val="0"/>
          <w:szCs w:val="28"/>
        </w:rPr>
      </w:pP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区直部门基于国家目录，维护</w:t>
      </w:r>
      <w:r>
        <w:rPr>
          <w:rFonts w:hint="eastAsia"/>
          <w:szCs w:val="28"/>
          <w:lang w:eastAsia="zh-CN"/>
        </w:rPr>
        <w:t>自治区</w:t>
      </w:r>
      <w:r>
        <w:rPr>
          <w:rFonts w:hint="eastAsia"/>
          <w:szCs w:val="28"/>
          <w:lang w:val="en-US" w:eastAsia="zh-CN"/>
        </w:rPr>
        <w:t>特有</w:t>
      </w:r>
      <w:r>
        <w:rPr>
          <w:rFonts w:hint="eastAsia"/>
          <w:szCs w:val="28"/>
          <w:lang w:eastAsia="zh-CN"/>
        </w:rPr>
        <w:t>目录，</w:t>
      </w:r>
      <w:r>
        <w:rPr>
          <w:rFonts w:hint="eastAsia"/>
          <w:szCs w:val="28"/>
          <w:lang w:val="en-US" w:eastAsia="zh-CN"/>
        </w:rPr>
        <w:t>包括</w:t>
      </w:r>
      <w:r>
        <w:rPr>
          <w:rFonts w:hint="eastAsia"/>
          <w:szCs w:val="28"/>
        </w:rPr>
        <w:t>新增、变更、</w:t>
      </w:r>
      <w:r>
        <w:rPr>
          <w:rFonts w:hint="eastAsia"/>
          <w:szCs w:val="28"/>
          <w:lang w:val="en-US" w:eastAsia="zh-CN"/>
        </w:rPr>
        <w:t>取消操作</w:t>
      </w:r>
      <w:r>
        <w:rPr>
          <w:rFonts w:hint="eastAsia" w:ascii="仿宋_GB2312" w:hAnsi="仿宋_GB2312" w:eastAsia="仿宋_GB2312" w:cs="仿宋_GB2312"/>
          <w:bCs/>
          <w:kern w:val="0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="仿宋_GB2312" w:hAnsi="仿宋_GB2312" w:eastAsia="仿宋_GB2312" w:cs="仿宋_GB2312"/>
          <w:bCs/>
          <w:kern w:val="0"/>
          <w:szCs w:val="28"/>
        </w:rPr>
      </w:pP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地（州、市）部门维护地（州、市）特有目录，</w:t>
      </w:r>
      <w:r>
        <w:rPr>
          <w:rFonts w:hint="eastAsia"/>
          <w:szCs w:val="28"/>
          <w:lang w:val="en-US" w:eastAsia="zh-CN"/>
        </w:rPr>
        <w:t>包括</w:t>
      </w:r>
      <w:r>
        <w:rPr>
          <w:rFonts w:hint="eastAsia"/>
          <w:szCs w:val="28"/>
        </w:rPr>
        <w:t>新增、变更、</w:t>
      </w:r>
      <w:r>
        <w:rPr>
          <w:rFonts w:hint="eastAsia"/>
          <w:szCs w:val="28"/>
          <w:lang w:val="en-US" w:eastAsia="zh-CN"/>
        </w:rPr>
        <w:t>取消操作</w:t>
      </w:r>
      <w:r>
        <w:rPr>
          <w:rFonts w:hint="eastAsia" w:ascii="仿宋_GB2312" w:hAnsi="仿宋_GB2312" w:eastAsia="仿宋_GB2312" w:cs="仿宋_GB2312"/>
          <w:bCs/>
          <w:kern w:val="0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ascii="仿宋_GB2312" w:hAnsi="仿宋_GB2312" w:eastAsia="仿宋_GB2312" w:cs="仿宋_GB2312"/>
          <w:bCs/>
          <w:kern w:val="0"/>
          <w:szCs w:val="28"/>
        </w:rPr>
      </w:pPr>
      <w:r>
        <w:rPr>
          <w:rFonts w:hint="eastAsia" w:ascii="仿宋_GB2312" w:hAnsi="仿宋_GB2312" w:eastAsia="仿宋_GB2312" w:cs="仿宋_GB2312"/>
          <w:bCs/>
          <w:kern w:val="0"/>
          <w:szCs w:val="28"/>
        </w:rPr>
        <w:t>以方便业务办理为导向，根据主体、权限、周期等因素的不同，对</w:t>
      </w: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纳入特有目录的</w:t>
      </w:r>
      <w:r>
        <w:rPr>
          <w:rFonts w:hint="eastAsia" w:ascii="仿宋_GB2312" w:hAnsi="仿宋_GB2312" w:eastAsia="仿宋_GB2312" w:cs="仿宋_GB2312"/>
          <w:bCs/>
          <w:kern w:val="0"/>
          <w:szCs w:val="28"/>
        </w:rPr>
        <w:t>事项进行子项拆分。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/>
        <w:textAlignment w:val="auto"/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其中，纳入</w:t>
      </w:r>
      <w:r>
        <w:rPr>
          <w:rFonts w:hint="eastAsia" w:ascii="仿宋_GB2312" w:hAnsi="仿宋_GB2312" w:eastAsia="仿宋_GB2312" w:cs="仿宋_GB2312"/>
          <w:b/>
          <w:bCs w:val="0"/>
          <w:kern w:val="0"/>
          <w:szCs w:val="28"/>
          <w:lang w:val="en-US" w:eastAsia="zh-CN"/>
        </w:rPr>
        <w:t>国家基本目录</w:t>
      </w: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的事项应是依据法律、行政法规、国务院部门规章及政策文件设定的事项；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/>
        <w:textAlignment w:val="auto"/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纳入</w:t>
      </w:r>
      <w:r>
        <w:rPr>
          <w:rFonts w:hint="eastAsia" w:ascii="仿宋_GB2312" w:hAnsi="仿宋_GB2312" w:eastAsia="仿宋_GB2312" w:cs="仿宋_GB2312"/>
          <w:b/>
          <w:bCs w:val="0"/>
          <w:kern w:val="0"/>
          <w:szCs w:val="28"/>
          <w:lang w:val="en-US" w:eastAsia="zh-CN"/>
        </w:rPr>
        <w:t>自治区特有目录</w:t>
      </w: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的事项理论上是依据自治区政府规章及政策文件设定的事项，应纳入国家基本目录但国家目录中暂时缺失的事项，也临时纳入自治区特有目录；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/>
        <w:textAlignment w:val="auto"/>
        <w:rPr>
          <w:rFonts w:hint="default" w:ascii="仿宋_GB2312" w:hAnsi="仿宋_GB2312" w:eastAsia="仿宋_GB2312" w:cs="仿宋_GB2312"/>
          <w:bCs/>
          <w:kern w:val="0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纳入</w:t>
      </w:r>
      <w:r>
        <w:rPr>
          <w:rFonts w:hint="eastAsia" w:ascii="仿宋_GB2312" w:hAnsi="仿宋_GB2312" w:eastAsia="仿宋_GB2312" w:cs="仿宋_GB2312"/>
          <w:b/>
          <w:bCs w:val="0"/>
          <w:kern w:val="0"/>
          <w:szCs w:val="28"/>
          <w:lang w:val="en-US" w:eastAsia="zh-CN"/>
        </w:rPr>
        <w:t>地（州、市）特有目录</w:t>
      </w:r>
      <w:r>
        <w:rPr>
          <w:rFonts w:hint="eastAsia" w:ascii="仿宋_GB2312" w:hAnsi="仿宋_GB2312" w:eastAsia="仿宋_GB2312" w:cs="仿宋_GB2312"/>
          <w:bCs/>
          <w:kern w:val="0"/>
          <w:szCs w:val="28"/>
          <w:lang w:val="en-US" w:eastAsia="zh-CN"/>
        </w:rPr>
        <w:t>的事项应由有地方立法权的地（州、市）直属部门维护，是依据地（州、市）政府规章及政策文件设定的事项。</w:t>
      </w:r>
    </w:p>
    <w:p>
      <w:pPr>
        <w:pStyle w:val="3"/>
        <w:bidi w:val="0"/>
        <w:outlineLvl w:val="1"/>
        <w:rPr>
          <w:rFonts w:hint="eastAsia"/>
          <w:lang w:val="en-US" w:eastAsia="zh-CN"/>
        </w:rPr>
      </w:pPr>
      <w:bookmarkStart w:id="7" w:name="_Toc9898"/>
      <w:r>
        <w:rPr>
          <w:rFonts w:hint="eastAsia"/>
          <w:lang w:val="en-US" w:eastAsia="zh-CN"/>
        </w:rPr>
        <w:t>4.1国家目录维护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本平台已实时同步国家目录（即基本编码以00开头的目录）。各区直部门</w:t>
      </w:r>
      <w:r>
        <w:rPr>
          <w:rFonts w:hint="eastAsia"/>
        </w:rPr>
        <w:t>可以</w:t>
      </w:r>
      <w:r>
        <w:rPr>
          <w:rFonts w:hint="eastAsia"/>
          <w:lang w:val="en-US" w:eastAsia="zh-CN"/>
        </w:rPr>
        <w:t>对事项的依据、层级</w:t>
      </w:r>
      <w:r>
        <w:rPr>
          <w:rFonts w:hint="eastAsia"/>
        </w:rPr>
        <w:t>进行</w:t>
      </w:r>
      <w:r>
        <w:rPr>
          <w:rFonts w:hint="eastAsia"/>
          <w:lang w:val="en-US" w:eastAsia="zh-CN"/>
        </w:rPr>
        <w:t>维护</w:t>
      </w:r>
      <w:r>
        <w:rPr>
          <w:rFonts w:hint="eastAsia"/>
        </w:rPr>
        <w:t>，提交</w:t>
      </w:r>
      <w:r>
        <w:rPr>
          <w:rFonts w:hint="eastAsia"/>
          <w:lang w:val="en-US" w:eastAsia="zh-CN"/>
        </w:rPr>
        <w:t>后生效</w:t>
      </w:r>
      <w:r>
        <w:rPr>
          <w:rFonts w:hint="eastAsia"/>
        </w:rPr>
        <w:t>。</w:t>
      </w: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8" w:name="_Toc29946"/>
      <w:r>
        <w:rPr>
          <w:rFonts w:hint="eastAsia"/>
          <w:lang w:val="en-US" w:eastAsia="zh-CN"/>
        </w:rPr>
        <w:t>4</w:t>
      </w:r>
      <w:r>
        <w:rPr>
          <w:rFonts w:hint="eastAsia"/>
        </w:rPr>
        <w:t>.1.1</w:t>
      </w:r>
      <w:r>
        <w:rPr>
          <w:rFonts w:hint="eastAsia"/>
          <w:lang w:val="en-US" w:eastAsia="zh-CN"/>
        </w:rPr>
        <w:t>首次维护</w:t>
      </w:r>
      <w:bookmarkEnd w:id="8"/>
    </w:p>
    <w:p>
      <w:pPr>
        <w:ind w:firstLine="56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国家目录按各单位职能分配到各个区直部门后，各区直部门须在对应事项类型的“待审核”下，对其进行国家依据拆分、地方依据增补、地方下放等操作。</w:t>
      </w:r>
    </w:p>
    <w:p>
      <w:pPr>
        <w:rPr>
          <w:rFonts w:hint="eastAsia"/>
          <w:lang w:val="en-US"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9230" cy="2333625"/>
            <wp:effectExtent l="0" t="0" r="7620" b="9525"/>
            <wp:docPr id="9" name="图片 9" descr="TIM截图2019051416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IM截图201905141629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596515"/>
            <wp:effectExtent l="0" t="0" r="9525" b="133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其中，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拆分国家依据，要求与拆分前实质一致。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2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在“增补地方设定依据”中，添加相关的自治区政府规章和政策文件。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若国家设定的行使层级与自治区实际不符，则按自治区政府规章和政策文件设定“下放后的层级”。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对于省级应当实施的事项，但本地确有客观因素或政策决定不予实施的，可标记为“暂不行使”。</w:t>
      </w: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9" w:name="_Toc19805"/>
      <w:r>
        <w:rPr>
          <w:rFonts w:hint="eastAsia"/>
          <w:lang w:val="en-US" w:eastAsia="zh-CN"/>
        </w:rPr>
        <w:t>4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2目录变更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若本单位行使的国家目录发生变更，变更后的目录将再次下发到“待审核”下，须再次进行国家依据拆分、目录核验。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Chars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若国家目录未发生变更，但政策依据发生调整，则到对应事项类型“已审核”下，找到该事项，点击修改按钮。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9070" cy="2311400"/>
            <wp:effectExtent l="0" t="0" r="17780" b="12700"/>
            <wp:docPr id="3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outlineLvl w:val="1"/>
        <w:rPr>
          <w:rFonts w:hint="eastAsia"/>
          <w:lang w:val="en-US" w:eastAsia="zh-CN"/>
        </w:rPr>
      </w:pPr>
      <w:bookmarkStart w:id="10" w:name="_Toc937"/>
      <w:r>
        <w:rPr>
          <w:rFonts w:hint="eastAsia"/>
          <w:lang w:val="en-US" w:eastAsia="zh-CN"/>
        </w:rPr>
        <w:t>4.2自治区目录维护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自治区特有目录由区直部门在对应的事项类型下进行新增、变更等操作，经有关部门审核通过后生效。</w:t>
      </w:r>
    </w:p>
    <w:p>
      <w:pPr>
        <w:pStyle w:val="4"/>
        <w:bidi w:val="0"/>
        <w:outlineLvl w:val="2"/>
        <w:rPr>
          <w:rFonts w:hint="default"/>
          <w:lang w:val="en-US" w:eastAsia="zh-CN"/>
        </w:rPr>
      </w:pPr>
      <w:bookmarkStart w:id="11" w:name="_Toc19952"/>
      <w:bookmarkStart w:id="12" w:name="_Toc1794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.1</w:t>
      </w:r>
      <w:bookmarkEnd w:id="11"/>
      <w:r>
        <w:rPr>
          <w:rFonts w:hint="eastAsia"/>
          <w:lang w:val="en-US" w:eastAsia="zh-CN"/>
        </w:rPr>
        <w:t>目录新增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基本</w:t>
      </w:r>
      <w:r>
        <w:rPr>
          <w:rFonts w:hint="eastAsia"/>
          <w:lang w:eastAsia="zh-CN"/>
        </w:rPr>
        <w:t>目录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基本</w:t>
      </w:r>
      <w:r>
        <w:rPr>
          <w:rFonts w:hint="eastAsia"/>
          <w:lang w:eastAsia="zh-CN"/>
        </w:rPr>
        <w:t>目录</w:t>
      </w:r>
      <w:r>
        <w:rPr>
          <w:rFonts w:hint="eastAsia"/>
        </w:rPr>
        <w:t>维护，选择需要新增的目录类型，在待审核区域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进行目录的新增。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9230" cy="2333625"/>
            <wp:effectExtent l="0" t="0" r="7620" b="9525"/>
            <wp:docPr id="10" name="图片 10" descr="TIM截图2019051416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IM截图201905141629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点击“新增</w:t>
      </w:r>
      <w:r>
        <w:rPr>
          <w:rFonts w:hint="eastAsia"/>
          <w:lang w:val="en-US" w:eastAsia="zh-CN"/>
        </w:rPr>
        <w:t>基本</w:t>
      </w:r>
      <w:r>
        <w:rPr>
          <w:rFonts w:hint="eastAsia"/>
          <w:lang w:eastAsia="zh-CN"/>
        </w:rPr>
        <w:t>目录</w:t>
      </w:r>
      <w:r>
        <w:rPr>
          <w:rFonts w:hint="eastAsia"/>
        </w:rPr>
        <w:t>事项”按钮，进入</w:t>
      </w:r>
      <w:r>
        <w:rPr>
          <w:rFonts w:hint="eastAsia"/>
          <w:lang w:eastAsia="zh-CN"/>
        </w:rPr>
        <w:t>自治区目录</w:t>
      </w:r>
      <w:r>
        <w:rPr>
          <w:rFonts w:hint="eastAsia"/>
        </w:rPr>
        <w:t>编辑页面。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2405" cy="2453005"/>
            <wp:effectExtent l="0" t="0" r="4445" b="444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</w:rPr>
      </w:pPr>
      <w:r>
        <w:rPr>
          <w:rFonts w:hint="eastAsia"/>
        </w:rPr>
        <w:t>如新增主项，则选择主项，填写主项要素。填写完成后点击添加设定依据按钮，进入设定依据编辑界面，如事项有多条设定依据，需逐条添加，添加完成后点击</w:t>
      </w:r>
      <w:r>
        <w:drawing>
          <wp:inline distT="0" distB="0" distL="114300" distR="114300">
            <wp:extent cx="866775" cy="209550"/>
            <wp:effectExtent l="0" t="0" r="952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（保存本条记录并关闭设定依据编辑界面）或</w:t>
      </w:r>
      <w:r>
        <w:drawing>
          <wp:inline distT="0" distB="0" distL="114300" distR="114300">
            <wp:extent cx="885825" cy="219075"/>
            <wp:effectExtent l="0" t="0" r="9525" b="952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（保存当前依据并进一步新增下一条设定依据）。</w:t>
      </w:r>
    </w:p>
    <w:p>
      <w:pPr>
        <w:ind w:firstLine="560" w:firstLineChars="200"/>
        <w:rPr>
          <w:rFonts w:hint="eastAsia"/>
        </w:rPr>
      </w:pPr>
      <w:r>
        <w:rPr>
          <w:rFonts w:hint="eastAsia"/>
        </w:rPr>
        <w:t>注意，一条法律、法规为一项设定依据。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目录信息填写完整之后，点击上报审核按钮，提交有关部门审核。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300605"/>
            <wp:effectExtent l="0" t="0" r="7620" b="4445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13" w:name="_Toc9165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2目录上报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基本</w:t>
      </w:r>
      <w:r>
        <w:rPr>
          <w:rFonts w:hint="eastAsia"/>
          <w:lang w:eastAsia="zh-CN"/>
        </w:rPr>
        <w:t>目录</w:t>
      </w:r>
      <w:r>
        <w:rPr>
          <w:rFonts w:hint="eastAsia"/>
        </w:rPr>
        <w:t>—</w:t>
      </w:r>
      <w:r>
        <w:rPr>
          <w:rFonts w:hint="eastAsia"/>
          <w:lang w:val="en-US" w:eastAsia="zh-CN"/>
        </w:rPr>
        <w:t>基本</w:t>
      </w:r>
      <w:r>
        <w:rPr>
          <w:rFonts w:hint="eastAsia"/>
          <w:lang w:eastAsia="zh-CN"/>
        </w:rPr>
        <w:t>目录</w:t>
      </w:r>
      <w:r>
        <w:rPr>
          <w:rFonts w:hint="eastAsia"/>
        </w:rPr>
        <w:t>维护，选择需要</w:t>
      </w:r>
      <w:r>
        <w:rPr>
          <w:rFonts w:hint="eastAsia"/>
          <w:lang w:val="en-US" w:eastAsia="zh-CN"/>
        </w:rPr>
        <w:t>上报</w:t>
      </w:r>
      <w:r>
        <w:rPr>
          <w:rFonts w:hint="eastAsia"/>
        </w:rPr>
        <w:t>的目录类型，在待审核区域进行目录的</w:t>
      </w:r>
      <w:r>
        <w:rPr>
          <w:rFonts w:hint="eastAsia"/>
          <w:lang w:val="en-US" w:eastAsia="zh-CN"/>
        </w:rPr>
        <w:t>上报审核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9230" cy="2333625"/>
            <wp:effectExtent l="0" t="0" r="7620" b="9525"/>
            <wp:docPr id="15" name="图片 15" descr="TIM截图2019051416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IM截图201905141629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找到需要上报审核的目录，点击名称，进入编辑页面。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500630"/>
            <wp:effectExtent l="0" t="0" r="6985" b="13970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点击上报审核按钮，提交有关部门审核。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300605"/>
            <wp:effectExtent l="0" t="0" r="7620" b="4445"/>
            <wp:docPr id="39" name="图片 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14" w:name="_Toc2377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3目录发布</w:t>
      </w:r>
      <w:bookmarkEnd w:id="14"/>
    </w:p>
    <w:p>
      <w:pPr>
        <w:ind w:firstLine="560" w:firstLineChars="200"/>
        <w:rPr>
          <w:rFonts w:hint="default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1391920</wp:posOffset>
            </wp:positionV>
            <wp:extent cx="5265420" cy="1878330"/>
            <wp:effectExtent l="0" t="0" r="11430" b="7620"/>
            <wp:wrapTight wrapText="bothSides">
              <wp:wrapPolygon>
                <wp:start x="0" y="0"/>
                <wp:lineTo x="0" y="21469"/>
                <wp:lineTo x="21491" y="21469"/>
                <wp:lineTo x="21491" y="0"/>
                <wp:lineTo x="0" y="0"/>
              </wp:wrapPolygon>
            </wp:wrapTight>
            <wp:docPr id="7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在“基本目录”--“基本目录维护”--“事项类型”--“已审核”，勾选需要进行发布的自目录（可以勾选多个进行批量发布），再点击左上角“发布”按钮，如图所示：</w:t>
      </w:r>
    </w:p>
    <w:p>
      <w:pPr>
        <w:ind w:firstLine="560" w:firstLineChars="200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发布成功后可在“已发布”查看发布成功的目录。</w:t>
      </w:r>
    </w:p>
    <w:p>
      <w:pPr>
        <w:pStyle w:val="3"/>
        <w:bidi w:val="0"/>
        <w:outlineLvl w:val="1"/>
        <w:rPr>
          <w:rFonts w:hint="eastAsia"/>
          <w:lang w:val="en-US" w:eastAsia="zh-CN"/>
        </w:rPr>
      </w:pPr>
      <w:bookmarkStart w:id="15" w:name="_Toc14209"/>
      <w:r>
        <w:rPr>
          <w:rFonts w:hint="eastAsia"/>
          <w:lang w:val="en-US" w:eastAsia="zh-CN"/>
        </w:rPr>
        <w:t>4.3应纳入国家目录</w:t>
      </w:r>
      <w:bookmarkEnd w:id="15"/>
    </w:p>
    <w:p>
      <w:pPr>
        <w:ind w:firstLine="55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在“应纳入国家目录”模块，可以将国家目录中没有，而设定依据又为国家</w:t>
      </w:r>
      <w:r>
        <w:rPr>
          <w:rFonts w:hint="eastAsia" w:ascii="Calibri" w:hAnsi="Calibri" w:eastAsia="仿宋" w:cs="Times New Roman"/>
          <w:b/>
          <w:bCs/>
          <w:kern w:val="2"/>
          <w:sz w:val="32"/>
          <w:szCs w:val="32"/>
          <w:lang w:val="en-US" w:eastAsia="zh-CN" w:bidi="ar-SA"/>
        </w:rPr>
        <w:t>法律</w:t>
      </w:r>
      <w:r>
        <w:rPr>
          <w:rFonts w:hint="eastAsia"/>
          <w:lang w:val="en-US" w:eastAsia="zh-CN"/>
        </w:rPr>
        <w:t>，各部门认为应纳入国家目录的事项，点击“纳入”，将该事项打上标识，由国家部委决定是否将该事项纳入国家目录。示：</w:t>
      </w:r>
    </w:p>
    <w:p>
      <w:r>
        <w:drawing>
          <wp:inline distT="0" distB="0" distL="114300" distR="114300">
            <wp:extent cx="5270500" cy="2075815"/>
            <wp:effectExtent l="0" t="0" r="6350" b="6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</w:p>
    <w:p>
      <w:pPr>
        <w:pStyle w:val="3"/>
        <w:bidi w:val="0"/>
        <w:outlineLvl w:val="1"/>
        <w:rPr>
          <w:rFonts w:hint="default"/>
          <w:lang w:val="en-US" w:eastAsia="zh-CN"/>
        </w:rPr>
      </w:pPr>
      <w:bookmarkStart w:id="16" w:name="_Toc24780"/>
      <w:r>
        <w:rPr>
          <w:rFonts w:hint="eastAsia"/>
          <w:lang w:val="en-US" w:eastAsia="zh-CN"/>
        </w:rPr>
        <w:t>4.4特有目录维护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地（州、市）特有目录由地（州、市）直属部门在对应的事项类型下进行新增、变更等操作，经有关部门审核通过后生效，为本地（州、市）及下辖县（市、区）、乡镇（街道）、村居（社区）行使。</w:t>
      </w:r>
    </w:p>
    <w:p>
      <w:p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特有目录维护功能同自治区目录维护相同，相关内容可见3.2基本目录维护。</w:t>
      </w:r>
    </w:p>
    <w:p>
      <w:pPr>
        <w:pStyle w:val="3"/>
        <w:bidi w:val="0"/>
        <w:outlineLvl w:val="1"/>
        <w:rPr>
          <w:rFonts w:hint="eastAsia"/>
          <w:lang w:val="en-US" w:eastAsia="zh-CN"/>
        </w:rPr>
      </w:pPr>
      <w:bookmarkStart w:id="17" w:name="_Toc6453"/>
      <w:r>
        <w:rPr>
          <w:rFonts w:hint="eastAsia"/>
          <w:lang w:val="en-US" w:eastAsia="zh-CN"/>
        </w:rPr>
        <w:t>4.5目录检测</w:t>
      </w:r>
      <w:bookmarkEnd w:id="17"/>
    </w:p>
    <w:p>
      <w:pPr>
        <w:ind w:firstLine="55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在“自治区目录检测”模块，可以检测本部门所有在用自治区目录填写是否规范，如图所示：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4785" cy="2058670"/>
            <wp:effectExtent l="0" t="0" r="12065" b="17780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outlineLvl w:val="0"/>
        <w:rPr>
          <w:rFonts w:hint="eastAsia"/>
          <w:lang w:val="en-US" w:eastAsia="zh-CN"/>
        </w:rPr>
      </w:pPr>
      <w:bookmarkStart w:id="18" w:name="_Toc29515"/>
      <w:r>
        <w:rPr>
          <w:rFonts w:hint="eastAsia"/>
          <w:lang w:val="en-US" w:eastAsia="zh-CN"/>
        </w:rPr>
        <w:t>五、基本目录管理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</w:t>
      </w:r>
      <w:r>
        <w:rPr>
          <w:rFonts w:hint="eastAsia" w:ascii="仿宋" w:hAnsi="仿宋" w:cs="仿宋"/>
          <w:lang w:val="en-US" w:eastAsia="zh-CN"/>
        </w:rPr>
        <w:t>基本</w:t>
      </w:r>
      <w:r>
        <w:rPr>
          <w:rFonts w:hint="eastAsia" w:ascii="仿宋" w:hAnsi="仿宋" w:cs="仿宋"/>
          <w:lang w:eastAsia="zh-CN"/>
        </w:rPr>
        <w:t>目录</w:t>
      </w:r>
      <w:r>
        <w:rPr>
          <w:rFonts w:hint="eastAsia" w:ascii="仿宋" w:hAnsi="仿宋" w:eastAsia="仿宋" w:cs="仿宋"/>
        </w:rPr>
        <w:t>—</w:t>
      </w:r>
      <w:r>
        <w:rPr>
          <w:rFonts w:hint="eastAsia" w:ascii="仿宋" w:hAnsi="仿宋" w:cs="仿宋"/>
          <w:lang w:eastAsia="zh-CN"/>
        </w:rPr>
        <w:t>自</w:t>
      </w:r>
      <w:r>
        <w:rPr>
          <w:rFonts w:hint="eastAsia" w:ascii="仿宋" w:hAnsi="仿宋" w:cs="仿宋"/>
          <w:lang w:val="en-US" w:eastAsia="zh-CN"/>
        </w:rPr>
        <w:t>基本</w:t>
      </w:r>
      <w:r>
        <w:rPr>
          <w:rFonts w:hint="eastAsia" w:ascii="仿宋" w:hAnsi="仿宋" w:cs="仿宋"/>
          <w:lang w:eastAsia="zh-CN"/>
        </w:rPr>
        <w:t>目录</w:t>
      </w:r>
      <w:r>
        <w:rPr>
          <w:rFonts w:hint="eastAsia" w:ascii="仿宋" w:hAnsi="仿宋" w:eastAsia="仿宋" w:cs="仿宋"/>
        </w:rPr>
        <w:t>管理，进入</w:t>
      </w:r>
      <w:r>
        <w:rPr>
          <w:rFonts w:hint="eastAsia" w:ascii="仿宋" w:hAnsi="仿宋" w:cs="仿宋"/>
          <w:lang w:eastAsia="zh-CN"/>
        </w:rPr>
        <w:t>自治区目录</w:t>
      </w:r>
      <w:r>
        <w:rPr>
          <w:rFonts w:hint="eastAsia" w:ascii="仿宋" w:hAnsi="仿宋" w:eastAsia="仿宋" w:cs="仿宋"/>
        </w:rPr>
        <w:t>管理界面，在右侧的</w:t>
      </w:r>
      <w:r>
        <w:rPr>
          <w:rFonts w:hint="eastAsia" w:ascii="仿宋" w:hAnsi="仿宋" w:cs="仿宋"/>
          <w:lang w:eastAsia="zh-CN"/>
        </w:rPr>
        <w:t>自治区目录</w:t>
      </w:r>
      <w:r>
        <w:rPr>
          <w:rFonts w:hint="eastAsia" w:ascii="仿宋" w:hAnsi="仿宋" w:eastAsia="仿宋" w:cs="仿宋"/>
        </w:rPr>
        <w:t>列表中，点击需要取消目录的“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95275" cy="276225"/>
            <wp:effectExtent l="0" t="0" r="952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t>”按钮，之后平台会在该类事项类型的待审核列表中生成一条新记录。</w:t>
      </w:r>
    </w:p>
    <w:p>
      <w:r>
        <w:drawing>
          <wp:inline distT="0" distB="0" distL="0" distR="0">
            <wp:extent cx="5274310" cy="20675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jc w:val="left"/>
        <w:textAlignment w:val="auto"/>
        <w:rPr>
          <w:rFonts w:hint="eastAsia"/>
        </w:rPr>
      </w:pPr>
      <w:r>
        <w:rPr>
          <w:rFonts w:hint="eastAsia" w:ascii="仿宋" w:hAnsi="仿宋" w:eastAsia="仿宋" w:cs="仿宋"/>
        </w:rPr>
        <w:t>切换到对应事项类型下的待审核界面，将需要暂停的目录提交审核。审核通过，取消生效。注：取消的目录将变为“取消”状态，无法恢复。</w:t>
      </w:r>
    </w:p>
    <w:p>
      <w:pPr>
        <w:pStyle w:val="2"/>
        <w:bidi w:val="0"/>
        <w:outlineLvl w:val="0"/>
      </w:pPr>
      <w:bookmarkStart w:id="19" w:name="_Toc14982"/>
      <w:bookmarkStart w:id="20" w:name="_Toc12472"/>
      <w:r>
        <w:rPr>
          <w:rFonts w:hint="eastAsia"/>
          <w:lang w:val="en-US" w:eastAsia="zh-CN"/>
        </w:rPr>
        <w:t>六、实施清单</w:t>
      </w:r>
      <w:r>
        <w:rPr>
          <w:rFonts w:hint="eastAsia"/>
        </w:rPr>
        <w:t>梳理</w:t>
      </w:r>
      <w:bookmarkEnd w:id="19"/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在此模块对政务服务事项实施清单进行以下操作：实施清单维护、实施清单的管理（取消）。</w:t>
      </w:r>
    </w:p>
    <w:p>
      <w:pPr>
        <w:pStyle w:val="3"/>
        <w:bidi w:val="0"/>
        <w:outlineLvl w:val="1"/>
        <w:rPr>
          <w:rFonts w:hint="eastAsia"/>
          <w:lang w:val="en-US" w:eastAsia="zh-CN"/>
        </w:rPr>
      </w:pPr>
      <w:bookmarkStart w:id="21" w:name="_Toc29294"/>
      <w:bookmarkStart w:id="22" w:name="_Toc1552"/>
      <w:r>
        <w:rPr>
          <w:rFonts w:hint="eastAsia"/>
          <w:lang w:val="en-US" w:eastAsia="zh-CN"/>
        </w:rPr>
        <w:t>6</w:t>
      </w:r>
      <w:r>
        <w:rPr>
          <w:rFonts w:hint="eastAsia"/>
        </w:rPr>
        <w:t>.1</w:t>
      </w:r>
      <w:r>
        <w:rPr>
          <w:rFonts w:hint="eastAsia"/>
          <w:lang w:val="en-US" w:eastAsia="zh-CN"/>
        </w:rPr>
        <w:t>实施清单维护</w:t>
      </w:r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/>
          <w:szCs w:val="28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在“实施清单维护”中，对本单位行使的事项进行认领、拆分业务办理项、编制实施清单和维护，具体工作流程如下图：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18430" cy="2177415"/>
            <wp:effectExtent l="0" t="0" r="1270" b="133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2"/>
        <w:rPr>
          <w:rFonts w:hint="eastAsia"/>
        </w:rPr>
      </w:pPr>
      <w:bookmarkStart w:id="23" w:name="_Toc23402"/>
      <w:bookmarkStart w:id="24" w:name="_Toc6836"/>
      <w:r>
        <w:rPr>
          <w:rFonts w:hint="eastAsia"/>
          <w:lang w:val="en-US" w:eastAsia="zh-CN"/>
        </w:rPr>
        <w:t>6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事项认领</w:t>
      </w:r>
      <w:bookmarkEnd w:id="23"/>
      <w:bookmarkEnd w:id="24"/>
    </w:p>
    <w:p>
      <w:pPr>
        <w:ind w:firstLine="560" w:firstLineChars="200"/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在“实施清单维护”中，点击“</w:t>
      </w:r>
      <w:r>
        <w:drawing>
          <wp:inline distT="0" distB="0" distL="114300" distR="114300">
            <wp:extent cx="1304925" cy="257175"/>
            <wp:effectExtent l="0" t="0" r="9525" b="952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”，根据事项类型和业务条线等条件，筛选出指定事项，</w:t>
      </w: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228600" cy="200025"/>
            <wp:effectExtent l="0" t="0" r="0" b="9525"/>
            <wp:docPr id="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可展开更多搜索条件，如图所示：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3040" cy="2392045"/>
            <wp:effectExtent l="0" t="0" r="3810" b="8255"/>
            <wp:docPr id="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勾选要认领的事项后，点击</w:t>
      </w:r>
      <w:r>
        <w:drawing>
          <wp:inline distT="0" distB="0" distL="114300" distR="114300">
            <wp:extent cx="685800" cy="219075"/>
            <wp:effectExtent l="0" t="0" r="0" b="9525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并确定，至出现如下提示，则说明认领成功！</w:t>
      </w:r>
    </w:p>
    <w:p>
      <w:pPr>
        <w:jc w:val="center"/>
        <w:rPr>
          <w:rFonts w:hint="default" w:eastAsia="仿宋"/>
          <w:lang w:val="en-US" w:eastAsia="zh-CN"/>
        </w:rPr>
      </w:pPr>
      <w:r>
        <w:drawing>
          <wp:inline distT="0" distB="0" distL="114300" distR="114300">
            <wp:extent cx="3962400" cy="2124075"/>
            <wp:effectExtent l="0" t="0" r="0" b="9525"/>
            <wp:docPr id="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点击“</w:t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drawing>
          <wp:inline distT="0" distB="0" distL="114300" distR="114300">
            <wp:extent cx="800100" cy="292100"/>
            <wp:effectExtent l="0" t="0" r="0" b="12700"/>
            <wp:docPr id="45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”按钮，该事项将出现在对应事项类型下的“待审核”列表中，可点击事项名称以编制实施清单（见5.1.3），或进一步拆分业务办理项(见5.1.2)。如图所示：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4305" cy="2418080"/>
            <wp:effectExtent l="0" t="0" r="4445" b="1270"/>
            <wp:docPr id="69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2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/>
          <w:bCs/>
          <w:kern w:val="2"/>
          <w:sz w:val="28"/>
          <w:szCs w:val="22"/>
          <w:lang w:val="en-US" w:eastAsia="zh-CN" w:bidi="ar-SA"/>
        </w:rPr>
        <w:t>注意：</w:t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在认领事项时，只需认领部门所需的事项即可。切勿认领非本部门事项，否则在考核实施清单梳理进度时会影响部门实施清单梳理完成率。</w:t>
      </w: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25" w:name="_Toc9777"/>
      <w:r>
        <w:rPr>
          <w:rFonts w:hint="eastAsia"/>
          <w:lang w:val="en-US" w:eastAsia="zh-CN"/>
        </w:rPr>
        <w:t>6.1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2拆分业务办理项</w:t>
      </w:r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default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因国家目录仅规范了权力名称且无法进行修改，不满足各地业务办理需要，各单位应按业务实际，对其拆分业务办理项。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default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在“实施清单维护”对应的事项类型“待审核”下，点击</w:t>
      </w:r>
      <w:r>
        <w:drawing>
          <wp:inline distT="0" distB="0" distL="114300" distR="114300">
            <wp:extent cx="266700" cy="219075"/>
            <wp:effectExtent l="0" t="0" r="0" b="9525"/>
            <wp:docPr id="7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拆分业务办理项，并维护拆分项名称。</w:t>
      </w: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26" w:name="_Toc23675"/>
      <w:bookmarkStart w:id="27" w:name="_Toc23020"/>
      <w:r>
        <w:rPr>
          <w:rFonts w:hint="eastAsia"/>
          <w:lang w:val="en-US" w:eastAsia="zh-CN"/>
        </w:rPr>
        <w:t>6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实施清单</w:t>
      </w:r>
      <w:bookmarkEnd w:id="26"/>
      <w:r>
        <w:rPr>
          <w:rFonts w:hint="eastAsia"/>
          <w:lang w:val="en-US" w:eastAsia="zh-CN"/>
        </w:rPr>
        <w:t>编制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在“实施清单维护”-待审核中，点击事项名称，进入实施清单编辑页面。如图所示：</w:t>
      </w:r>
    </w:p>
    <w:p>
      <w:r>
        <w:drawing>
          <wp:inline distT="0" distB="0" distL="114300" distR="114300">
            <wp:extent cx="5262880" cy="2731135"/>
            <wp:effectExtent l="0" t="0" r="13970" b="12065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分别维护“基本信息”、“扩展信息”、申报材料”、“收费信息”、“常见问题解答”子表中的要素信息，并在每个页面要素维护完成之后，点击</w:t>
      </w:r>
      <w:r>
        <w:drawing>
          <wp:inline distT="0" distB="0" distL="114300" distR="114300">
            <wp:extent cx="695325" cy="219075"/>
            <wp:effectExtent l="0" t="0" r="9525" b="9525"/>
            <wp:docPr id="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暂存修改内容，或点击</w:t>
      </w:r>
      <w:r>
        <w:drawing>
          <wp:inline distT="0" distB="0" distL="114300" distR="114300">
            <wp:extent cx="695325" cy="209550"/>
            <wp:effectExtent l="0" t="0" r="9525" b="0"/>
            <wp:docPr id="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保存（平台将进行要素必填性检查，其中标*的为必填项）</w:t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。</w:t>
      </w:r>
    </w:p>
    <w:p>
      <w:pPr>
        <w:pStyle w:val="4"/>
        <w:bidi w:val="0"/>
        <w:outlineLvl w:val="2"/>
        <w:rPr>
          <w:rFonts w:hint="default" w:eastAsia="仿宋"/>
          <w:lang w:val="en-US" w:eastAsia="zh-CN"/>
        </w:rPr>
      </w:pPr>
      <w:bookmarkStart w:id="28" w:name="_Toc91"/>
      <w:bookmarkStart w:id="29" w:name="_Toc25812"/>
      <w:r>
        <w:rPr>
          <w:rFonts w:hint="eastAsia"/>
          <w:lang w:val="en-US" w:eastAsia="zh-CN"/>
        </w:rPr>
        <w:t>6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</w:t>
      </w:r>
      <w:bookmarkStart w:id="30" w:name="_Toc14273"/>
      <w:bookmarkStart w:id="31" w:name="_Toc16799"/>
      <w:bookmarkStart w:id="32" w:name="_Toc30805"/>
      <w:r>
        <w:rPr>
          <w:rFonts w:hint="eastAsia"/>
        </w:rPr>
        <w:t>特殊实施要素梳理</w:t>
      </w:r>
      <w:bookmarkEnd w:id="28"/>
      <w:bookmarkEnd w:id="30"/>
      <w:bookmarkEnd w:id="31"/>
      <w:bookmarkEnd w:id="32"/>
      <w:r>
        <w:rPr>
          <w:rFonts w:hint="eastAsia"/>
          <w:lang w:val="en-US" w:eastAsia="zh-CN"/>
        </w:rPr>
        <w:t>说明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Style w:val="29"/>
          <w:rFonts w:hint="eastAsia" w:ascii="仿宋" w:hAnsi="仿宋" w:eastAsia="仿宋" w:cs="仿宋"/>
          <w:lang w:val="en-US" w:eastAsia="zh-CN"/>
        </w:rPr>
      </w:pPr>
      <w:r>
        <w:rPr>
          <w:rStyle w:val="29"/>
          <w:rFonts w:hint="eastAsia" w:ascii="仿宋" w:hAnsi="仿宋" w:cs="仿宋"/>
          <w:lang w:val="en-US" w:eastAsia="zh-CN"/>
        </w:rPr>
        <w:t>6</w:t>
      </w:r>
      <w:r>
        <w:rPr>
          <w:rStyle w:val="29"/>
          <w:rFonts w:hint="eastAsia" w:ascii="仿宋" w:hAnsi="仿宋" w:eastAsia="仿宋" w:cs="仿宋"/>
          <w:lang w:val="en-US" w:eastAsia="zh-CN"/>
        </w:rPr>
        <w:t>.1.4.1申报材料——情形维护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840" w:firstLineChars="3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系统支持在实施清单中，对“情形”进行维护。如图所示：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616835"/>
            <wp:effectExtent l="0" t="0" r="12065" b="12065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针对“情形”的示例：办理某事项，分“已婚”和“未婚”两种情形，这两种情形只有“是否需要结婚证”的区别，那么该事项的“情形”可以分为“已婚情形”和“未婚情形”。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Style w:val="29"/>
          <w:rFonts w:hint="eastAsia" w:ascii="仿宋" w:hAnsi="仿宋" w:eastAsia="仿宋" w:cs="仿宋"/>
          <w:lang w:val="en-US" w:eastAsia="zh-CN"/>
        </w:rPr>
        <w:t>5.1.4.</w:t>
      </w:r>
      <w:r>
        <w:rPr>
          <w:rStyle w:val="29"/>
          <w:rFonts w:hint="eastAsia" w:ascii="仿宋" w:hAnsi="仿宋" w:cs="仿宋"/>
          <w:lang w:val="en-US" w:eastAsia="zh-CN"/>
        </w:rPr>
        <w:t>2</w:t>
      </w:r>
      <w:r>
        <w:rPr>
          <w:rStyle w:val="29"/>
          <w:rFonts w:hint="eastAsia" w:ascii="仿宋" w:hAnsi="仿宋" w:eastAsia="仿宋" w:cs="仿宋"/>
          <w:lang w:val="en-US" w:eastAsia="zh-CN"/>
        </w:rPr>
        <w:t>收费信息维护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收费信息维护，主要针对“收费事项”，如果为非收费事项，则无需维护该模块信息。如图所示：</w:t>
      </w:r>
    </w:p>
    <w:p>
      <w:r>
        <w:drawing>
          <wp:inline distT="0" distB="0" distL="114300" distR="114300">
            <wp:extent cx="5264150" cy="803275"/>
            <wp:effectExtent l="0" t="0" r="12700" b="15875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针对“收费事项”（在“基本信息”模块中维护“是否收费事项”要素），需要填写收费相关要素，如图所示：</w:t>
      </w:r>
    </w:p>
    <w:p>
      <w:r>
        <w:drawing>
          <wp:inline distT="0" distB="0" distL="114300" distR="114300">
            <wp:extent cx="5274310" cy="2817495"/>
            <wp:effectExtent l="0" t="0" r="2540" b="190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201545"/>
            <wp:effectExtent l="0" t="0" r="15240" b="825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33" w:name="_Toc6081"/>
      <w:bookmarkStart w:id="34" w:name="_Toc15853"/>
      <w:r>
        <w:rPr>
          <w:rFonts w:hint="eastAsia"/>
          <w:lang w:val="en-US" w:eastAsia="zh-CN"/>
        </w:rPr>
        <w:t>6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实施清单</w:t>
      </w:r>
      <w:r>
        <w:rPr>
          <w:rFonts w:hint="eastAsia"/>
        </w:rPr>
        <w:t>上报</w:t>
      </w:r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要素填写完毕后，点击“</w:t>
      </w:r>
      <w:r>
        <w:drawing>
          <wp:inline distT="0" distB="0" distL="114300" distR="114300">
            <wp:extent cx="723900" cy="209550"/>
            <wp:effectExtent l="0" t="0" r="0" b="0"/>
            <wp:docPr id="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”按钮，根据系统提示完善要素，如图所示：</w:t>
      </w:r>
    </w:p>
    <w:p>
      <w:r>
        <w:drawing>
          <wp:inline distT="0" distB="0" distL="114300" distR="114300">
            <wp:extent cx="5274310" cy="2288540"/>
            <wp:effectExtent l="0" t="0" r="2540" b="16510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default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直至提示“该实施清单已经上报！”，则表示该实施清单梳理完成。如下图所示：</w:t>
      </w:r>
    </w:p>
    <w:p>
      <w:r>
        <w:drawing>
          <wp:inline distT="0" distB="0" distL="114300" distR="114300">
            <wp:extent cx="5264785" cy="2574925"/>
            <wp:effectExtent l="0" t="0" r="12065" b="1587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2"/>
        <w:rPr>
          <w:rFonts w:hint="default"/>
          <w:lang w:val="en-US" w:eastAsia="zh-CN"/>
        </w:rPr>
      </w:pPr>
      <w:bookmarkStart w:id="35" w:name="_Toc29241"/>
      <w:r>
        <w:rPr>
          <w:rFonts w:hint="eastAsia"/>
          <w:lang w:val="en-US" w:eastAsia="zh-CN"/>
        </w:rPr>
        <w:t>6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实施清单查看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对于上报成功的实施清单，可以在实施清单维护对应事项类型的“已审核”下分配查看在用、暂停、取消状态的实施清单。</w:t>
      </w:r>
    </w:p>
    <w:p>
      <w:r>
        <w:drawing>
          <wp:inline distT="0" distB="0" distL="114300" distR="114300">
            <wp:extent cx="5273675" cy="1781175"/>
            <wp:effectExtent l="0" t="0" r="3175" b="9525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点击“事项名称”即可查看具体的实施清单内容。</w:t>
      </w:r>
    </w:p>
    <w:p>
      <w:pPr>
        <w:pStyle w:val="4"/>
        <w:bidi w:val="0"/>
        <w:outlineLvl w:val="2"/>
        <w:rPr>
          <w:rFonts w:hint="default"/>
          <w:lang w:val="en-US" w:eastAsia="zh-CN"/>
        </w:rPr>
      </w:pPr>
      <w:bookmarkStart w:id="36" w:name="_Toc32391"/>
      <w:r>
        <w:rPr>
          <w:rFonts w:hint="eastAsia"/>
          <w:lang w:val="en-US" w:eastAsia="zh-CN"/>
        </w:rPr>
        <w:t>6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实施清单变更</w:t>
      </w:r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eastAsia="仿宋"/>
          <w:lang w:val="en-US" w:eastAsia="zh-CN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 xml:space="preserve">    对于本单位已编制的实施清单，可以在实施清单维护的已审核下，点击</w:t>
      </w:r>
      <w:r>
        <w:drawing>
          <wp:inline distT="0" distB="0" distL="114300" distR="114300">
            <wp:extent cx="219075" cy="238125"/>
            <wp:effectExtent l="0" t="0" r="9525" b="9525"/>
            <wp:docPr id="7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对清单发起变更。调整完成后点击</w:t>
      </w:r>
      <w:r>
        <w:drawing>
          <wp:inline distT="0" distB="0" distL="114300" distR="114300">
            <wp:extent cx="676275" cy="200025"/>
            <wp:effectExtent l="0" t="0" r="9525" b="9525"/>
            <wp:docPr id="7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。</w:t>
      </w:r>
    </w:p>
    <w:p>
      <w:pPr>
        <w:pStyle w:val="3"/>
        <w:bidi w:val="0"/>
        <w:outlineLvl w:val="1"/>
        <w:rPr>
          <w:rFonts w:hint="eastAsia"/>
          <w:lang w:val="en-US" w:eastAsia="zh-CN"/>
        </w:rPr>
      </w:pPr>
      <w:bookmarkStart w:id="37" w:name="_Toc26159"/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3实施清单发布</w:t>
      </w:r>
      <w:bookmarkEnd w:id="3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清单编制完成，须对清单进行“发布”或“不发布”的操作。发布后的实施清单，将在新疆政务服务网展示。</w:t>
      </w: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38" w:name="_Toc10862"/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清单发布</w:t>
      </w:r>
      <w:bookmarkEnd w:id="38"/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在“实施清单维护”的“已审核”中，勾选需要进行发布的自治区目录（可以勾选多个进行批量发布），再点击左上角“发布”按钮，发布成功后可在“已发布”查看发布成功的清单，如图所示：</w:t>
      </w:r>
    </w:p>
    <w:p>
      <w:pPr>
        <w:jc w:val="left"/>
      </w:pPr>
      <w:r>
        <w:drawing>
          <wp:inline distT="0" distB="0" distL="114300" distR="114300">
            <wp:extent cx="5268595" cy="1515745"/>
            <wp:effectExtent l="0" t="0" r="8255" b="8255"/>
            <wp:docPr id="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2"/>
        <w:rPr>
          <w:rFonts w:hint="eastAsia"/>
          <w:lang w:val="en-US" w:eastAsia="zh-CN"/>
        </w:rPr>
      </w:pPr>
      <w:bookmarkStart w:id="39" w:name="_Toc18751"/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2清单不发布</w:t>
      </w:r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在“实施清单维护”的“已审核”中，勾选不发布的实施清单（可以勾选多个进行批量不发布），再点击左上角“不发布”按钮，如图所示：</w:t>
      </w:r>
    </w:p>
    <w:p>
      <w:pPr>
        <w:jc w:val="left"/>
      </w:pPr>
      <w:r>
        <w:drawing>
          <wp:inline distT="0" distB="0" distL="114300" distR="114300">
            <wp:extent cx="5268595" cy="1701800"/>
            <wp:effectExtent l="0" t="0" r="8255" b="12700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2"/>
        <w:rPr>
          <w:rFonts w:hint="default"/>
          <w:lang w:val="en-US" w:eastAsia="zh-CN"/>
        </w:rPr>
      </w:pPr>
      <w:bookmarkStart w:id="40" w:name="_Toc21134"/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3清单发布状态变更</w:t>
      </w:r>
      <w:bookmarkEnd w:id="40"/>
    </w:p>
    <w:p>
      <w:pPr>
        <w:ind w:firstLine="560" w:firstLineChars="200"/>
        <w:jc w:val="left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/>
          <w:lang w:val="en-US" w:eastAsia="zh-CN"/>
        </w:rPr>
        <w:t>若需调整清单的发布状态（如从“发布”调整为“不发布”），应到</w:t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“实施清单维护”的“已审核”中对该事项发起变更，变更生效后即生成新版本的实施清单，勾选并选择“发布”状态，以覆盖原先的发布状态。</w:t>
      </w:r>
    </w:p>
    <w:p>
      <w:pPr>
        <w:pStyle w:val="4"/>
        <w:bidi w:val="0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4事项模板复用</w:t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实施清单认领后，如需借鉴其他地区实施清单作为参考，可进入实施清单编制页面点击</w:t>
      </w:r>
      <w:r>
        <w:rPr>
          <w:rFonts w:hint="default"/>
          <w:lang w:val="en-US" w:eastAsia="zh-CN"/>
        </w:rPr>
        <w:t>’</w:t>
      </w:r>
      <w:r>
        <w:rPr>
          <w:rFonts w:hint="eastAsia"/>
          <w:color w:val="C00000"/>
          <w:lang w:val="en-US" w:eastAsia="zh-CN"/>
        </w:rPr>
        <w:t>复用模板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按钮</w:t>
      </w:r>
    </w:p>
    <w:p>
      <w:r>
        <w:drawing>
          <wp:inline distT="0" distB="0" distL="114300" distR="114300">
            <wp:extent cx="5269865" cy="2518410"/>
            <wp:effectExtent l="0" t="0" r="635" b="889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弹出的的页面中选择需要复用的地区（点击事项名称可查看相应地区的实施清单维护信息，确认无误后，勾选点击复用即可。）</w:t>
      </w:r>
    </w:p>
    <w:p>
      <w:pPr>
        <w:ind w:firstLine="560" w:firstLineChars="200"/>
      </w:pPr>
      <w:r>
        <w:drawing>
          <wp:inline distT="0" distB="0" distL="114300" distR="114300">
            <wp:extent cx="5266055" cy="2825115"/>
            <wp:effectExtent l="0" t="0" r="4445" b="698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实施清单复用后，各别内容都需要根据实际情况填写，如：办理地址、咨询投诉电话等。修改完成后点击上报审核、发布即可。</w:t>
      </w:r>
    </w:p>
    <w:p>
      <w:pPr>
        <w:pStyle w:val="3"/>
        <w:bidi w:val="0"/>
        <w:outlineLvl w:val="1"/>
        <w:rPr>
          <w:rFonts w:hint="eastAsia"/>
          <w:lang w:val="en-US" w:eastAsia="zh-CN"/>
        </w:rPr>
      </w:pPr>
      <w:bookmarkStart w:id="41" w:name="_Toc19466"/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4实施清单检测</w:t>
      </w:r>
      <w:bookmarkEnd w:id="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在“实施清单检测”中，将列出不同缺陷类型下，有问题的实施清单数据，如图所示：</w:t>
      </w:r>
    </w:p>
    <w:p>
      <w:pPr>
        <w:jc w:val="left"/>
      </w:pPr>
      <w:r>
        <w:drawing>
          <wp:inline distT="0" distB="0" distL="114300" distR="114300">
            <wp:extent cx="5264785" cy="1783080"/>
            <wp:effectExtent l="0" t="0" r="12065" b="7620"/>
            <wp:docPr id="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 xml:space="preserve">    请根据实施清单质检问题，在“实施清单维护”-“已审核”中找到对应的事项并进行调整。</w:t>
      </w:r>
    </w:p>
    <w:p>
      <w:pPr>
        <w:pStyle w:val="3"/>
        <w:bidi w:val="0"/>
        <w:outlineLvl w:val="1"/>
        <w:rPr>
          <w:rFonts w:hint="eastAsia"/>
          <w:lang w:val="en-US" w:eastAsia="zh-CN"/>
        </w:rPr>
      </w:pPr>
      <w:bookmarkStart w:id="42" w:name="_Toc2888"/>
      <w:bookmarkStart w:id="43" w:name="_Toc28244"/>
      <w:r>
        <w:rPr>
          <w:rFonts w:hint="eastAsia"/>
          <w:lang w:val="en-US" w:eastAsia="zh-CN"/>
        </w:rPr>
        <w:t>6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5实施清单管理（清单取消、恢复）</w:t>
      </w:r>
      <w:bookmarkEnd w:id="42"/>
      <w:bookmarkEnd w:id="4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6.5.1实施清单取消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在实施清单管理界面，可对制定事项的实施清单进行查看或取消。对于要取消的实施清单，点击</w:t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drawing>
          <wp:inline distT="0" distB="0" distL="114300" distR="114300">
            <wp:extent cx="295275" cy="276225"/>
            <wp:effectExtent l="0" t="0" r="9525" b="9525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，该条实施清单即可取消。</w:t>
      </w:r>
    </w:p>
    <w:p>
      <w:r>
        <w:drawing>
          <wp:inline distT="0" distB="0" distL="114300" distR="114300">
            <wp:extent cx="5267325" cy="2440305"/>
            <wp:effectExtent l="0" t="0" r="9525" b="1714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6.5.2实施清单恢复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  <w:r>
        <w:rPr>
          <w:rFonts w:hint="eastAsia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  <w:t>在实施清单管理界面，查看权限状态的实施清单，找到需要恢复的实施清单，点击恢复。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60" w:firstLineChars="200"/>
        <w:textAlignment w:val="auto"/>
        <w:rPr>
          <w:rFonts w:hint="default" w:ascii="仿宋" w:hAnsi="仿宋" w:cs="仿宋"/>
          <w:b w:val="0"/>
          <w:bCs w:val="0"/>
          <w:kern w:val="2"/>
          <w:sz w:val="28"/>
          <w:szCs w:val="22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832610"/>
            <wp:effectExtent l="0" t="0" r="7620" b="152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outlineLvl w:val="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七．业务办理项管控</w:t>
      </w:r>
    </w:p>
    <w:p>
      <w:pPr>
        <w:numPr>
          <w:ilvl w:val="0"/>
          <w:numId w:val="0"/>
        </w:numPr>
        <w:outlineLvl w:val="1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7.1新增（厅局使用）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在主页面点击“业务办理项按钮”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1172845"/>
            <wp:effectExtent l="0" t="0" r="1397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根据删选条件，找到需要管控的事项，点击右侧“拆分”按钮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481455"/>
            <wp:effectExtent l="0" t="0" r="762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进入拆分界面后，点击左上角“新增拆分规则”，进入拆分界面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477645"/>
            <wp:effectExtent l="0" t="0" r="762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输入管控后的业务办理项名称，然后点击左上角“添加并关闭”按钮</w:t>
      </w:r>
    </w:p>
    <w:p>
      <w:pPr>
        <w:numPr>
          <w:ilvl w:val="0"/>
          <w:numId w:val="0"/>
        </w:numPr>
        <w:ind w:firstLine="560" w:firstLineChars="200"/>
      </w:pPr>
      <w:r>
        <w:drawing>
          <wp:inline distT="0" distB="0" distL="114300" distR="114300">
            <wp:extent cx="5271770" cy="1272540"/>
            <wp:effectExtent l="0" t="0" r="508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7.2修改及取消（厅局使用）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若后期要对管控的业务办理项就行修改名称或取消操作，可以直接点击“修改”或“取消”按钮。</w:t>
      </w:r>
    </w:p>
    <w:p>
      <w:pPr>
        <w:numPr>
          <w:ilvl w:val="0"/>
          <w:numId w:val="0"/>
        </w:numPr>
        <w:ind w:firstLine="560" w:firstLineChars="200"/>
      </w:pPr>
      <w:r>
        <w:drawing>
          <wp:inline distT="0" distB="0" distL="114300" distR="114300">
            <wp:extent cx="5273040" cy="1650365"/>
            <wp:effectExtent l="0" t="0" r="38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7.3认领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厅局管控过业务办理项的事项，在拆分业务办理项时，系统会如下弹出会话框</w:t>
      </w:r>
    </w:p>
    <w:p>
      <w:pPr>
        <w:numPr>
          <w:ilvl w:val="0"/>
          <w:numId w:val="0"/>
        </w:numPr>
        <w:ind w:firstLine="560" w:firstLineChars="200"/>
      </w:pPr>
      <w:r>
        <w:drawing>
          <wp:inline distT="0" distB="0" distL="114300" distR="114300">
            <wp:extent cx="5272405" cy="3447415"/>
            <wp:effectExtent l="0" t="0" r="444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若要沿用厅局管控的业务办理项，点击确定，不沿用，点击取消。</w:t>
      </w:r>
    </w:p>
    <w:p>
      <w:pPr>
        <w:numPr>
          <w:ilvl w:val="0"/>
          <w:numId w:val="0"/>
        </w:num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进入选择厅局管控的业务办理项页面后，选择需要沿用的业务办理项，然后点击右侧“拆分”按钮，沿用成功。</w:t>
      </w:r>
    </w:p>
    <w:p>
      <w:pPr>
        <w:numPr>
          <w:ilvl w:val="0"/>
          <w:numId w:val="0"/>
        </w:numPr>
        <w:ind w:firstLine="56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471930"/>
            <wp:effectExtent l="0" t="0" r="635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33642610"/>
    </w:sdtPr>
    <w:sdtContent>
      <w:sdt>
        <w:sdtPr>
          <w:id w:val="-1669238322"/>
        </w:sdtPr>
        <w:sdtContent>
          <w:p>
            <w:pPr>
              <w:pStyle w:val="1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hint="eastAsia" w:ascii="宋体" w:hAnsi="宋体"/>
      </w:rPr>
      <w:drawing>
        <wp:inline distT="0" distB="0" distL="114300" distR="114300">
          <wp:extent cx="600075" cy="304800"/>
          <wp:effectExtent l="0" t="0" r="952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 xml:space="preserve"> </w:t>
    </w:r>
    <w:r>
      <w:rPr>
        <w:rFonts w:hint="eastAsia" w:ascii="Cambria" w:hAnsi="Cambria"/>
      </w:rPr>
      <w:t>新疆维吾尔自治区政务服务事项管理平台操作手册</w:t>
    </w:r>
    <w:r>
      <w:rPr>
        <w:rFonts w:hint="eastAsia" w:ascii="宋体" w:hAnsi="宋体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B87AA0"/>
    <w:multiLevelType w:val="singleLevel"/>
    <w:tmpl w:val="F5B87A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33C310F"/>
    <w:multiLevelType w:val="singleLevel"/>
    <w:tmpl w:val="233C310F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163DD1A"/>
    <w:multiLevelType w:val="singleLevel"/>
    <w:tmpl w:val="7163DD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1A"/>
    <w:rsid w:val="00020194"/>
    <w:rsid w:val="00046AB7"/>
    <w:rsid w:val="0006566D"/>
    <w:rsid w:val="000858E2"/>
    <w:rsid w:val="000E3502"/>
    <w:rsid w:val="00171E97"/>
    <w:rsid w:val="0019562F"/>
    <w:rsid w:val="001F0A91"/>
    <w:rsid w:val="00210CE1"/>
    <w:rsid w:val="00216618"/>
    <w:rsid w:val="0023251A"/>
    <w:rsid w:val="002D7542"/>
    <w:rsid w:val="002E76ED"/>
    <w:rsid w:val="00314124"/>
    <w:rsid w:val="003546C8"/>
    <w:rsid w:val="003A1616"/>
    <w:rsid w:val="003E2B65"/>
    <w:rsid w:val="003E3778"/>
    <w:rsid w:val="004E4B7F"/>
    <w:rsid w:val="00543974"/>
    <w:rsid w:val="005F3BCD"/>
    <w:rsid w:val="006219D4"/>
    <w:rsid w:val="006230C7"/>
    <w:rsid w:val="00646CEB"/>
    <w:rsid w:val="006D0F3D"/>
    <w:rsid w:val="00765AEB"/>
    <w:rsid w:val="007F661C"/>
    <w:rsid w:val="008526DB"/>
    <w:rsid w:val="008D6BD9"/>
    <w:rsid w:val="009118C6"/>
    <w:rsid w:val="00943E68"/>
    <w:rsid w:val="009444C0"/>
    <w:rsid w:val="00964FE8"/>
    <w:rsid w:val="009C0A2D"/>
    <w:rsid w:val="00A959CE"/>
    <w:rsid w:val="00A97D17"/>
    <w:rsid w:val="00AA4CE8"/>
    <w:rsid w:val="00AB2569"/>
    <w:rsid w:val="00B7486C"/>
    <w:rsid w:val="00B944A1"/>
    <w:rsid w:val="00BD545E"/>
    <w:rsid w:val="00BF5FCC"/>
    <w:rsid w:val="00C050D9"/>
    <w:rsid w:val="00CA0531"/>
    <w:rsid w:val="00CD6027"/>
    <w:rsid w:val="00D52E1A"/>
    <w:rsid w:val="00DB5F90"/>
    <w:rsid w:val="00DC4826"/>
    <w:rsid w:val="00DD2F2E"/>
    <w:rsid w:val="00E07565"/>
    <w:rsid w:val="00E408E9"/>
    <w:rsid w:val="00EE6E3D"/>
    <w:rsid w:val="00F35EF8"/>
    <w:rsid w:val="02D7547C"/>
    <w:rsid w:val="034A0B52"/>
    <w:rsid w:val="049B691D"/>
    <w:rsid w:val="076021C1"/>
    <w:rsid w:val="0B75262E"/>
    <w:rsid w:val="0FF37F5E"/>
    <w:rsid w:val="11035E31"/>
    <w:rsid w:val="117C52BC"/>
    <w:rsid w:val="12724307"/>
    <w:rsid w:val="1C6C3821"/>
    <w:rsid w:val="1E646DF6"/>
    <w:rsid w:val="20E74DB3"/>
    <w:rsid w:val="212B1F8D"/>
    <w:rsid w:val="21935E26"/>
    <w:rsid w:val="23720A33"/>
    <w:rsid w:val="23D67A84"/>
    <w:rsid w:val="241F0FAB"/>
    <w:rsid w:val="24B76FBA"/>
    <w:rsid w:val="26663FFF"/>
    <w:rsid w:val="29C565F3"/>
    <w:rsid w:val="2C477FC1"/>
    <w:rsid w:val="2D876D2D"/>
    <w:rsid w:val="2F492279"/>
    <w:rsid w:val="320D1D0C"/>
    <w:rsid w:val="32672D4C"/>
    <w:rsid w:val="33604566"/>
    <w:rsid w:val="368F63F8"/>
    <w:rsid w:val="3ED844ED"/>
    <w:rsid w:val="43046E63"/>
    <w:rsid w:val="45DA1EFC"/>
    <w:rsid w:val="4BAA2766"/>
    <w:rsid w:val="4C244B2E"/>
    <w:rsid w:val="4CB60C38"/>
    <w:rsid w:val="4D15363B"/>
    <w:rsid w:val="4E751D87"/>
    <w:rsid w:val="526B330F"/>
    <w:rsid w:val="52D10190"/>
    <w:rsid w:val="54BC702A"/>
    <w:rsid w:val="556E6AF6"/>
    <w:rsid w:val="58724C3B"/>
    <w:rsid w:val="594E1BDE"/>
    <w:rsid w:val="5B00447C"/>
    <w:rsid w:val="618F4246"/>
    <w:rsid w:val="61AC7108"/>
    <w:rsid w:val="62F34A7C"/>
    <w:rsid w:val="639825EC"/>
    <w:rsid w:val="642706C1"/>
    <w:rsid w:val="65150999"/>
    <w:rsid w:val="67824CFB"/>
    <w:rsid w:val="6E0D064A"/>
    <w:rsid w:val="6F1C3253"/>
    <w:rsid w:val="6FB95CAE"/>
    <w:rsid w:val="70C35C69"/>
    <w:rsid w:val="72085EAD"/>
    <w:rsid w:val="77C60994"/>
    <w:rsid w:val="788312D0"/>
    <w:rsid w:val="78ED1B4A"/>
    <w:rsid w:val="7CBF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Date"/>
    <w:basedOn w:val="1"/>
    <w:next w:val="1"/>
    <w:link w:val="24"/>
    <w:semiHidden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HTML Preformatted"/>
    <w:basedOn w:val="1"/>
    <w:link w:val="20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/>
      <w:kern w:val="0"/>
      <w:sz w:val="24"/>
      <w:szCs w:val="24"/>
    </w:r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Char"/>
    <w:basedOn w:val="16"/>
    <w:link w:val="11"/>
    <w:qFormat/>
    <w:uiPriority w:val="99"/>
    <w:rPr>
      <w:sz w:val="18"/>
      <w:szCs w:val="18"/>
    </w:rPr>
  </w:style>
  <w:style w:type="character" w:customStyle="1" w:styleId="19">
    <w:name w:val="页脚 Char"/>
    <w:basedOn w:val="16"/>
    <w:link w:val="10"/>
    <w:qFormat/>
    <w:uiPriority w:val="99"/>
    <w:rPr>
      <w:sz w:val="18"/>
      <w:szCs w:val="18"/>
    </w:rPr>
  </w:style>
  <w:style w:type="character" w:customStyle="1" w:styleId="20">
    <w:name w:val="HTML 预设格式 Char"/>
    <w:basedOn w:val="16"/>
    <w:link w:val="14"/>
    <w:qFormat/>
    <w:uiPriority w:val="99"/>
    <w:rPr>
      <w:rFonts w:ascii="宋体" w:hAnsi="宋体" w:eastAsia="宋体" w:cs="Times New Roman"/>
      <w:kern w:val="0"/>
      <w:sz w:val="24"/>
      <w:szCs w:val="24"/>
    </w:rPr>
  </w:style>
  <w:style w:type="character" w:customStyle="1" w:styleId="21">
    <w:name w:val="批注框文本 Char"/>
    <w:basedOn w:val="16"/>
    <w:link w:val="9"/>
    <w:semiHidden/>
    <w:qFormat/>
    <w:uiPriority w:val="99"/>
    <w:rPr>
      <w:rFonts w:ascii="Calibri" w:hAnsi="Calibri" w:eastAsia="仿宋" w:cs="Times New Roman"/>
      <w:sz w:val="18"/>
      <w:szCs w:val="18"/>
    </w:rPr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3">
    <w:name w:val="无间隔 Char"/>
    <w:basedOn w:val="16"/>
    <w:link w:val="22"/>
    <w:qFormat/>
    <w:uiPriority w:val="1"/>
    <w:rPr>
      <w:kern w:val="0"/>
      <w:sz w:val="22"/>
    </w:rPr>
  </w:style>
  <w:style w:type="character" w:customStyle="1" w:styleId="24">
    <w:name w:val="日期 Char"/>
    <w:basedOn w:val="16"/>
    <w:link w:val="8"/>
    <w:semiHidden/>
    <w:qFormat/>
    <w:uiPriority w:val="99"/>
    <w:rPr>
      <w:rFonts w:ascii="Calibri" w:hAnsi="Calibri" w:eastAsia="仿宋" w:cs="Times New Roman"/>
      <w:sz w:val="28"/>
    </w:rPr>
  </w:style>
  <w:style w:type="character" w:customStyle="1" w:styleId="25">
    <w:name w:val="标题 1 Char"/>
    <w:basedOn w:val="16"/>
    <w:link w:val="2"/>
    <w:qFormat/>
    <w:uiPriority w:val="9"/>
    <w:rPr>
      <w:rFonts w:ascii="Calibri" w:hAnsi="Calibri" w:eastAsia="仿宋" w:cs="Times New Roman"/>
      <w:b/>
      <w:bCs/>
      <w:kern w:val="44"/>
      <w:sz w:val="44"/>
      <w:szCs w:val="44"/>
    </w:rPr>
  </w:style>
  <w:style w:type="character" w:customStyle="1" w:styleId="26">
    <w:name w:val="标题 2 Char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16"/>
    <w:link w:val="4"/>
    <w:qFormat/>
    <w:uiPriority w:val="9"/>
    <w:rPr>
      <w:rFonts w:ascii="Calibri" w:hAnsi="Calibri" w:eastAsia="仿宋" w:cs="Times New Roman"/>
      <w:b/>
      <w:bCs/>
      <w:sz w:val="32"/>
      <w:szCs w:val="32"/>
    </w:rPr>
  </w:style>
  <w:style w:type="paragraph" w:customStyle="1" w:styleId="28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9">
    <w:name w:val="标题 4 Char"/>
    <w:link w:val="5"/>
    <w:qFormat/>
    <w:uiPriority w:val="9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0F892E-4916-482A-912E-489EC36F2F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431</Words>
  <Characters>2460</Characters>
  <Lines>20</Lines>
  <Paragraphs>5</Paragraphs>
  <TotalTime>10</TotalTime>
  <ScaleCrop>false</ScaleCrop>
  <LinksUpToDate>false</LinksUpToDate>
  <CharactersWithSpaces>2886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2018-10-28T15:00:00Z</dcterms:created>
  <dc:creator>yk z</dc:creator>
  <cp:lastModifiedBy>稚 气丶</cp:lastModifiedBy>
  <dcterms:modified xsi:type="dcterms:W3CDTF">2021-01-13T09:44:48Z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