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lang w:eastAsia="zh-CN"/>
        </w:rPr>
        <w:t>塔城地区审计局</w:t>
      </w:r>
      <w:r>
        <w:rPr>
          <w:rFonts w:hint="eastAsia" w:ascii="方正小标宋_GBK" w:hAnsi="方正小标宋_GBK" w:eastAsia="方正小标宋_GBK" w:cs="方正小标宋_GBK"/>
          <w:sz w:val="44"/>
          <w:szCs w:val="44"/>
          <w:lang w:val="en-US" w:eastAsia="zh-CN"/>
        </w:rPr>
        <w:t>202</w:t>
      </w:r>
      <w:r>
        <w:rPr>
          <w:rFonts w:hint="eastAsia"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lang w:val="en-US" w:eastAsia="zh-CN"/>
        </w:rPr>
        <w:t>年</w:t>
      </w:r>
      <w:r>
        <w:rPr>
          <w:rFonts w:hint="eastAsia" w:ascii="方正小标宋_GBK" w:hAnsi="方正小标宋_GBK" w:eastAsia="方正小标宋_GBK" w:cs="方正小标宋_GBK"/>
          <w:sz w:val="44"/>
          <w:szCs w:val="44"/>
        </w:rPr>
        <w:t>政府信息公开工作年度报告</w:t>
      </w:r>
      <w:bookmarkEnd w:id="0"/>
    </w:p>
    <w:p>
      <w:pPr>
        <w:spacing w:line="56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lang w:val="en-US" w:eastAsia="zh-CN"/>
        </w:rPr>
      </w:pPr>
      <w:r>
        <w:rPr>
          <w:rFonts w:hint="eastAsia" w:ascii="Times New Roman" w:hAnsi="Times New Roman" w:eastAsia="仿宋_GB2312"/>
          <w:spacing w:val="-11"/>
          <w:sz w:val="32"/>
          <w:szCs w:val="32"/>
        </w:rPr>
        <w:t>202</w:t>
      </w:r>
      <w:r>
        <w:rPr>
          <w:rFonts w:hint="eastAsia" w:ascii="Times New Roman" w:hAnsi="Times New Roman" w:eastAsia="仿宋_GB2312"/>
          <w:spacing w:val="-11"/>
          <w:sz w:val="32"/>
          <w:szCs w:val="32"/>
          <w:lang w:val="en-US" w:eastAsia="zh-CN"/>
        </w:rPr>
        <w:t>1</w:t>
      </w:r>
      <w:r>
        <w:rPr>
          <w:rFonts w:hint="eastAsia" w:ascii="仿宋_GB2312" w:eastAsia="仿宋_GB2312"/>
          <w:spacing w:val="-11"/>
          <w:sz w:val="32"/>
          <w:szCs w:val="32"/>
        </w:rPr>
        <w:t>年，</w:t>
      </w:r>
      <w:r>
        <w:rPr>
          <w:rFonts w:hint="eastAsia" w:ascii="仿宋_GB2312" w:eastAsia="仿宋_GB2312"/>
          <w:spacing w:val="-11"/>
          <w:sz w:val="32"/>
          <w:szCs w:val="32"/>
          <w:lang w:eastAsia="zh-CN"/>
        </w:rPr>
        <w:t>塔城地区审计局以习近平新时代中国特色社会主义思想为指导，全面贯彻党的十九大和十九届二中、三中、四中、五中、六中全会精神，深入贯彻落实第三次中央新疆工作座谈会精神，</w:t>
      </w:r>
      <w:r>
        <w:rPr>
          <w:rFonts w:hint="eastAsia" w:ascii="仿宋_GB2312" w:eastAsia="仿宋_GB2312"/>
          <w:spacing w:val="-11"/>
          <w:sz w:val="32"/>
          <w:szCs w:val="32"/>
        </w:rPr>
        <w:t>在</w:t>
      </w:r>
      <w:r>
        <w:rPr>
          <w:rFonts w:hint="eastAsia" w:ascii="仿宋_GB2312" w:eastAsia="仿宋_GB2312"/>
          <w:spacing w:val="-11"/>
          <w:sz w:val="32"/>
          <w:szCs w:val="32"/>
          <w:lang w:eastAsia="zh-CN"/>
        </w:rPr>
        <w:t>塔城地</w:t>
      </w:r>
      <w:r>
        <w:rPr>
          <w:rFonts w:hint="eastAsia" w:ascii="仿宋_GB2312" w:eastAsia="仿宋_GB2312"/>
          <w:spacing w:val="-11"/>
          <w:sz w:val="32"/>
          <w:szCs w:val="32"/>
        </w:rPr>
        <w:t>委、</w:t>
      </w:r>
      <w:r>
        <w:rPr>
          <w:rFonts w:hint="eastAsia" w:ascii="仿宋_GB2312" w:eastAsia="仿宋_GB2312"/>
          <w:spacing w:val="-11"/>
          <w:sz w:val="32"/>
          <w:szCs w:val="32"/>
          <w:lang w:eastAsia="zh-CN"/>
        </w:rPr>
        <w:t>行署</w:t>
      </w:r>
      <w:r>
        <w:rPr>
          <w:rFonts w:hint="eastAsia" w:ascii="仿宋_GB2312" w:eastAsia="仿宋_GB2312"/>
          <w:spacing w:val="-11"/>
          <w:sz w:val="32"/>
          <w:szCs w:val="32"/>
        </w:rPr>
        <w:t>和</w:t>
      </w:r>
      <w:r>
        <w:rPr>
          <w:rFonts w:hint="eastAsia" w:ascii="仿宋_GB2312" w:eastAsia="仿宋_GB2312"/>
          <w:spacing w:val="-11"/>
          <w:sz w:val="32"/>
          <w:szCs w:val="32"/>
          <w:lang w:eastAsia="zh-CN"/>
        </w:rPr>
        <w:t>地委</w:t>
      </w:r>
      <w:r>
        <w:rPr>
          <w:rFonts w:hint="eastAsia" w:ascii="仿宋_GB2312" w:eastAsia="仿宋_GB2312"/>
          <w:spacing w:val="-11"/>
          <w:sz w:val="32"/>
          <w:szCs w:val="32"/>
        </w:rPr>
        <w:t>审计委员会的领导下，严格遵守《中华人民共和国政府信息公开条例》</w:t>
      </w:r>
      <w:r>
        <w:rPr>
          <w:rFonts w:hint="eastAsia" w:ascii="仿宋_GB2312" w:eastAsia="仿宋_GB2312"/>
          <w:spacing w:val="-11"/>
          <w:sz w:val="32"/>
          <w:szCs w:val="32"/>
          <w:lang w:eastAsia="zh-CN"/>
        </w:rPr>
        <w:t>（以下简称《条例》）和塔城地区</w:t>
      </w:r>
      <w:r>
        <w:rPr>
          <w:rFonts w:hint="eastAsia" w:ascii="Times New Roman" w:hAnsi="Times New Roman" w:eastAsia="仿宋_GB2312"/>
          <w:spacing w:val="-11"/>
          <w:sz w:val="32"/>
          <w:szCs w:val="32"/>
          <w:lang w:val="en-US" w:eastAsia="zh-CN"/>
        </w:rPr>
        <w:t>2021</w:t>
      </w:r>
      <w:r>
        <w:rPr>
          <w:rFonts w:hint="eastAsia" w:ascii="仿宋_GB2312" w:eastAsia="仿宋_GB2312"/>
          <w:spacing w:val="-11"/>
          <w:sz w:val="32"/>
          <w:szCs w:val="32"/>
          <w:lang w:val="en-US" w:eastAsia="zh-CN"/>
        </w:rPr>
        <w:t>年政务公开工作的相关要求，服务塔城地委、行署中心工作，围绕重点领域不断加大主动公开力度，提升政务公开质量和实效。</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lang w:val="en-US" w:eastAsia="zh-CN"/>
        </w:rPr>
      </w:pPr>
      <w:r>
        <w:rPr>
          <w:rFonts w:hint="eastAsia" w:ascii="楷体_GB2312" w:hAnsi="楷体_GB2312" w:eastAsia="楷体_GB2312" w:cs="楷体_GB2312"/>
          <w:spacing w:val="-11"/>
          <w:sz w:val="32"/>
          <w:szCs w:val="32"/>
          <w:lang w:eastAsia="zh-CN"/>
        </w:rPr>
        <w:t>（一）主动公开方面：</w:t>
      </w:r>
      <w:r>
        <w:rPr>
          <w:rFonts w:hint="eastAsia" w:ascii="仿宋_GB2312" w:eastAsia="仿宋_GB2312"/>
          <w:spacing w:val="-11"/>
          <w:sz w:val="32"/>
          <w:szCs w:val="32"/>
          <w:lang w:eastAsia="zh-CN"/>
        </w:rPr>
        <w:t>按照“以公开为常态、不公开为例外”的工作原则，对照法定公开内容，对机构改革后塔城地区审计局职能、内设机构、办公地点、工作时间、联系方式等经批准后及时公布。截至</w:t>
      </w:r>
      <w:r>
        <w:rPr>
          <w:rFonts w:hint="eastAsia" w:ascii="Times New Roman" w:hAnsi="Times New Roman" w:eastAsia="仿宋_GB2312"/>
          <w:spacing w:val="-11"/>
          <w:sz w:val="32"/>
          <w:szCs w:val="32"/>
          <w:lang w:val="en-US" w:eastAsia="zh-CN"/>
        </w:rPr>
        <w:t>2021</w:t>
      </w:r>
      <w:r>
        <w:rPr>
          <w:rFonts w:hint="eastAsia" w:ascii="仿宋_GB2312" w:eastAsia="仿宋_GB2312"/>
          <w:spacing w:val="-11"/>
          <w:sz w:val="32"/>
          <w:szCs w:val="32"/>
          <w:lang w:val="en-US" w:eastAsia="zh-CN"/>
        </w:rPr>
        <w:t>年</w:t>
      </w:r>
      <w:r>
        <w:rPr>
          <w:rFonts w:hint="eastAsia" w:ascii="Times New Roman" w:hAnsi="Times New Roman" w:eastAsia="仿宋_GB2312"/>
          <w:spacing w:val="-11"/>
          <w:sz w:val="32"/>
          <w:szCs w:val="32"/>
          <w:lang w:val="en-US" w:eastAsia="zh-CN"/>
        </w:rPr>
        <w:t>12</w:t>
      </w:r>
      <w:r>
        <w:rPr>
          <w:rFonts w:hint="eastAsia" w:ascii="仿宋_GB2312" w:eastAsia="仿宋_GB2312"/>
          <w:spacing w:val="-11"/>
          <w:sz w:val="32"/>
          <w:szCs w:val="32"/>
          <w:lang w:val="en-US" w:eastAsia="zh-CN"/>
        </w:rPr>
        <w:t>月</w:t>
      </w:r>
      <w:r>
        <w:rPr>
          <w:rFonts w:hint="eastAsia" w:ascii="Times New Roman" w:hAnsi="Times New Roman" w:eastAsia="仿宋_GB2312"/>
          <w:spacing w:val="-11"/>
          <w:sz w:val="32"/>
          <w:szCs w:val="32"/>
          <w:lang w:val="en-US" w:eastAsia="zh-CN"/>
        </w:rPr>
        <w:t>31</w:t>
      </w:r>
      <w:r>
        <w:rPr>
          <w:rFonts w:hint="eastAsia" w:ascii="仿宋_GB2312" w:eastAsia="仿宋_GB2312"/>
          <w:spacing w:val="-11"/>
          <w:sz w:val="32"/>
          <w:szCs w:val="32"/>
          <w:lang w:val="en-US" w:eastAsia="zh-CN"/>
        </w:rPr>
        <w:t>日，主动公开审计动态信息</w:t>
      </w:r>
      <w:r>
        <w:rPr>
          <w:rFonts w:hint="eastAsia" w:ascii="Times New Roman" w:hAnsi="Times New Roman" w:eastAsia="仿宋_GB2312"/>
          <w:spacing w:val="-11"/>
          <w:sz w:val="32"/>
          <w:szCs w:val="32"/>
          <w:lang w:val="en-US" w:eastAsia="zh-CN"/>
        </w:rPr>
        <w:t>14</w:t>
      </w:r>
      <w:r>
        <w:rPr>
          <w:rFonts w:hint="eastAsia" w:ascii="仿宋_GB2312" w:eastAsia="仿宋_GB2312"/>
          <w:spacing w:val="-11"/>
          <w:sz w:val="32"/>
          <w:szCs w:val="32"/>
          <w:lang w:val="en-US" w:eastAsia="zh-CN"/>
        </w:rPr>
        <w:t>条，其中，新疆维吾尔自治区审计厅网站公开</w:t>
      </w:r>
      <w:r>
        <w:rPr>
          <w:rFonts w:hint="eastAsia" w:ascii="Times New Roman" w:hAnsi="Times New Roman" w:eastAsia="仿宋_GB2312"/>
          <w:spacing w:val="-11"/>
          <w:sz w:val="32"/>
          <w:szCs w:val="32"/>
          <w:lang w:val="en-US" w:eastAsia="zh-CN"/>
        </w:rPr>
        <w:t>6</w:t>
      </w:r>
      <w:r>
        <w:rPr>
          <w:rFonts w:hint="eastAsia" w:ascii="仿宋_GB2312" w:eastAsia="仿宋_GB2312"/>
          <w:spacing w:val="-11"/>
          <w:sz w:val="32"/>
          <w:szCs w:val="32"/>
          <w:lang w:val="en-US" w:eastAsia="zh-CN"/>
        </w:rPr>
        <w:t>条，塔城地区政府网站公开部门“三公”经费及预算决算</w:t>
      </w:r>
      <w:r>
        <w:rPr>
          <w:rFonts w:hint="eastAsia" w:ascii="Times New Roman" w:hAnsi="Times New Roman" w:eastAsia="仿宋_GB2312"/>
          <w:spacing w:val="-11"/>
          <w:sz w:val="32"/>
          <w:szCs w:val="32"/>
          <w:lang w:val="en-US" w:eastAsia="zh-CN"/>
        </w:rPr>
        <w:t>2</w:t>
      </w:r>
      <w:r>
        <w:rPr>
          <w:rFonts w:hint="eastAsia" w:ascii="仿宋_GB2312" w:eastAsia="仿宋_GB2312"/>
          <w:spacing w:val="-11"/>
          <w:sz w:val="32"/>
          <w:szCs w:val="32"/>
          <w:lang w:val="en-US" w:eastAsia="zh-CN"/>
        </w:rPr>
        <w:t>条、机构职能及审计相关信息</w:t>
      </w:r>
      <w:r>
        <w:rPr>
          <w:rFonts w:hint="eastAsia" w:ascii="Times New Roman" w:hAnsi="Times New Roman" w:eastAsia="仿宋_GB2312"/>
          <w:spacing w:val="-11"/>
          <w:sz w:val="32"/>
          <w:szCs w:val="32"/>
          <w:lang w:val="en-US" w:eastAsia="zh-CN"/>
        </w:rPr>
        <w:t>6</w:t>
      </w:r>
      <w:r>
        <w:rPr>
          <w:rFonts w:hint="eastAsia" w:ascii="仿宋_GB2312" w:eastAsia="仿宋_GB2312"/>
          <w:spacing w:val="-11"/>
          <w:sz w:val="32"/>
          <w:szCs w:val="32"/>
          <w:lang w:val="en-US" w:eastAsia="zh-CN"/>
        </w:rPr>
        <w:t>条。</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楷体_GB2312" w:hAnsi="楷体_GB2312" w:eastAsia="楷体_GB2312" w:cs="楷体_GB2312"/>
          <w:spacing w:val="-11"/>
          <w:sz w:val="32"/>
          <w:szCs w:val="32"/>
          <w:lang w:val="en-US" w:eastAsia="zh-CN"/>
        </w:rPr>
        <w:t>（二）依申请公开方面：</w:t>
      </w:r>
      <w:r>
        <w:rPr>
          <w:rFonts w:hint="eastAsia" w:ascii="仿宋_GB2312" w:eastAsia="仿宋_GB2312"/>
          <w:spacing w:val="-11"/>
          <w:sz w:val="32"/>
          <w:szCs w:val="32"/>
          <w:lang w:val="en-US" w:eastAsia="zh-CN"/>
        </w:rPr>
        <w:t>严格执行《条列》关于依申请公开的各项规定，全面规范登记、审核、办理、答复、归档等各个工作环节。严格控制依申请公开主办科室答复时间，确保在规定时间内答复申请人。明确告知申请人权利救济渠道、行政复议机关和行政诉讼法院具体名称及时限。</w:t>
      </w:r>
      <w:r>
        <w:rPr>
          <w:rFonts w:hint="eastAsia" w:ascii="Times New Roman" w:hAnsi="Times New Roman" w:eastAsia="仿宋_GB2312"/>
          <w:spacing w:val="-11"/>
          <w:sz w:val="32"/>
          <w:szCs w:val="32"/>
          <w:lang w:val="en-US" w:eastAsia="zh-CN"/>
        </w:rPr>
        <w:t>2021</w:t>
      </w:r>
      <w:r>
        <w:rPr>
          <w:rFonts w:hint="eastAsia" w:ascii="仿宋_GB2312" w:eastAsia="仿宋_GB2312"/>
          <w:spacing w:val="-11"/>
          <w:sz w:val="32"/>
          <w:szCs w:val="32"/>
          <w:lang w:val="en-US" w:eastAsia="zh-CN"/>
        </w:rPr>
        <w:t>年</w:t>
      </w:r>
      <w:r>
        <w:rPr>
          <w:rFonts w:hint="eastAsia" w:ascii="Times New Roman" w:hAnsi="Times New Roman" w:eastAsia="仿宋_GB2312"/>
          <w:spacing w:val="-11"/>
          <w:sz w:val="32"/>
          <w:szCs w:val="32"/>
          <w:lang w:val="en-US" w:eastAsia="zh-CN"/>
        </w:rPr>
        <w:t>1</w:t>
      </w:r>
      <w:r>
        <w:rPr>
          <w:rFonts w:hint="eastAsia" w:ascii="仿宋_GB2312" w:eastAsia="仿宋_GB2312"/>
          <w:spacing w:val="-11"/>
          <w:sz w:val="32"/>
          <w:szCs w:val="32"/>
          <w:lang w:val="en-US" w:eastAsia="zh-CN"/>
        </w:rPr>
        <w:t>月</w:t>
      </w:r>
      <w:r>
        <w:rPr>
          <w:rFonts w:hint="eastAsia" w:ascii="Times New Roman" w:hAnsi="Times New Roman" w:eastAsia="仿宋_GB2312"/>
          <w:spacing w:val="-11"/>
          <w:sz w:val="32"/>
          <w:szCs w:val="32"/>
          <w:lang w:val="en-US" w:eastAsia="zh-CN"/>
        </w:rPr>
        <w:t>1</w:t>
      </w:r>
      <w:r>
        <w:rPr>
          <w:rFonts w:hint="eastAsia" w:ascii="仿宋_GB2312" w:eastAsia="仿宋_GB2312"/>
          <w:spacing w:val="-11"/>
          <w:sz w:val="32"/>
          <w:szCs w:val="32"/>
          <w:lang w:val="en-US" w:eastAsia="zh-CN"/>
        </w:rPr>
        <w:t>日至</w:t>
      </w:r>
      <w:r>
        <w:rPr>
          <w:rFonts w:hint="eastAsia" w:ascii="Times New Roman" w:hAnsi="Times New Roman" w:eastAsia="仿宋_GB2312"/>
          <w:spacing w:val="-11"/>
          <w:sz w:val="32"/>
          <w:szCs w:val="32"/>
          <w:lang w:val="en-US" w:eastAsia="zh-CN"/>
        </w:rPr>
        <w:t>2021</w:t>
      </w:r>
      <w:r>
        <w:rPr>
          <w:rFonts w:hint="eastAsia" w:ascii="仿宋_GB2312" w:eastAsia="仿宋_GB2312"/>
          <w:spacing w:val="-11"/>
          <w:sz w:val="32"/>
          <w:szCs w:val="32"/>
          <w:lang w:val="en-US" w:eastAsia="zh-CN"/>
        </w:rPr>
        <w:t>年</w:t>
      </w:r>
      <w:r>
        <w:rPr>
          <w:rFonts w:hint="eastAsia" w:ascii="Times New Roman" w:hAnsi="Times New Roman" w:eastAsia="仿宋_GB2312"/>
          <w:spacing w:val="-11"/>
          <w:sz w:val="32"/>
          <w:szCs w:val="32"/>
          <w:lang w:val="en-US" w:eastAsia="zh-CN"/>
        </w:rPr>
        <w:t>12</w:t>
      </w:r>
      <w:r>
        <w:rPr>
          <w:rFonts w:hint="eastAsia" w:ascii="仿宋_GB2312" w:eastAsia="仿宋_GB2312"/>
          <w:spacing w:val="-11"/>
          <w:sz w:val="32"/>
          <w:szCs w:val="32"/>
          <w:lang w:val="en-US" w:eastAsia="zh-CN"/>
        </w:rPr>
        <w:t>月</w:t>
      </w:r>
      <w:r>
        <w:rPr>
          <w:rFonts w:hint="eastAsia" w:ascii="Times New Roman" w:hAnsi="Times New Roman" w:eastAsia="仿宋_GB2312"/>
          <w:spacing w:val="-11"/>
          <w:sz w:val="32"/>
          <w:szCs w:val="32"/>
          <w:lang w:val="en-US" w:eastAsia="zh-CN"/>
        </w:rPr>
        <w:t>31</w:t>
      </w:r>
      <w:r>
        <w:rPr>
          <w:rFonts w:hint="eastAsia" w:ascii="仿宋_GB2312" w:eastAsia="仿宋_GB2312"/>
          <w:spacing w:val="-11"/>
          <w:sz w:val="32"/>
          <w:szCs w:val="32"/>
          <w:lang w:val="en-US" w:eastAsia="zh-CN"/>
        </w:rPr>
        <w:t>日期间，</w:t>
      </w:r>
      <w:r>
        <w:rPr>
          <w:rFonts w:hint="eastAsia" w:ascii="仿宋_GB2312" w:eastAsia="仿宋_GB2312"/>
          <w:b w:val="0"/>
          <w:bCs w:val="0"/>
          <w:color w:val="auto"/>
          <w:spacing w:val="-11"/>
          <w:sz w:val="32"/>
          <w:szCs w:val="32"/>
        </w:rPr>
        <w:t>未收到依申请</w:t>
      </w:r>
      <w:r>
        <w:rPr>
          <w:rFonts w:hint="eastAsia" w:ascii="仿宋_GB2312" w:eastAsia="仿宋_GB2312"/>
          <w:b w:val="0"/>
          <w:bCs w:val="0"/>
          <w:color w:val="auto"/>
          <w:spacing w:val="-11"/>
          <w:sz w:val="32"/>
          <w:szCs w:val="32"/>
          <w:lang w:eastAsia="zh-CN"/>
        </w:rPr>
        <w:t>公开</w:t>
      </w:r>
      <w:r>
        <w:rPr>
          <w:rFonts w:hint="eastAsia" w:ascii="仿宋_GB2312" w:eastAsia="仿宋_GB2312"/>
          <w:b w:val="0"/>
          <w:bCs w:val="0"/>
          <w:color w:val="auto"/>
          <w:spacing w:val="-11"/>
          <w:sz w:val="32"/>
          <w:szCs w:val="32"/>
        </w:rPr>
        <w:t>信息</w:t>
      </w:r>
      <w:r>
        <w:rPr>
          <w:rFonts w:hint="eastAsia" w:ascii="仿宋_GB2312" w:eastAsia="仿宋_GB2312"/>
          <w:b w:val="0"/>
          <w:bCs w:val="0"/>
          <w:color w:val="auto"/>
          <w:spacing w:val="-11"/>
          <w:sz w:val="32"/>
          <w:szCs w:val="32"/>
          <w:lang w:eastAsia="zh-CN"/>
        </w:rPr>
        <w:t>，也</w:t>
      </w:r>
      <w:r>
        <w:rPr>
          <w:rFonts w:hint="eastAsia" w:ascii="仿宋_GB2312" w:eastAsia="仿宋_GB2312"/>
          <w:b w:val="0"/>
          <w:bCs w:val="0"/>
          <w:color w:val="auto"/>
          <w:spacing w:val="-11"/>
          <w:sz w:val="32"/>
          <w:szCs w:val="32"/>
        </w:rPr>
        <w:t>未因政</w:t>
      </w:r>
      <w:r>
        <w:rPr>
          <w:rFonts w:hint="eastAsia" w:ascii="仿宋_GB2312" w:eastAsia="仿宋_GB2312"/>
          <w:b w:val="0"/>
          <w:bCs w:val="0"/>
          <w:color w:val="auto"/>
          <w:spacing w:val="-11"/>
          <w:sz w:val="32"/>
          <w:szCs w:val="32"/>
          <w:lang w:eastAsia="zh-CN"/>
        </w:rPr>
        <w:t>务</w:t>
      </w:r>
      <w:r>
        <w:rPr>
          <w:rFonts w:hint="eastAsia" w:ascii="仿宋_GB2312" w:eastAsia="仿宋_GB2312"/>
          <w:b w:val="0"/>
          <w:bCs w:val="0"/>
          <w:color w:val="auto"/>
          <w:spacing w:val="-11"/>
          <w:sz w:val="32"/>
          <w:szCs w:val="32"/>
        </w:rPr>
        <w:t>信息公开发生行政复议、行政诉讼。</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eastAsia="仿宋_GB2312"/>
          <w:spacing w:val="-11"/>
          <w:sz w:val="32"/>
          <w:szCs w:val="32"/>
          <w:lang w:eastAsia="zh-CN"/>
        </w:rPr>
      </w:pPr>
      <w:r>
        <w:rPr>
          <w:rFonts w:hint="eastAsia" w:ascii="楷体_GB2312" w:hAnsi="楷体_GB2312" w:eastAsia="楷体_GB2312" w:cs="楷体_GB2312"/>
          <w:spacing w:val="-11"/>
          <w:sz w:val="32"/>
          <w:szCs w:val="32"/>
          <w:lang w:eastAsia="zh-CN"/>
        </w:rPr>
        <w:t>（三）政府信息管理方面：</w:t>
      </w:r>
      <w:r>
        <w:rPr>
          <w:rFonts w:hint="eastAsia" w:ascii="仿宋_GB2312" w:eastAsia="仿宋_GB2312"/>
          <w:spacing w:val="-11"/>
          <w:sz w:val="32"/>
          <w:szCs w:val="32"/>
          <w:lang w:eastAsia="zh-CN"/>
        </w:rPr>
        <w:t>及时调整了由局长任组长、党组成员任副组长、各科室负责人为成员的领导小组及办公室。把</w:t>
      </w:r>
      <w:r>
        <w:rPr>
          <w:rFonts w:hint="eastAsia" w:ascii="仿宋_GB2312" w:eastAsia="仿宋_GB2312"/>
          <w:spacing w:val="-11"/>
          <w:sz w:val="32"/>
          <w:szCs w:val="32"/>
        </w:rPr>
        <w:t>政务公开工作列入重要议事日程，与审计业务工作同研究、同部署、同检查、同落实，做到计划科学，措施具体，责任明确。</w:t>
      </w:r>
      <w:r>
        <w:rPr>
          <w:rFonts w:hint="eastAsia" w:ascii="仿宋_GB2312" w:eastAsia="仿宋_GB2312"/>
          <w:spacing w:val="-11"/>
          <w:sz w:val="32"/>
          <w:szCs w:val="32"/>
          <w:lang w:eastAsia="zh-CN"/>
        </w:rPr>
        <w:t>加大主动公开力度、优化政务信息公开属性源头认定工作，坚持公文拟制时即明确公开属性，实现公开属性和公文同步拟定、同步审批。促进政务信息公开常态化、规范化、制度化、不断提高政务信息公开的管理规范水平。</w:t>
      </w:r>
    </w:p>
    <w:p>
      <w:pPr>
        <w:pStyle w:val="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rPr>
          <w:rFonts w:hint="eastAsia" w:ascii="仿宋_GB2312" w:eastAsia="仿宋_GB2312"/>
          <w:spacing w:val="-11"/>
          <w:sz w:val="32"/>
          <w:szCs w:val="32"/>
          <w:lang w:eastAsia="zh-CN"/>
        </w:rPr>
      </w:pPr>
      <w:r>
        <w:rPr>
          <w:rFonts w:hint="eastAsia" w:ascii="楷体_GB2312" w:hAnsi="楷体_GB2312" w:eastAsia="楷体_GB2312" w:cs="楷体_GB2312"/>
          <w:spacing w:val="-11"/>
          <w:kern w:val="2"/>
          <w:sz w:val="32"/>
          <w:szCs w:val="32"/>
          <w:lang w:val="en-US" w:eastAsia="zh-CN" w:bidi="ar-SA"/>
        </w:rPr>
        <w:t>（四）平台建设方面：</w:t>
      </w:r>
      <w:r>
        <w:rPr>
          <w:rFonts w:hint="eastAsia" w:ascii="仿宋_GB2312" w:eastAsia="仿宋_GB2312"/>
          <w:spacing w:val="-11"/>
          <w:sz w:val="32"/>
          <w:szCs w:val="32"/>
          <w:lang w:eastAsia="zh-CN"/>
        </w:rPr>
        <w:t>塔城地区审计局无自建网站，主要的政务信息公开在塔城地区政府网站政府信息公开专栏和新疆维吾尔自治区审计厅官网进行政务信息公布。</w:t>
      </w:r>
    </w:p>
    <w:p>
      <w:pPr>
        <w:pStyle w:val="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rPr>
          <w:rFonts w:hint="eastAsia" w:ascii="仿宋_GB2312" w:eastAsia="仿宋_GB2312"/>
          <w:spacing w:val="-11"/>
          <w:sz w:val="32"/>
          <w:szCs w:val="32"/>
          <w:lang w:eastAsia="zh-CN"/>
        </w:rPr>
      </w:pPr>
      <w:r>
        <w:rPr>
          <w:rFonts w:hint="eastAsia" w:ascii="楷体_GB2312" w:hAnsi="楷体_GB2312" w:eastAsia="楷体_GB2312" w:cs="楷体_GB2312"/>
          <w:spacing w:val="-11"/>
          <w:kern w:val="2"/>
          <w:sz w:val="32"/>
          <w:szCs w:val="32"/>
          <w:lang w:val="en-US" w:eastAsia="zh-CN" w:bidi="ar-SA"/>
        </w:rPr>
        <w:t>（五）监督和保障方面：</w:t>
      </w:r>
      <w:r>
        <w:rPr>
          <w:rFonts w:hint="eastAsia" w:ascii="仿宋_GB2312" w:eastAsia="仿宋_GB2312"/>
          <w:spacing w:val="-11"/>
          <w:sz w:val="32"/>
          <w:szCs w:val="32"/>
          <w:lang w:eastAsia="zh-CN"/>
        </w:rPr>
        <w:t>健全公开工作领导机制，严格落实主要领导亲抓、分管领导具体负责的工作机制，通过党组会议、专题会议等形式部署、推进政务信息公开工作。发布《塔城地区审计局政府信息公开指南》，规范政务信息工作流程。政务信息公开领导小组办公室人员对政务信息公开情况定期进行自查，确保应公布的政务信息及时公开，对未按照《中华人民共和国政府信息公开条例》要求开展政务信息公开的科室，政务信息公开领导小组办公室予以督促整改。将政务信息公开评价纳入年底绩效考核，强化对全局政务信息公开工作的监督和检查。</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二、主动公开政府信息情况</w:t>
      </w:r>
    </w:p>
    <w:tbl>
      <w:tblPr>
        <w:tblStyle w:val="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信息内容</w:t>
            </w:r>
          </w:p>
        </w:tc>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lang w:val="en-US" w:eastAsia="zh-CN"/>
              </w:rPr>
            </w:pPr>
            <w:r>
              <w:rPr>
                <w:rFonts w:hint="eastAsia" w:ascii="仿宋_GB2312" w:hAnsi="仿宋_GB2312" w:eastAsia="仿宋_GB2312" w:cs="仿宋_GB2312"/>
                <w:b w:val="0"/>
                <w:bCs w:val="0"/>
                <w:spacing w:val="-11"/>
                <w:sz w:val="30"/>
                <w:szCs w:val="30"/>
              </w:rPr>
              <w:t>本年</w:t>
            </w:r>
            <w:r>
              <w:rPr>
                <w:rFonts w:hint="eastAsia" w:ascii="仿宋_GB2312" w:hAnsi="仿宋_GB2312" w:eastAsia="仿宋_GB2312" w:cs="仿宋_GB2312"/>
                <w:b w:val="0"/>
                <w:bCs w:val="0"/>
                <w:spacing w:val="-11"/>
                <w:sz w:val="30"/>
                <w:szCs w:val="30"/>
                <w:lang w:val="en-US" w:eastAsia="zh-CN"/>
              </w:rPr>
              <w:t>制作发件数</w:t>
            </w:r>
          </w:p>
        </w:tc>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lang w:eastAsia="zh-CN"/>
              </w:rPr>
            </w:pPr>
            <w:r>
              <w:rPr>
                <w:rFonts w:hint="eastAsia" w:ascii="仿宋_GB2312" w:hAnsi="仿宋_GB2312" w:eastAsia="仿宋_GB2312" w:cs="仿宋_GB2312"/>
                <w:b w:val="0"/>
                <w:bCs w:val="0"/>
                <w:spacing w:val="-11"/>
                <w:sz w:val="30"/>
                <w:szCs w:val="30"/>
              </w:rPr>
              <w:t>本年</w:t>
            </w:r>
            <w:r>
              <w:rPr>
                <w:rFonts w:hint="eastAsia" w:ascii="仿宋_GB2312" w:hAnsi="仿宋_GB2312" w:eastAsia="仿宋_GB2312" w:cs="仿宋_GB2312"/>
                <w:b w:val="0"/>
                <w:bCs w:val="0"/>
                <w:spacing w:val="-11"/>
                <w:sz w:val="30"/>
                <w:szCs w:val="30"/>
                <w:lang w:eastAsia="zh-CN"/>
              </w:rPr>
              <w:t>废止件数</w:t>
            </w:r>
          </w:p>
        </w:tc>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lang w:eastAsia="zh-CN"/>
              </w:rPr>
            </w:pPr>
            <w:r>
              <w:rPr>
                <w:rFonts w:hint="eastAsia" w:ascii="仿宋_GB2312" w:hAnsi="仿宋_GB2312" w:eastAsia="仿宋_GB2312" w:cs="仿宋_GB2312"/>
                <w:b w:val="0"/>
                <w:bCs w:val="0"/>
                <w:spacing w:val="-11"/>
                <w:sz w:val="30"/>
                <w:szCs w:val="30"/>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规章</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规范性文件</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信息内容</w:t>
            </w:r>
          </w:p>
        </w:tc>
        <w:tc>
          <w:tcPr>
            <w:tcW w:w="6540" w:type="dxa"/>
            <w:gridSpan w:val="3"/>
            <w:noWrap w:val="0"/>
            <w:vAlign w:val="center"/>
          </w:tcPr>
          <w:p>
            <w:pPr>
              <w:spacing w:line="320" w:lineRule="exact"/>
              <w:jc w:val="left"/>
              <w:rPr>
                <w:rFonts w:hint="eastAsia" w:ascii="仿宋_GB2312" w:hAnsi="仿宋_GB2312" w:eastAsia="仿宋_GB2312" w:cs="仿宋_GB2312"/>
                <w:b w:val="0"/>
                <w:bCs w:val="0"/>
                <w:spacing w:val="-11"/>
                <w:sz w:val="30"/>
                <w:szCs w:val="30"/>
                <w:lang w:eastAsia="zh-CN"/>
              </w:rPr>
            </w:pPr>
            <w:r>
              <w:rPr>
                <w:rFonts w:hint="eastAsia" w:ascii="仿宋_GB2312" w:hAnsi="仿宋_GB2312" w:eastAsia="仿宋_GB2312" w:cs="仿宋_GB2312"/>
                <w:b w:val="0"/>
                <w:bCs w:val="0"/>
                <w:spacing w:val="-11"/>
                <w:sz w:val="30"/>
                <w:szCs w:val="30"/>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行政许可</w:t>
            </w:r>
          </w:p>
        </w:tc>
        <w:tc>
          <w:tcPr>
            <w:tcW w:w="6540" w:type="dxa"/>
            <w:gridSpan w:val="3"/>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信息内容</w:t>
            </w:r>
          </w:p>
        </w:tc>
        <w:tc>
          <w:tcPr>
            <w:tcW w:w="6540" w:type="dxa"/>
            <w:gridSpan w:val="3"/>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行政处罚</w:t>
            </w:r>
          </w:p>
        </w:tc>
        <w:tc>
          <w:tcPr>
            <w:tcW w:w="6540" w:type="dxa"/>
            <w:gridSpan w:val="3"/>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行政强制</w:t>
            </w:r>
          </w:p>
        </w:tc>
        <w:tc>
          <w:tcPr>
            <w:tcW w:w="6540" w:type="dxa"/>
            <w:gridSpan w:val="3"/>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信息内容</w:t>
            </w:r>
          </w:p>
        </w:tc>
        <w:tc>
          <w:tcPr>
            <w:tcW w:w="6540" w:type="dxa"/>
            <w:gridSpan w:val="3"/>
            <w:noWrap w:val="0"/>
            <w:vAlign w:val="center"/>
          </w:tcPr>
          <w:p>
            <w:pPr>
              <w:tabs>
                <w:tab w:val="left" w:pos="2506"/>
              </w:tabs>
              <w:spacing w:line="320" w:lineRule="exact"/>
              <w:jc w:val="left"/>
              <w:rPr>
                <w:rFonts w:hint="eastAsia" w:ascii="仿宋_GB2312" w:hAnsi="仿宋_GB2312" w:eastAsia="仿宋_GB2312" w:cs="仿宋_GB2312"/>
                <w:b w:val="0"/>
                <w:bCs w:val="0"/>
                <w:spacing w:val="-11"/>
                <w:sz w:val="30"/>
                <w:szCs w:val="30"/>
                <w:lang w:eastAsia="zh-CN"/>
              </w:rPr>
            </w:pPr>
            <w:r>
              <w:rPr>
                <w:rFonts w:hint="eastAsia" w:ascii="仿宋_GB2312" w:hAnsi="仿宋_GB2312" w:eastAsia="仿宋_GB2312" w:cs="仿宋_GB2312"/>
                <w:b w:val="0"/>
                <w:bCs w:val="0"/>
                <w:spacing w:val="-11"/>
                <w:sz w:val="30"/>
                <w:szCs w:val="30"/>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w w:val="90"/>
                <w:sz w:val="30"/>
                <w:szCs w:val="30"/>
              </w:rPr>
              <w:t>行政事业性收费</w:t>
            </w:r>
          </w:p>
        </w:tc>
        <w:tc>
          <w:tcPr>
            <w:tcW w:w="6540" w:type="dxa"/>
            <w:gridSpan w:val="3"/>
            <w:noWrap w:val="0"/>
            <w:vAlign w:val="center"/>
          </w:tcPr>
          <w:p>
            <w:pPr>
              <w:spacing w:line="32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bl>
    <w:p>
      <w:pPr>
        <w:numPr>
          <w:ilvl w:val="0"/>
          <w:numId w:val="1"/>
        </w:numPr>
        <w:spacing w:line="560" w:lineRule="exact"/>
        <w:ind w:firstLine="596" w:firstLineChars="200"/>
        <w:jc w:val="left"/>
        <w:rPr>
          <w:rFonts w:hint="eastAsia" w:ascii="黑体" w:hAnsi="黑体" w:eastAsia="黑体" w:cs="黑体"/>
          <w:b w:val="0"/>
          <w:bCs w:val="0"/>
          <w:spacing w:val="-11"/>
          <w:sz w:val="32"/>
          <w:szCs w:val="32"/>
        </w:rPr>
      </w:pPr>
      <w:r>
        <w:rPr>
          <w:rFonts w:hint="eastAsia" w:ascii="黑体" w:hAnsi="黑体" w:eastAsia="黑体" w:cs="黑体"/>
          <w:b w:val="0"/>
          <w:bCs w:val="0"/>
          <w:spacing w:val="-11"/>
          <w:sz w:val="32"/>
          <w:szCs w:val="32"/>
        </w:rPr>
        <w:t>收到和处理政府信息公开申请情况</w:t>
      </w:r>
    </w:p>
    <w:tbl>
      <w:tblPr>
        <w:tblStyle w:val="4"/>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（本列数据的勾稽关系为：第一项加第二项之和，等于第三项加第四项之和）</w:t>
            </w:r>
          </w:p>
        </w:tc>
        <w:tc>
          <w:tcPr>
            <w:tcW w:w="4101" w:type="dxa"/>
            <w:gridSpan w:val="7"/>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405"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自</w:t>
            </w:r>
          </w:p>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然</w:t>
            </w:r>
          </w:p>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人</w:t>
            </w:r>
          </w:p>
        </w:tc>
        <w:tc>
          <w:tcPr>
            <w:tcW w:w="3161" w:type="dxa"/>
            <w:gridSpan w:val="5"/>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法人或其他组织</w:t>
            </w:r>
          </w:p>
        </w:tc>
        <w:tc>
          <w:tcPr>
            <w:tcW w:w="535"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总</w:t>
            </w:r>
          </w:p>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4519" w:type="dxa"/>
            <w:gridSpan w:val="3"/>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405"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570" w:type="dxa"/>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商业企业</w:t>
            </w:r>
          </w:p>
        </w:tc>
        <w:tc>
          <w:tcPr>
            <w:tcW w:w="510" w:type="dxa"/>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科研机构</w:t>
            </w:r>
          </w:p>
        </w:tc>
        <w:tc>
          <w:tcPr>
            <w:tcW w:w="840" w:type="dxa"/>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社会公益组织</w:t>
            </w:r>
          </w:p>
        </w:tc>
        <w:tc>
          <w:tcPr>
            <w:tcW w:w="825" w:type="dxa"/>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法律服务机构</w:t>
            </w:r>
          </w:p>
        </w:tc>
        <w:tc>
          <w:tcPr>
            <w:tcW w:w="416" w:type="dxa"/>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其他</w:t>
            </w:r>
          </w:p>
        </w:tc>
        <w:tc>
          <w:tcPr>
            <w:tcW w:w="535"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4519" w:type="dxa"/>
            <w:gridSpan w:val="3"/>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w w:val="90"/>
                <w:sz w:val="30"/>
                <w:szCs w:val="30"/>
              </w:rPr>
              <w:t>一、本年新收政府信息公开申请数量</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19" w:type="dxa"/>
            <w:gridSpan w:val="3"/>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w w:val="90"/>
                <w:sz w:val="30"/>
                <w:szCs w:val="30"/>
              </w:rPr>
              <w:t>二、上年结转政府信息公开申请数量</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三、本年度办理结果</w:t>
            </w:r>
          </w:p>
        </w:tc>
        <w:tc>
          <w:tcPr>
            <w:tcW w:w="3789" w:type="dxa"/>
            <w:gridSpan w:val="2"/>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（一）予以公开</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3789" w:type="dxa"/>
            <w:gridSpan w:val="2"/>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（二）部分公开（区分处理的，只计这一情形，不计其他情形）</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（三）不予公开</w:t>
            </w: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1</w:t>
            </w:r>
            <w:r>
              <w:rPr>
                <w:rFonts w:hint="eastAsia" w:ascii="仿宋_GB2312" w:hAnsi="仿宋_GB2312" w:eastAsia="仿宋_GB2312" w:cs="仿宋_GB2312"/>
                <w:b w:val="0"/>
                <w:bCs w:val="0"/>
                <w:spacing w:val="-11"/>
                <w:sz w:val="30"/>
                <w:szCs w:val="30"/>
              </w:rPr>
              <w:t>、属于国家秘密</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2</w:t>
            </w:r>
            <w:r>
              <w:rPr>
                <w:rFonts w:hint="eastAsia" w:ascii="仿宋_GB2312" w:hAnsi="仿宋_GB2312" w:eastAsia="仿宋_GB2312" w:cs="仿宋_GB2312"/>
                <w:b w:val="0"/>
                <w:bCs w:val="0"/>
                <w:spacing w:val="-11"/>
                <w:sz w:val="30"/>
                <w:szCs w:val="30"/>
              </w:rPr>
              <w:t>、其他法律行政法规禁止公开</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w w:val="90"/>
                <w:sz w:val="30"/>
                <w:szCs w:val="30"/>
              </w:rPr>
            </w:pPr>
            <w:r>
              <w:rPr>
                <w:rFonts w:hint="eastAsia" w:ascii="Times New Roman" w:hAnsi="Times New Roman" w:eastAsia="仿宋_GB2312" w:cs="仿宋_GB2312"/>
                <w:b w:val="0"/>
                <w:bCs w:val="0"/>
                <w:spacing w:val="-11"/>
                <w:w w:val="90"/>
                <w:sz w:val="30"/>
                <w:szCs w:val="30"/>
              </w:rPr>
              <w:t>3</w:t>
            </w:r>
            <w:r>
              <w:rPr>
                <w:rFonts w:hint="eastAsia" w:ascii="仿宋_GB2312" w:hAnsi="仿宋_GB2312" w:eastAsia="仿宋_GB2312" w:cs="仿宋_GB2312"/>
                <w:b w:val="0"/>
                <w:bCs w:val="0"/>
                <w:spacing w:val="-11"/>
                <w:w w:val="90"/>
                <w:sz w:val="30"/>
                <w:szCs w:val="30"/>
              </w:rPr>
              <w:t>、危及“三安全一稳定”</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w w:val="90"/>
                <w:sz w:val="30"/>
                <w:szCs w:val="30"/>
              </w:rPr>
            </w:pPr>
            <w:r>
              <w:rPr>
                <w:rFonts w:hint="eastAsia" w:ascii="Times New Roman" w:hAnsi="Times New Roman" w:eastAsia="仿宋_GB2312" w:cs="仿宋_GB2312"/>
                <w:b w:val="0"/>
                <w:bCs w:val="0"/>
                <w:spacing w:val="-11"/>
                <w:w w:val="90"/>
                <w:sz w:val="30"/>
                <w:szCs w:val="30"/>
              </w:rPr>
              <w:t>4</w:t>
            </w:r>
            <w:r>
              <w:rPr>
                <w:rFonts w:hint="eastAsia" w:ascii="仿宋_GB2312" w:hAnsi="仿宋_GB2312" w:eastAsia="仿宋_GB2312" w:cs="仿宋_GB2312"/>
                <w:b w:val="0"/>
                <w:bCs w:val="0"/>
                <w:spacing w:val="-11"/>
                <w:w w:val="90"/>
                <w:sz w:val="30"/>
                <w:szCs w:val="30"/>
              </w:rPr>
              <w:t>、保护第三方合法权益</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lang w:val="en-US" w:eastAsia="zh-CN"/>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5</w:t>
            </w:r>
            <w:r>
              <w:rPr>
                <w:rFonts w:hint="eastAsia" w:ascii="仿宋_GB2312" w:hAnsi="仿宋_GB2312" w:eastAsia="仿宋_GB2312" w:cs="仿宋_GB2312"/>
                <w:b w:val="0"/>
                <w:bCs w:val="0"/>
                <w:spacing w:val="-11"/>
                <w:sz w:val="30"/>
                <w:szCs w:val="30"/>
              </w:rPr>
              <w:t>、属于三类内部事务信息</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w w:val="90"/>
                <w:sz w:val="30"/>
                <w:szCs w:val="30"/>
              </w:rPr>
              <w:t>6</w:t>
            </w:r>
            <w:r>
              <w:rPr>
                <w:rFonts w:hint="eastAsia" w:ascii="仿宋_GB2312" w:hAnsi="仿宋_GB2312" w:eastAsia="仿宋_GB2312" w:cs="仿宋_GB2312"/>
                <w:b w:val="0"/>
                <w:bCs w:val="0"/>
                <w:spacing w:val="-11"/>
                <w:w w:val="90"/>
                <w:sz w:val="30"/>
                <w:szCs w:val="30"/>
              </w:rPr>
              <w:t>、属于四类过程性信息</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7</w:t>
            </w:r>
            <w:r>
              <w:rPr>
                <w:rFonts w:hint="eastAsia" w:ascii="仿宋_GB2312" w:hAnsi="仿宋_GB2312" w:eastAsia="仿宋_GB2312" w:cs="仿宋_GB2312"/>
                <w:b w:val="0"/>
                <w:bCs w:val="0"/>
                <w:spacing w:val="-11"/>
                <w:sz w:val="30"/>
                <w:szCs w:val="30"/>
              </w:rPr>
              <w:t>、属于行政执法案卷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8</w:t>
            </w:r>
            <w:r>
              <w:rPr>
                <w:rFonts w:hint="eastAsia" w:ascii="仿宋_GB2312" w:hAnsi="仿宋_GB2312" w:eastAsia="仿宋_GB2312" w:cs="仿宋_GB2312"/>
                <w:b w:val="0"/>
                <w:bCs w:val="0"/>
                <w:spacing w:val="-11"/>
                <w:sz w:val="30"/>
                <w:szCs w:val="30"/>
              </w:rPr>
              <w:t>、属于行政查询事项</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（四）无法提供</w:t>
            </w: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1</w:t>
            </w:r>
            <w:r>
              <w:rPr>
                <w:rFonts w:hint="eastAsia" w:ascii="仿宋_GB2312" w:hAnsi="仿宋_GB2312" w:eastAsia="仿宋_GB2312" w:cs="仿宋_GB2312"/>
                <w:b w:val="0"/>
                <w:bCs w:val="0"/>
                <w:spacing w:val="-11"/>
                <w:sz w:val="30"/>
                <w:szCs w:val="30"/>
              </w:rPr>
              <w:t>、本机关不掌握相关政府信息</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2</w:t>
            </w:r>
            <w:r>
              <w:rPr>
                <w:rFonts w:hint="eastAsia" w:ascii="仿宋_GB2312" w:hAnsi="仿宋_GB2312" w:eastAsia="仿宋_GB2312" w:cs="仿宋_GB2312"/>
                <w:b w:val="0"/>
                <w:bCs w:val="0"/>
                <w:spacing w:val="-11"/>
                <w:sz w:val="30"/>
                <w:szCs w:val="30"/>
              </w:rPr>
              <w:t>、没有现成信息需要另行制作</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3</w:t>
            </w:r>
            <w:r>
              <w:rPr>
                <w:rFonts w:hint="eastAsia" w:ascii="仿宋_GB2312" w:hAnsi="仿宋_GB2312" w:eastAsia="仿宋_GB2312" w:cs="仿宋_GB2312"/>
                <w:b w:val="0"/>
                <w:bCs w:val="0"/>
                <w:spacing w:val="-11"/>
                <w:sz w:val="30"/>
                <w:szCs w:val="30"/>
              </w:rPr>
              <w:t>、补正后申请内容仍不明确</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restart"/>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（五）不予处理</w:t>
            </w: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w w:val="90"/>
                <w:sz w:val="30"/>
                <w:szCs w:val="30"/>
              </w:rPr>
              <w:t>1</w:t>
            </w:r>
            <w:r>
              <w:rPr>
                <w:rFonts w:hint="eastAsia" w:ascii="仿宋_GB2312" w:hAnsi="仿宋_GB2312" w:eastAsia="仿宋_GB2312" w:cs="仿宋_GB2312"/>
                <w:b w:val="0"/>
                <w:bCs w:val="0"/>
                <w:spacing w:val="-11"/>
                <w:w w:val="90"/>
                <w:sz w:val="30"/>
                <w:szCs w:val="30"/>
              </w:rPr>
              <w:t>、信访举报投诉类申请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2</w:t>
            </w:r>
            <w:r>
              <w:rPr>
                <w:rFonts w:hint="eastAsia" w:ascii="仿宋_GB2312" w:hAnsi="仿宋_GB2312" w:eastAsia="仿宋_GB2312" w:cs="仿宋_GB2312"/>
                <w:b w:val="0"/>
                <w:bCs w:val="0"/>
                <w:spacing w:val="-11"/>
                <w:sz w:val="30"/>
                <w:szCs w:val="30"/>
              </w:rPr>
              <w:t>、重复申请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w w:val="90"/>
                <w:sz w:val="30"/>
                <w:szCs w:val="30"/>
              </w:rPr>
              <w:t>3</w:t>
            </w:r>
            <w:r>
              <w:rPr>
                <w:rFonts w:hint="eastAsia" w:ascii="仿宋_GB2312" w:hAnsi="仿宋_GB2312" w:eastAsia="仿宋_GB2312" w:cs="仿宋_GB2312"/>
                <w:b w:val="0"/>
                <w:bCs w:val="0"/>
                <w:spacing w:val="-11"/>
                <w:w w:val="90"/>
                <w:sz w:val="30"/>
                <w:szCs w:val="30"/>
              </w:rPr>
              <w:t>、要求提供公开出版物</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rPr>
              <w:t>4</w:t>
            </w:r>
            <w:r>
              <w:rPr>
                <w:rFonts w:hint="eastAsia" w:ascii="仿宋_GB2312" w:hAnsi="仿宋_GB2312" w:eastAsia="仿宋_GB2312" w:cs="仿宋_GB2312"/>
                <w:b w:val="0"/>
                <w:bCs w:val="0"/>
                <w:spacing w:val="-11"/>
                <w:sz w:val="30"/>
                <w:szCs w:val="30"/>
              </w:rPr>
              <w:t>、无正当理由大量反复申请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w w:val="90"/>
                <w:sz w:val="30"/>
                <w:szCs w:val="30"/>
              </w:rPr>
              <w:t>5</w:t>
            </w:r>
            <w:r>
              <w:rPr>
                <w:rFonts w:hint="eastAsia" w:ascii="仿宋_GB2312" w:hAnsi="仿宋_GB2312" w:eastAsia="仿宋_GB2312" w:cs="仿宋_GB2312"/>
                <w:b w:val="0"/>
                <w:bCs w:val="0"/>
                <w:spacing w:val="-11"/>
                <w:w w:val="90"/>
                <w:sz w:val="30"/>
                <w:szCs w:val="30"/>
              </w:rPr>
              <w:t>、要求行政机关确认或重新出具已获取信息</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restart"/>
            <w:noWrap w:val="0"/>
            <w:vAlign w:val="center"/>
          </w:tcPr>
          <w:p>
            <w:pPr>
              <w:spacing w:line="360" w:lineRule="exact"/>
              <w:jc w:val="left"/>
              <w:rPr>
                <w:b w:val="0"/>
                <w:bCs w:val="0"/>
              </w:rPr>
            </w:pPr>
            <w:r>
              <w:rPr>
                <w:rFonts w:hint="eastAsia" w:ascii="仿宋_GB2312" w:hAnsi="仿宋_GB2312" w:eastAsia="仿宋_GB2312" w:cs="仿宋_GB2312"/>
                <w:b w:val="0"/>
                <w:bCs w:val="0"/>
                <w:spacing w:val="-11"/>
                <w:sz w:val="30"/>
                <w:szCs w:val="30"/>
              </w:rPr>
              <w:t>（六）其他处理</w:t>
            </w:r>
          </w:p>
        </w:tc>
        <w:tc>
          <w:tcPr>
            <w:tcW w:w="2943" w:type="dxa"/>
            <w:noWrap w:val="0"/>
            <w:vAlign w:val="center"/>
          </w:tcPr>
          <w:p>
            <w:pPr>
              <w:spacing w:line="360" w:lineRule="exact"/>
              <w:jc w:val="left"/>
              <w:rPr>
                <w:rFonts w:hint="eastAsia" w:ascii="仿宋_GB2312" w:hAnsi="仿宋_GB2312" w:eastAsia="仿宋_GB2312" w:cs="仿宋_GB2312"/>
                <w:b w:val="0"/>
                <w:bCs w:val="0"/>
                <w:spacing w:val="-11"/>
                <w:sz w:val="30"/>
                <w:szCs w:val="30"/>
                <w:lang w:val="en-US" w:eastAsia="zh-CN"/>
              </w:rPr>
            </w:pPr>
            <w:r>
              <w:rPr>
                <w:rFonts w:hint="eastAsia" w:ascii="仿宋_GB2312" w:hAnsi="仿宋_GB2312" w:eastAsia="仿宋_GB2312" w:cs="仿宋_GB2312"/>
                <w:b w:val="0"/>
                <w:bCs w:val="0"/>
                <w:spacing w:val="-11"/>
                <w:sz w:val="30"/>
                <w:szCs w:val="30"/>
                <w:lang w:val="en-US" w:eastAsia="zh-CN"/>
              </w:rPr>
              <w:t>1.申请人无正当理由逾期不补正、行政机关不在处理其政府信息公开申请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30" w:type="dxa"/>
            <w:vMerge w:val="continue"/>
            <w:noWrap w:val="0"/>
            <w:vAlign w:val="center"/>
          </w:tcPr>
          <w:p>
            <w:pPr>
              <w:spacing w:line="360" w:lineRule="exact"/>
              <w:jc w:val="left"/>
              <w:rPr>
                <w:b w:val="0"/>
                <w:bCs w:val="0"/>
              </w:rPr>
            </w:pPr>
          </w:p>
        </w:tc>
        <w:tc>
          <w:tcPr>
            <w:tcW w:w="846" w:type="dxa"/>
            <w:vMerge w:val="continue"/>
            <w:noWrap w:val="0"/>
            <w:vAlign w:val="center"/>
          </w:tcPr>
          <w:p>
            <w:pPr>
              <w:spacing w:line="360" w:lineRule="exact"/>
              <w:jc w:val="left"/>
              <w:rPr>
                <w:b w:val="0"/>
                <w:bCs w:val="0"/>
              </w:rPr>
            </w:pPr>
          </w:p>
        </w:tc>
        <w:tc>
          <w:tcPr>
            <w:tcW w:w="2943" w:type="dxa"/>
            <w:noWrap w:val="0"/>
            <w:vAlign w:val="center"/>
          </w:tcPr>
          <w:p>
            <w:pPr>
              <w:spacing w:line="360" w:lineRule="exact"/>
              <w:jc w:val="left"/>
              <w:rPr>
                <w:rFonts w:hint="eastAsia" w:ascii="仿宋_GB2312" w:hAnsi="仿宋_GB2312" w:eastAsia="仿宋_GB2312" w:cs="仿宋_GB2312"/>
                <w:b w:val="0"/>
                <w:bCs w:val="0"/>
                <w:spacing w:val="-11"/>
                <w:sz w:val="30"/>
                <w:szCs w:val="30"/>
                <w:lang w:val="en-US" w:eastAsia="zh-CN"/>
              </w:rPr>
            </w:pPr>
            <w:r>
              <w:rPr>
                <w:rFonts w:hint="eastAsia" w:ascii="仿宋_GB2312" w:hAnsi="仿宋_GB2312" w:eastAsia="仿宋_GB2312" w:cs="仿宋_GB2312"/>
                <w:b w:val="0"/>
                <w:bCs w:val="0"/>
                <w:spacing w:val="-11"/>
                <w:sz w:val="30"/>
                <w:szCs w:val="30"/>
                <w:lang w:val="en-US" w:eastAsia="zh-CN"/>
              </w:rPr>
              <w:t>2.申请人逾期未按收费通知要求缴纳费用、行政机关不在处理其政府信息公开申请</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 w:hRule="atLeast"/>
        </w:trPr>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846"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2943" w:type="dxa"/>
            <w:noWrap w:val="0"/>
            <w:vAlign w:val="center"/>
          </w:tcPr>
          <w:p>
            <w:pPr>
              <w:spacing w:line="360" w:lineRule="exact"/>
              <w:jc w:val="left"/>
              <w:rPr>
                <w:rFonts w:hint="eastAsia" w:ascii="仿宋_GB2312" w:hAnsi="仿宋_GB2312" w:eastAsia="仿宋_GB2312" w:cs="仿宋_GB2312"/>
                <w:b w:val="0"/>
                <w:bCs w:val="0"/>
                <w:spacing w:val="-11"/>
                <w:sz w:val="30"/>
                <w:szCs w:val="30"/>
                <w:lang w:val="en-US" w:eastAsia="zh-CN"/>
              </w:rPr>
            </w:pPr>
            <w:r>
              <w:rPr>
                <w:rFonts w:hint="eastAsia" w:ascii="仿宋_GB2312" w:hAnsi="仿宋_GB2312" w:eastAsia="仿宋_GB2312" w:cs="仿宋_GB2312"/>
                <w:b w:val="0"/>
                <w:bCs w:val="0"/>
                <w:spacing w:val="-11"/>
                <w:sz w:val="30"/>
                <w:szCs w:val="30"/>
                <w:lang w:val="en-US" w:eastAsia="zh-CN"/>
              </w:rPr>
              <w:t>3.其他</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left"/>
              <w:rPr>
                <w:rFonts w:hint="eastAsia" w:ascii="仿宋_GB2312" w:hAnsi="仿宋_GB2312" w:eastAsia="仿宋_GB2312" w:cs="仿宋_GB2312"/>
                <w:b w:val="0"/>
                <w:bCs w:val="0"/>
                <w:spacing w:val="-11"/>
                <w:sz w:val="30"/>
                <w:szCs w:val="30"/>
              </w:rPr>
            </w:pPr>
          </w:p>
        </w:tc>
        <w:tc>
          <w:tcPr>
            <w:tcW w:w="3789" w:type="dxa"/>
            <w:gridSpan w:val="2"/>
            <w:noWrap w:val="0"/>
            <w:vAlign w:val="center"/>
          </w:tcPr>
          <w:p>
            <w:pPr>
              <w:spacing w:line="360" w:lineRule="exact"/>
              <w:jc w:val="left"/>
              <w:rPr>
                <w:rFonts w:hint="eastAsia" w:ascii="仿宋_GB2312" w:hAnsi="仿宋_GB2312" w:eastAsia="仿宋_GB2312" w:cs="仿宋_GB2312"/>
                <w:b w:val="0"/>
                <w:bCs w:val="0"/>
                <w:spacing w:val="-11"/>
                <w:sz w:val="30"/>
                <w:szCs w:val="30"/>
              </w:rPr>
            </w:pPr>
            <w:r>
              <w:rPr>
                <w:rFonts w:hint="eastAsia" w:ascii="仿宋_GB2312" w:hAnsi="仿宋_GB2312" w:eastAsia="仿宋_GB2312" w:cs="仿宋_GB2312"/>
                <w:b w:val="0"/>
                <w:bCs w:val="0"/>
                <w:spacing w:val="-11"/>
                <w:sz w:val="30"/>
                <w:szCs w:val="30"/>
              </w:rPr>
              <w:t>（七）总计</w:t>
            </w:r>
          </w:p>
        </w:tc>
        <w:tc>
          <w:tcPr>
            <w:tcW w:w="40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7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1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40"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82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b w:val="0"/>
                <w:bCs w:val="0"/>
                <w:spacing w:val="-11"/>
                <w:sz w:val="30"/>
                <w:szCs w:val="30"/>
              </w:rPr>
            </w:pPr>
            <w:r>
              <w:rPr>
                <w:rFonts w:hint="eastAsia" w:ascii="Times New Roman" w:hAnsi="Times New Roman" w:eastAsia="仿宋_GB2312" w:cs="仿宋_GB2312"/>
                <w:b w:val="0"/>
                <w:bCs w:val="0"/>
                <w:spacing w:val="-11"/>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620" w:type="dxa"/>
            <w:gridSpan w:val="10"/>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四、结转下年度继续办理</w:t>
            </w:r>
          </w:p>
        </w:tc>
      </w:tr>
    </w:tbl>
    <w:p>
      <w:pPr>
        <w:spacing w:line="560" w:lineRule="exact"/>
        <w:rPr>
          <w:rFonts w:hint="eastAsia" w:ascii="黑体" w:hAnsi="黑体" w:eastAsia="黑体" w:cs="黑体"/>
          <w:spacing w:val="-11"/>
          <w:sz w:val="32"/>
          <w:szCs w:val="32"/>
        </w:rPr>
      </w:pPr>
      <w:r>
        <w:rPr>
          <w:rFonts w:hint="eastAsia" w:ascii="黑体" w:hAnsi="黑体" w:eastAsia="黑体" w:cs="黑体"/>
          <w:spacing w:val="-11"/>
          <w:sz w:val="32"/>
          <w:szCs w:val="32"/>
        </w:rPr>
        <w:t>四、政府信息公开行政复议、行政诉讼情况</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931" w:type="dxa"/>
            <w:gridSpan w:val="5"/>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行政复议</w:t>
            </w:r>
          </w:p>
        </w:tc>
        <w:tc>
          <w:tcPr>
            <w:tcW w:w="5829" w:type="dxa"/>
            <w:gridSpan w:val="10"/>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4" w:type="dxa"/>
            <w:vMerge w:val="restart"/>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结果维持</w:t>
            </w:r>
          </w:p>
        </w:tc>
        <w:tc>
          <w:tcPr>
            <w:tcW w:w="588" w:type="dxa"/>
            <w:vMerge w:val="restart"/>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结果纠正</w:t>
            </w:r>
          </w:p>
        </w:tc>
        <w:tc>
          <w:tcPr>
            <w:tcW w:w="586" w:type="dxa"/>
            <w:vMerge w:val="restart"/>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其他结果</w:t>
            </w:r>
          </w:p>
        </w:tc>
        <w:tc>
          <w:tcPr>
            <w:tcW w:w="587" w:type="dxa"/>
            <w:vMerge w:val="restart"/>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尚未审结</w:t>
            </w:r>
          </w:p>
        </w:tc>
        <w:tc>
          <w:tcPr>
            <w:tcW w:w="586" w:type="dxa"/>
            <w:vMerge w:val="restart"/>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总计</w:t>
            </w:r>
          </w:p>
        </w:tc>
        <w:tc>
          <w:tcPr>
            <w:tcW w:w="2930" w:type="dxa"/>
            <w:gridSpan w:val="5"/>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未经复议直接起诉</w:t>
            </w:r>
          </w:p>
        </w:tc>
        <w:tc>
          <w:tcPr>
            <w:tcW w:w="2899" w:type="dxa"/>
            <w:gridSpan w:val="5"/>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84" w:type="dxa"/>
            <w:vMerge w:val="continue"/>
            <w:noWrap w:val="0"/>
            <w:vAlign w:val="center"/>
          </w:tcPr>
          <w:p>
            <w:pPr>
              <w:spacing w:line="560" w:lineRule="exact"/>
              <w:jc w:val="center"/>
              <w:rPr>
                <w:rFonts w:hint="eastAsia" w:ascii="仿宋_GB2312" w:hAnsi="仿宋_GB2312" w:eastAsia="仿宋_GB2312" w:cs="仿宋_GB2312"/>
                <w:spacing w:val="-11"/>
                <w:sz w:val="30"/>
                <w:szCs w:val="30"/>
              </w:rPr>
            </w:pPr>
          </w:p>
        </w:tc>
        <w:tc>
          <w:tcPr>
            <w:tcW w:w="588" w:type="dxa"/>
            <w:vMerge w:val="continue"/>
            <w:noWrap w:val="0"/>
            <w:vAlign w:val="center"/>
          </w:tcPr>
          <w:p>
            <w:pPr>
              <w:spacing w:line="560" w:lineRule="exact"/>
              <w:jc w:val="center"/>
              <w:rPr>
                <w:rFonts w:hint="eastAsia" w:ascii="仿宋_GB2312" w:hAnsi="仿宋_GB2312" w:eastAsia="仿宋_GB2312" w:cs="仿宋_GB2312"/>
                <w:spacing w:val="-11"/>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pacing w:val="-11"/>
                <w:sz w:val="30"/>
                <w:szCs w:val="30"/>
              </w:rPr>
            </w:pPr>
          </w:p>
        </w:tc>
        <w:tc>
          <w:tcPr>
            <w:tcW w:w="587" w:type="dxa"/>
            <w:vMerge w:val="continue"/>
            <w:noWrap w:val="0"/>
            <w:vAlign w:val="center"/>
          </w:tcPr>
          <w:p>
            <w:pPr>
              <w:spacing w:line="560" w:lineRule="exact"/>
              <w:jc w:val="center"/>
              <w:rPr>
                <w:rFonts w:hint="eastAsia" w:ascii="仿宋_GB2312" w:hAnsi="仿宋_GB2312" w:eastAsia="仿宋_GB2312" w:cs="仿宋_GB2312"/>
                <w:spacing w:val="-11"/>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pacing w:val="-11"/>
                <w:sz w:val="30"/>
                <w:szCs w:val="30"/>
              </w:rPr>
            </w:pPr>
          </w:p>
        </w:tc>
        <w:tc>
          <w:tcPr>
            <w:tcW w:w="585"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结果维持</w:t>
            </w:r>
          </w:p>
        </w:tc>
        <w:tc>
          <w:tcPr>
            <w:tcW w:w="587"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结果纠正</w:t>
            </w:r>
          </w:p>
        </w:tc>
        <w:tc>
          <w:tcPr>
            <w:tcW w:w="587"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其他结果</w:t>
            </w:r>
          </w:p>
        </w:tc>
        <w:tc>
          <w:tcPr>
            <w:tcW w:w="587"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尚未审结</w:t>
            </w:r>
          </w:p>
        </w:tc>
        <w:tc>
          <w:tcPr>
            <w:tcW w:w="584"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总计</w:t>
            </w:r>
          </w:p>
        </w:tc>
        <w:tc>
          <w:tcPr>
            <w:tcW w:w="581"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结果维持</w:t>
            </w:r>
          </w:p>
        </w:tc>
        <w:tc>
          <w:tcPr>
            <w:tcW w:w="581"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结果纠正</w:t>
            </w:r>
          </w:p>
        </w:tc>
        <w:tc>
          <w:tcPr>
            <w:tcW w:w="581"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其他结果</w:t>
            </w:r>
          </w:p>
        </w:tc>
        <w:tc>
          <w:tcPr>
            <w:tcW w:w="578"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尚未审结</w:t>
            </w:r>
          </w:p>
        </w:tc>
        <w:tc>
          <w:tcPr>
            <w:tcW w:w="578" w:type="dxa"/>
            <w:noWrap w:val="0"/>
            <w:vAlign w:val="center"/>
          </w:tcPr>
          <w:p>
            <w:pPr>
              <w:spacing w:line="560" w:lineRule="exact"/>
              <w:jc w:val="center"/>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11"/>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84"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8"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6"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7"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6"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5"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7"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7"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7"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4"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1"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1"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81"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78"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c>
          <w:tcPr>
            <w:tcW w:w="578" w:type="dxa"/>
            <w:noWrap w:val="0"/>
            <w:vAlign w:val="center"/>
          </w:tcPr>
          <w:p>
            <w:pPr>
              <w:spacing w:line="360" w:lineRule="exact"/>
              <w:jc w:val="center"/>
              <w:rPr>
                <w:rFonts w:hint="eastAsia" w:ascii="仿宋_GB2312" w:hAnsi="仿宋_GB2312" w:eastAsia="仿宋_GB2312" w:cs="仿宋_GB2312"/>
                <w:spacing w:val="-11"/>
                <w:sz w:val="30"/>
                <w:szCs w:val="30"/>
              </w:rPr>
            </w:pPr>
            <w:r>
              <w:rPr>
                <w:rFonts w:hint="eastAsia" w:ascii="Times New Roman" w:hAnsi="Times New Roman" w:eastAsia="仿宋_GB2312" w:cs="仿宋_GB2312"/>
                <w:spacing w:val="-11"/>
                <w:sz w:val="30"/>
                <w:szCs w:val="30"/>
                <w:lang w:val="en-US" w:eastAsia="zh-CN"/>
              </w:rPr>
              <w:t>0</w:t>
            </w:r>
          </w:p>
        </w:tc>
      </w:tr>
    </w:tbl>
    <w:p>
      <w:pPr>
        <w:keepNext w:val="0"/>
        <w:keepLines w:val="0"/>
        <w:pageBreakBefore w:val="0"/>
        <w:widowControl w:val="0"/>
        <w:kinsoku/>
        <w:wordWrap/>
        <w:overflowPunct/>
        <w:topLinePunct w:val="0"/>
        <w:autoSpaceDE w:val="0"/>
        <w:autoSpaceDN/>
        <w:bidi w:val="0"/>
        <w:adjustRightInd/>
        <w:snapToGrid/>
        <w:spacing w:line="560" w:lineRule="exact"/>
        <w:ind w:firstLine="596" w:firstLineChars="200"/>
        <w:textAlignment w:val="auto"/>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五、</w:t>
      </w:r>
      <w:r>
        <w:rPr>
          <w:rFonts w:hint="eastAsia" w:ascii="黑体" w:hAnsi="黑体" w:eastAsia="黑体" w:cs="黑体"/>
          <w:spacing w:val="-11"/>
          <w:sz w:val="32"/>
          <w:szCs w:val="32"/>
        </w:rPr>
        <w:t>存在的主要问题及</w:t>
      </w:r>
      <w:r>
        <w:rPr>
          <w:rFonts w:hint="eastAsia" w:ascii="黑体" w:hAnsi="黑体" w:eastAsia="黑体" w:cs="黑体"/>
          <w:spacing w:val="-11"/>
          <w:sz w:val="32"/>
          <w:szCs w:val="32"/>
          <w:lang w:eastAsia="zh-CN"/>
        </w:rPr>
        <w:t>改进情况</w:t>
      </w:r>
    </w:p>
    <w:p>
      <w:pPr>
        <w:keepNext w:val="0"/>
        <w:keepLines w:val="0"/>
        <w:pageBreakBefore w:val="0"/>
        <w:widowControl w:val="0"/>
        <w:kinsoku/>
        <w:wordWrap/>
        <w:overflowPunct/>
        <w:topLinePunct w:val="0"/>
        <w:autoSpaceDE w:val="0"/>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lang w:eastAsia="zh-CN"/>
        </w:rPr>
        <w:t>存在的主要问题：一是审计公开的力度与公众的需求还存在一定的差距，信息公布更新还不及时；二是</w:t>
      </w:r>
      <w:r>
        <w:rPr>
          <w:rFonts w:hint="eastAsia" w:ascii="仿宋_GB2312" w:eastAsia="仿宋_GB2312"/>
          <w:spacing w:val="-11"/>
          <w:sz w:val="32"/>
          <w:szCs w:val="32"/>
        </w:rPr>
        <w:t>信息公开工作机制还不够完善，主动公开的意识还有待进一步加强。</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596" w:firstLineChars="200"/>
        <w:textAlignment w:val="auto"/>
        <w:rPr>
          <w:rFonts w:hint="eastAsia" w:ascii="仿宋_GB2312" w:eastAsia="仿宋_GB2312"/>
          <w:spacing w:val="-11"/>
          <w:sz w:val="32"/>
          <w:szCs w:val="32"/>
        </w:rPr>
      </w:pPr>
      <w:r>
        <w:rPr>
          <w:rFonts w:hint="eastAsia" w:ascii="仿宋_GB2312" w:eastAsia="仿宋_GB2312"/>
          <w:spacing w:val="-11"/>
          <w:sz w:val="32"/>
          <w:szCs w:val="32"/>
          <w:lang w:eastAsia="zh-CN"/>
        </w:rPr>
        <w:t>改进情况：一是</w:t>
      </w:r>
      <w:r>
        <w:rPr>
          <w:rFonts w:hint="eastAsia" w:ascii="仿宋_GB2312" w:eastAsia="仿宋_GB2312"/>
          <w:spacing w:val="-11"/>
          <w:sz w:val="32"/>
          <w:szCs w:val="32"/>
        </w:rPr>
        <w:t>努力扩大信息来源，进一步丰富公开信息内容，对原有的政务信息公开内容进行完善，保证各类信息公开的准确性和完整性</w:t>
      </w:r>
      <w:r>
        <w:rPr>
          <w:rFonts w:hint="eastAsia" w:ascii="仿宋_GB2312" w:eastAsia="仿宋_GB2312"/>
          <w:spacing w:val="-11"/>
          <w:sz w:val="32"/>
          <w:szCs w:val="32"/>
          <w:lang w:eastAsia="zh-CN"/>
        </w:rPr>
        <w:t>；二是</w:t>
      </w:r>
      <w:r>
        <w:rPr>
          <w:rFonts w:hint="eastAsia" w:ascii="仿宋_GB2312" w:eastAsia="仿宋_GB2312"/>
          <w:spacing w:val="-11"/>
          <w:sz w:val="32"/>
          <w:szCs w:val="32"/>
        </w:rPr>
        <w:t>进一步完善</w:t>
      </w:r>
      <w:r>
        <w:rPr>
          <w:rFonts w:hint="eastAsia" w:ascii="仿宋_GB2312" w:eastAsia="仿宋_GB2312"/>
          <w:spacing w:val="-11"/>
          <w:sz w:val="32"/>
          <w:szCs w:val="32"/>
          <w:lang w:eastAsia="zh-CN"/>
        </w:rPr>
        <w:t>政务</w:t>
      </w:r>
      <w:r>
        <w:rPr>
          <w:rFonts w:hint="eastAsia" w:ascii="仿宋_GB2312" w:eastAsia="仿宋_GB2312"/>
          <w:spacing w:val="-11"/>
          <w:sz w:val="32"/>
          <w:szCs w:val="32"/>
        </w:rPr>
        <w:t>信息公开工作机制，建立稳定的信息公开激励机制</w:t>
      </w:r>
      <w:r>
        <w:rPr>
          <w:rFonts w:hint="eastAsia" w:ascii="仿宋_GB2312" w:eastAsia="仿宋_GB2312"/>
          <w:spacing w:val="-11"/>
          <w:sz w:val="32"/>
          <w:szCs w:val="32"/>
          <w:lang w:eastAsia="zh-CN"/>
        </w:rPr>
        <w:t>，确保政务</w:t>
      </w:r>
      <w:r>
        <w:rPr>
          <w:rFonts w:hint="eastAsia" w:ascii="仿宋_GB2312" w:eastAsia="仿宋_GB2312"/>
          <w:spacing w:val="-11"/>
          <w:sz w:val="32"/>
          <w:szCs w:val="32"/>
        </w:rPr>
        <w:t>信息公开</w:t>
      </w:r>
      <w:r>
        <w:rPr>
          <w:rFonts w:hint="eastAsia" w:ascii="仿宋_GB2312" w:eastAsia="仿宋_GB2312"/>
          <w:spacing w:val="-11"/>
          <w:sz w:val="32"/>
          <w:szCs w:val="32"/>
          <w:lang w:eastAsia="zh-CN"/>
        </w:rPr>
        <w:t>的及时性；三是加强政务信息工作的学习培训</w:t>
      </w:r>
      <w:r>
        <w:rPr>
          <w:rFonts w:hint="eastAsia" w:ascii="仿宋_GB2312" w:eastAsia="仿宋_GB2312"/>
          <w:spacing w:val="-11"/>
          <w:sz w:val="32"/>
          <w:szCs w:val="32"/>
        </w:rPr>
        <w:t>。</w:t>
      </w:r>
      <w:r>
        <w:rPr>
          <w:rFonts w:hint="eastAsia" w:ascii="仿宋_GB2312" w:eastAsia="仿宋_GB2312"/>
          <w:spacing w:val="-11"/>
          <w:sz w:val="32"/>
          <w:szCs w:val="32"/>
          <w:lang w:eastAsia="zh-CN"/>
        </w:rPr>
        <w:t>组织广大审计干部学习《中华人民共和国政府信息公开条例》等政府信息公开的法律、法规和政策，提高审计干部对政务信息公开工作的重视程度。</w:t>
      </w:r>
      <w:r>
        <w:rPr>
          <w:rFonts w:hint="eastAsia" w:ascii="仿宋_GB2312" w:eastAsia="仿宋_GB2312"/>
          <w:spacing w:val="-11"/>
          <w:sz w:val="32"/>
          <w:szCs w:val="32"/>
        </w:rPr>
        <w:t>结合政</w:t>
      </w:r>
      <w:r>
        <w:rPr>
          <w:rFonts w:hint="eastAsia" w:ascii="仿宋_GB2312" w:eastAsia="仿宋_GB2312"/>
          <w:spacing w:val="-11"/>
          <w:sz w:val="32"/>
          <w:szCs w:val="32"/>
          <w:lang w:eastAsia="zh-CN"/>
        </w:rPr>
        <w:t>务</w:t>
      </w:r>
      <w:r>
        <w:rPr>
          <w:rFonts w:hint="eastAsia" w:ascii="仿宋_GB2312" w:eastAsia="仿宋_GB2312"/>
          <w:spacing w:val="-11"/>
          <w:sz w:val="32"/>
          <w:szCs w:val="32"/>
        </w:rPr>
        <w:t>信息公开目录，进一步规范政务公开内容，不断提升政务公开工作水平</w:t>
      </w:r>
      <w:r>
        <w:rPr>
          <w:rFonts w:hint="eastAsia" w:ascii="仿宋_GB2312" w:eastAsia="仿宋_GB2312"/>
          <w:spacing w:val="-11"/>
          <w:sz w:val="32"/>
          <w:szCs w:val="32"/>
          <w:lang w:eastAsia="zh-CN"/>
        </w:rPr>
        <w:t>，确保政务信息公开规范、完整、准确</w:t>
      </w:r>
      <w:r>
        <w:rPr>
          <w:rFonts w:hint="eastAsia" w:ascii="仿宋_GB2312" w:eastAsia="仿宋_GB2312"/>
          <w:spacing w:val="-11"/>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596" w:firstLineChars="200"/>
        <w:textAlignment w:val="auto"/>
        <w:rPr>
          <w:rFonts w:hint="eastAsia" w:ascii="黑体" w:hAnsi="黑体" w:eastAsia="黑体" w:cs="黑体"/>
          <w:spacing w:val="-11"/>
          <w:sz w:val="32"/>
          <w:szCs w:val="32"/>
          <w:lang w:eastAsia="zh-CN"/>
        </w:rPr>
      </w:pPr>
      <w:r>
        <w:rPr>
          <w:rFonts w:hint="eastAsia" w:ascii="黑体" w:hAnsi="黑体" w:eastAsia="黑体" w:cs="黑体"/>
          <w:spacing w:val="-11"/>
          <w:sz w:val="32"/>
          <w:szCs w:val="32"/>
          <w:lang w:eastAsia="zh-CN"/>
        </w:rPr>
        <w:t>六、其他需要报告的事项</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596" w:firstLineChars="200"/>
        <w:jc w:val="both"/>
        <w:textAlignment w:val="auto"/>
        <w:rPr>
          <w:rFonts w:hint="eastAsia" w:ascii="仿宋_GB2312" w:eastAsia="仿宋_GB2312"/>
          <w:spacing w:val="-11"/>
          <w:sz w:val="32"/>
          <w:szCs w:val="32"/>
          <w:lang w:eastAsia="zh-CN"/>
        </w:rPr>
      </w:pPr>
      <w:r>
        <w:rPr>
          <w:rFonts w:hint="eastAsia" w:ascii="仿宋_GB2312" w:eastAsia="仿宋_GB2312"/>
          <w:spacing w:val="-11"/>
          <w:sz w:val="32"/>
          <w:szCs w:val="32"/>
          <w:lang w:eastAsia="zh-CN"/>
        </w:rPr>
        <w:t>无其他需要报告的事项</w:t>
      </w:r>
    </w:p>
    <w:p>
      <w:pPr>
        <w:keepNext w:val="0"/>
        <w:keepLines w:val="0"/>
        <w:pageBreakBefore w:val="0"/>
        <w:widowControl w:val="0"/>
        <w:kinsoku/>
        <w:wordWrap/>
        <w:overflowPunct/>
        <w:topLinePunct w:val="0"/>
        <w:autoSpaceDN/>
        <w:bidi w:val="0"/>
        <w:adjustRightInd/>
        <w:spacing w:line="560" w:lineRule="exact"/>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N/>
        <w:bidi w:val="0"/>
        <w:adjustRightInd/>
        <w:spacing w:line="560" w:lineRule="exact"/>
        <w:ind w:firstLine="6292" w:firstLineChars="2200"/>
        <w:textAlignment w:val="auto"/>
        <w:rPr>
          <w:rFonts w:hint="eastAsia" w:ascii="仿宋_GB2312" w:hAnsi="仿宋_GB2312" w:eastAsia="仿宋_GB2312" w:cs="仿宋_GB2312"/>
          <w:spacing w:val="-17"/>
          <w:kern w:val="2"/>
          <w:sz w:val="32"/>
          <w:szCs w:val="32"/>
          <w:lang w:val="en-US" w:eastAsia="zh-CN" w:bidi="ar-SA"/>
        </w:rPr>
      </w:pPr>
      <w:r>
        <w:rPr>
          <w:rFonts w:hint="eastAsia" w:ascii="仿宋_GB2312" w:hAnsi="仿宋_GB2312" w:eastAsia="仿宋_GB2312" w:cs="仿宋_GB2312"/>
          <w:spacing w:val="-17"/>
          <w:kern w:val="2"/>
          <w:sz w:val="32"/>
          <w:szCs w:val="32"/>
          <w:lang w:val="en-US" w:eastAsia="zh-CN" w:bidi="ar-SA"/>
        </w:rPr>
        <w:t>塔城地区审计局</w:t>
      </w:r>
    </w:p>
    <w:p>
      <w:pPr>
        <w:pStyle w:val="2"/>
        <w:keepNext w:val="0"/>
        <w:keepLines w:val="0"/>
        <w:pageBreakBefore w:val="0"/>
        <w:widowControl w:val="0"/>
        <w:kinsoku/>
        <w:wordWrap/>
        <w:overflowPunct/>
        <w:topLinePunct w:val="0"/>
        <w:autoSpaceDN/>
        <w:bidi w:val="0"/>
        <w:adjustRightInd/>
        <w:spacing w:line="560" w:lineRule="exact"/>
        <w:ind w:firstLine="6292" w:firstLineChars="2200"/>
        <w:textAlignment w:val="auto"/>
        <w:rPr>
          <w:rFonts w:hint="eastAsia" w:ascii="仿宋_GB2312" w:hAnsi="仿宋_GB2312" w:eastAsia="仿宋_GB2312" w:cs="仿宋_GB2312"/>
          <w:spacing w:val="-17"/>
          <w:kern w:val="2"/>
          <w:sz w:val="32"/>
          <w:szCs w:val="32"/>
          <w:lang w:val="en-US" w:eastAsia="zh-CN" w:bidi="ar-SA"/>
        </w:rPr>
      </w:pPr>
      <w:r>
        <w:rPr>
          <w:rFonts w:hint="eastAsia" w:ascii="Times New Roman" w:hAnsi="Times New Roman" w:eastAsia="仿宋_GB2312" w:cs="仿宋_GB2312"/>
          <w:spacing w:val="-17"/>
          <w:kern w:val="2"/>
          <w:sz w:val="32"/>
          <w:szCs w:val="32"/>
          <w:lang w:val="en-US" w:eastAsia="zh-CN" w:bidi="ar-SA"/>
        </w:rPr>
        <w:t>202</w:t>
      </w:r>
      <w:r>
        <w:rPr>
          <w:rFonts w:hint="eastAsia" w:eastAsia="仿宋_GB2312" w:cs="仿宋_GB2312"/>
          <w:spacing w:val="-17"/>
          <w:kern w:val="2"/>
          <w:sz w:val="32"/>
          <w:szCs w:val="32"/>
          <w:lang w:val="en-US" w:eastAsia="zh-CN" w:bidi="ar-SA"/>
        </w:rPr>
        <w:t>2</w:t>
      </w:r>
      <w:r>
        <w:rPr>
          <w:rFonts w:hint="eastAsia" w:ascii="仿宋_GB2312" w:hAnsi="仿宋_GB2312" w:eastAsia="仿宋_GB2312" w:cs="仿宋_GB2312"/>
          <w:spacing w:val="-17"/>
          <w:kern w:val="2"/>
          <w:sz w:val="32"/>
          <w:szCs w:val="32"/>
          <w:lang w:val="en-US" w:eastAsia="zh-CN" w:bidi="ar-SA"/>
        </w:rPr>
        <w:t>月1月10日</w:t>
      </w:r>
    </w:p>
    <w:sectPr>
      <w:pgSz w:w="11906" w:h="16838"/>
      <w:pgMar w:top="2098" w:right="1800"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F7D0D"/>
    <w:rsid w:val="002C0BEF"/>
    <w:rsid w:val="006A1CF9"/>
    <w:rsid w:val="00D57E26"/>
    <w:rsid w:val="01DF759F"/>
    <w:rsid w:val="025E79B0"/>
    <w:rsid w:val="02907386"/>
    <w:rsid w:val="02CB72FE"/>
    <w:rsid w:val="030A5A31"/>
    <w:rsid w:val="037D15F0"/>
    <w:rsid w:val="03CA7393"/>
    <w:rsid w:val="04C513DC"/>
    <w:rsid w:val="04C72A1E"/>
    <w:rsid w:val="05C70C7C"/>
    <w:rsid w:val="061E3C75"/>
    <w:rsid w:val="06973A3D"/>
    <w:rsid w:val="06CD503D"/>
    <w:rsid w:val="06DF799C"/>
    <w:rsid w:val="073479A6"/>
    <w:rsid w:val="07355874"/>
    <w:rsid w:val="07363E06"/>
    <w:rsid w:val="0777586E"/>
    <w:rsid w:val="09536FDF"/>
    <w:rsid w:val="09FA0D76"/>
    <w:rsid w:val="0A5A7EE4"/>
    <w:rsid w:val="0A882993"/>
    <w:rsid w:val="0BAE28C4"/>
    <w:rsid w:val="0BB6590F"/>
    <w:rsid w:val="0C010ED4"/>
    <w:rsid w:val="0C240526"/>
    <w:rsid w:val="0C6104F5"/>
    <w:rsid w:val="0D3235FC"/>
    <w:rsid w:val="0DB91D04"/>
    <w:rsid w:val="0DFF7786"/>
    <w:rsid w:val="0E1B7327"/>
    <w:rsid w:val="0E451566"/>
    <w:rsid w:val="0E590223"/>
    <w:rsid w:val="0E68200B"/>
    <w:rsid w:val="0F106487"/>
    <w:rsid w:val="0F784778"/>
    <w:rsid w:val="0FAA5F95"/>
    <w:rsid w:val="10E06FB6"/>
    <w:rsid w:val="10F4187B"/>
    <w:rsid w:val="11B143CF"/>
    <w:rsid w:val="12FF6AF2"/>
    <w:rsid w:val="13CB0500"/>
    <w:rsid w:val="14233F75"/>
    <w:rsid w:val="14761A17"/>
    <w:rsid w:val="149A3491"/>
    <w:rsid w:val="156E283A"/>
    <w:rsid w:val="15AD6937"/>
    <w:rsid w:val="160116B6"/>
    <w:rsid w:val="16480447"/>
    <w:rsid w:val="16A31304"/>
    <w:rsid w:val="175D6643"/>
    <w:rsid w:val="17F909FD"/>
    <w:rsid w:val="183A2B54"/>
    <w:rsid w:val="188D7E28"/>
    <w:rsid w:val="18E341D0"/>
    <w:rsid w:val="190E120B"/>
    <w:rsid w:val="1929794A"/>
    <w:rsid w:val="1A010818"/>
    <w:rsid w:val="1A832065"/>
    <w:rsid w:val="1AAF28AB"/>
    <w:rsid w:val="1B3F4503"/>
    <w:rsid w:val="1B620A47"/>
    <w:rsid w:val="1B835ED4"/>
    <w:rsid w:val="1BE443D6"/>
    <w:rsid w:val="1BF76B42"/>
    <w:rsid w:val="1C1A468B"/>
    <w:rsid w:val="1C2F1E5C"/>
    <w:rsid w:val="1C5A3799"/>
    <w:rsid w:val="1CDD6902"/>
    <w:rsid w:val="1D050DC7"/>
    <w:rsid w:val="1D0D5E09"/>
    <w:rsid w:val="1DF21FD1"/>
    <w:rsid w:val="1E1C5913"/>
    <w:rsid w:val="202157D2"/>
    <w:rsid w:val="20E20192"/>
    <w:rsid w:val="21223885"/>
    <w:rsid w:val="21A067E3"/>
    <w:rsid w:val="22B735D0"/>
    <w:rsid w:val="22C0141D"/>
    <w:rsid w:val="23273093"/>
    <w:rsid w:val="232B71A9"/>
    <w:rsid w:val="23384DDF"/>
    <w:rsid w:val="244A027C"/>
    <w:rsid w:val="25AA2AE7"/>
    <w:rsid w:val="25D16F5A"/>
    <w:rsid w:val="25D44D18"/>
    <w:rsid w:val="26243DA0"/>
    <w:rsid w:val="26446975"/>
    <w:rsid w:val="26BA7F52"/>
    <w:rsid w:val="26CF3E16"/>
    <w:rsid w:val="26D8372E"/>
    <w:rsid w:val="273E4094"/>
    <w:rsid w:val="27467B7A"/>
    <w:rsid w:val="297976E7"/>
    <w:rsid w:val="2A135A2D"/>
    <w:rsid w:val="2A2E4101"/>
    <w:rsid w:val="2A456617"/>
    <w:rsid w:val="2AFF546D"/>
    <w:rsid w:val="2B342169"/>
    <w:rsid w:val="2BAC350C"/>
    <w:rsid w:val="2C5F261E"/>
    <w:rsid w:val="2DA903F2"/>
    <w:rsid w:val="2E64030F"/>
    <w:rsid w:val="2EA510A5"/>
    <w:rsid w:val="2F296645"/>
    <w:rsid w:val="2F2D5F00"/>
    <w:rsid w:val="2F331873"/>
    <w:rsid w:val="301E5DEF"/>
    <w:rsid w:val="31341899"/>
    <w:rsid w:val="321F471D"/>
    <w:rsid w:val="326E0126"/>
    <w:rsid w:val="32AE696B"/>
    <w:rsid w:val="32E73606"/>
    <w:rsid w:val="33924000"/>
    <w:rsid w:val="342809D4"/>
    <w:rsid w:val="349F6627"/>
    <w:rsid w:val="34B02E80"/>
    <w:rsid w:val="3500460B"/>
    <w:rsid w:val="359877A2"/>
    <w:rsid w:val="359B2B7E"/>
    <w:rsid w:val="35FD1605"/>
    <w:rsid w:val="3609097C"/>
    <w:rsid w:val="360F372B"/>
    <w:rsid w:val="365F67B5"/>
    <w:rsid w:val="3680357B"/>
    <w:rsid w:val="37396FCF"/>
    <w:rsid w:val="38083E8B"/>
    <w:rsid w:val="38E8301E"/>
    <w:rsid w:val="39034B84"/>
    <w:rsid w:val="391F7D0D"/>
    <w:rsid w:val="392F4170"/>
    <w:rsid w:val="39651E51"/>
    <w:rsid w:val="3A276989"/>
    <w:rsid w:val="3A4F6C87"/>
    <w:rsid w:val="3ABC364E"/>
    <w:rsid w:val="3AC17052"/>
    <w:rsid w:val="3AFF75EF"/>
    <w:rsid w:val="3B033CCE"/>
    <w:rsid w:val="3B4137C8"/>
    <w:rsid w:val="3B5354FF"/>
    <w:rsid w:val="3B5618E7"/>
    <w:rsid w:val="3C9848C4"/>
    <w:rsid w:val="3D8559E0"/>
    <w:rsid w:val="3DA00EB8"/>
    <w:rsid w:val="3DBD0B63"/>
    <w:rsid w:val="3DE521CE"/>
    <w:rsid w:val="3E686E5A"/>
    <w:rsid w:val="3F2E4A20"/>
    <w:rsid w:val="3F951A23"/>
    <w:rsid w:val="400A5056"/>
    <w:rsid w:val="40BD77BC"/>
    <w:rsid w:val="42521AC2"/>
    <w:rsid w:val="42AE78D2"/>
    <w:rsid w:val="42C863C9"/>
    <w:rsid w:val="433E3DBF"/>
    <w:rsid w:val="44C06851"/>
    <w:rsid w:val="453914D2"/>
    <w:rsid w:val="45472229"/>
    <w:rsid w:val="45F300A8"/>
    <w:rsid w:val="46193674"/>
    <w:rsid w:val="46335EF5"/>
    <w:rsid w:val="46420E48"/>
    <w:rsid w:val="46614318"/>
    <w:rsid w:val="466C19F9"/>
    <w:rsid w:val="471767BD"/>
    <w:rsid w:val="47C2736B"/>
    <w:rsid w:val="4801333A"/>
    <w:rsid w:val="48052FF2"/>
    <w:rsid w:val="482A7E92"/>
    <w:rsid w:val="49385C5F"/>
    <w:rsid w:val="4A9D68A7"/>
    <w:rsid w:val="4B7373EA"/>
    <w:rsid w:val="4B895CA7"/>
    <w:rsid w:val="4BB9722F"/>
    <w:rsid w:val="4BFE795E"/>
    <w:rsid w:val="4C082267"/>
    <w:rsid w:val="4C130983"/>
    <w:rsid w:val="4CDC3A41"/>
    <w:rsid w:val="4D187B54"/>
    <w:rsid w:val="4D9B2E78"/>
    <w:rsid w:val="4DA50D7C"/>
    <w:rsid w:val="4DDC7D48"/>
    <w:rsid w:val="4DE33F6D"/>
    <w:rsid w:val="4E0532FC"/>
    <w:rsid w:val="4E073459"/>
    <w:rsid w:val="4E2C582D"/>
    <w:rsid w:val="4E5840E9"/>
    <w:rsid w:val="4E6D4057"/>
    <w:rsid w:val="4E6F62CE"/>
    <w:rsid w:val="50AB506E"/>
    <w:rsid w:val="50AD214A"/>
    <w:rsid w:val="512D5628"/>
    <w:rsid w:val="51E67189"/>
    <w:rsid w:val="52647EC2"/>
    <w:rsid w:val="52BE5907"/>
    <w:rsid w:val="53310FC5"/>
    <w:rsid w:val="5355519C"/>
    <w:rsid w:val="5524261E"/>
    <w:rsid w:val="55715ED6"/>
    <w:rsid w:val="56423B34"/>
    <w:rsid w:val="565F66E5"/>
    <w:rsid w:val="568A637D"/>
    <w:rsid w:val="57211428"/>
    <w:rsid w:val="577333C3"/>
    <w:rsid w:val="57A96239"/>
    <w:rsid w:val="58180F00"/>
    <w:rsid w:val="58A64632"/>
    <w:rsid w:val="58AC4671"/>
    <w:rsid w:val="58D9377B"/>
    <w:rsid w:val="58E20BC8"/>
    <w:rsid w:val="59AA292C"/>
    <w:rsid w:val="5A450663"/>
    <w:rsid w:val="5AD23B80"/>
    <w:rsid w:val="5B3D0852"/>
    <w:rsid w:val="5C8D735E"/>
    <w:rsid w:val="5C9D5238"/>
    <w:rsid w:val="5CCC6CBC"/>
    <w:rsid w:val="5CF077CA"/>
    <w:rsid w:val="5DA8413A"/>
    <w:rsid w:val="5DB24CB4"/>
    <w:rsid w:val="5E000BD7"/>
    <w:rsid w:val="5ECE7737"/>
    <w:rsid w:val="5F400DBA"/>
    <w:rsid w:val="611C64FD"/>
    <w:rsid w:val="61E96E6C"/>
    <w:rsid w:val="620E04B2"/>
    <w:rsid w:val="62275A79"/>
    <w:rsid w:val="622A6B4F"/>
    <w:rsid w:val="62854A2C"/>
    <w:rsid w:val="62FE1FDB"/>
    <w:rsid w:val="631E4E9B"/>
    <w:rsid w:val="64504424"/>
    <w:rsid w:val="653B7A13"/>
    <w:rsid w:val="665621DC"/>
    <w:rsid w:val="667B4AC8"/>
    <w:rsid w:val="66EC05C0"/>
    <w:rsid w:val="67757CE7"/>
    <w:rsid w:val="67DC33EA"/>
    <w:rsid w:val="67FC59A8"/>
    <w:rsid w:val="687A3A1E"/>
    <w:rsid w:val="691F3F40"/>
    <w:rsid w:val="69835D36"/>
    <w:rsid w:val="69D56562"/>
    <w:rsid w:val="6AB24E38"/>
    <w:rsid w:val="6AB61C31"/>
    <w:rsid w:val="6AF715A8"/>
    <w:rsid w:val="6C2154AD"/>
    <w:rsid w:val="6D0A5CF4"/>
    <w:rsid w:val="6D3878C7"/>
    <w:rsid w:val="6EE161FF"/>
    <w:rsid w:val="6F7E392A"/>
    <w:rsid w:val="70B807CF"/>
    <w:rsid w:val="71FD097C"/>
    <w:rsid w:val="72415C17"/>
    <w:rsid w:val="72554410"/>
    <w:rsid w:val="72944788"/>
    <w:rsid w:val="72D53D3D"/>
    <w:rsid w:val="72F37F28"/>
    <w:rsid w:val="731E476C"/>
    <w:rsid w:val="74737ECA"/>
    <w:rsid w:val="752837B2"/>
    <w:rsid w:val="75440F47"/>
    <w:rsid w:val="75AD7097"/>
    <w:rsid w:val="75E87352"/>
    <w:rsid w:val="75EB028E"/>
    <w:rsid w:val="765243FF"/>
    <w:rsid w:val="77331602"/>
    <w:rsid w:val="774E6DCE"/>
    <w:rsid w:val="77953986"/>
    <w:rsid w:val="7873731B"/>
    <w:rsid w:val="789B75F4"/>
    <w:rsid w:val="78BE1828"/>
    <w:rsid w:val="7AD31DE3"/>
    <w:rsid w:val="7BBF26C6"/>
    <w:rsid w:val="7BCA2039"/>
    <w:rsid w:val="7BD24805"/>
    <w:rsid w:val="7C1D2284"/>
    <w:rsid w:val="7C3655B1"/>
    <w:rsid w:val="7CA565AF"/>
    <w:rsid w:val="7D9850C9"/>
    <w:rsid w:val="7DBC0FCD"/>
    <w:rsid w:val="7DC4764B"/>
    <w:rsid w:val="7DD90004"/>
    <w:rsid w:val="7E003EEF"/>
    <w:rsid w:val="7E017801"/>
    <w:rsid w:val="7ECD4E3E"/>
    <w:rsid w:val="7F2B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2020-01-13T11:28:00Z</dcterms:created>
  <dc:creator>张旭辉</dc:creator>
  <cp:lastModifiedBy>于占峰</cp:lastModifiedBy>
  <cp:lastPrinted>2022-01-10T11:30:00Z</cp:lastPrinted>
  <dcterms:modified xsi:type="dcterms:W3CDTF">2022-01-11T02:20:41Z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