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华文中宋" w:hAnsi="华文中宋" w:eastAsia="华文中宋" w:cs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第一次全国水产养殖种质资源</w:t>
      </w:r>
      <w:r>
        <w:rPr>
          <w:rFonts w:hint="eastAsia" w:ascii="华文中宋" w:hAnsi="华文中宋" w:eastAsia="华文中宋" w:cs="华文中宋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普查</w:t>
      </w:r>
      <w:r>
        <w:rPr>
          <w:rFonts w:hint="eastAsia" w:ascii="华文中宋" w:hAnsi="华文中宋" w:eastAsia="华文中宋" w:cs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实施方案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（2021—2023年）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按照《全国农业种质资源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普查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总体方案（2021—2023年）》要求，为确保三年内启动并完成第一次全国水产养殖种质资源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普查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，特制定本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实施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方案。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before="0" w:line="600" w:lineRule="exact"/>
        <w:ind w:left="924" w:hanging="283"/>
        <w:textAlignment w:val="auto"/>
        <w:rPr>
          <w:rFonts w:hint="eastAsia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一、目的意义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产养殖种质资源作为农业种质资源的重要组成部分，是水产养殖原始创新、推动现代水产种业和水产养殖业高质量发展的必备物质基础。伴随着构建以国内大循环为主体、国内国际双循环相互促进的新发展格局，种业的竞争必将更加激烈和残酷，只有自主掌握重要的核心种质资源，创制过硬的拳头型新品种，才能在这激烈的竞争中拥有主动权。因此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亟需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在全国范围内开展一次水产养殖种质资源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普查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，摸清资源家底状况，加大收集保护力度，推动水产养殖种质资源有序开发利用，为打好种业翻身仗提供物质支撑。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二、主要</w:t>
      </w: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利用3年时间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清我国水产养殖种质资源种类、群体数量、区域分布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保护利用、特征特性及遗传结构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状况，进行资源收集与保护，发布国家水产养殖种质资源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种类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名录，促进种质资源保护与利用。分年度实现以下目标。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2021年，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启动第一次全国水产养殖种质资源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普查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，完成水产养殖种质资源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基本情况普查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；采集并制作遗传材料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2万份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纳入国家种质库保存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；建立水产养殖种质资源数据库。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2022年，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完成水产养殖种质资源特征特性测定、遗传多样性评价等系统调查以及重点区域现场核查；发布一批特色优异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种质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资源；收集一批种质资源纳入保种场保护，相应遗传材料2万份纳入国家种质库保存。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2023年，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全面完成第一次全国水产养殖种质资源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普查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任务，调查、保存、登记等相关信息数据录入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水产养殖种质资源数据库并统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一纳入农业种质资源大数据平台，发布国家水产养殖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种质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资源状况报告和国家水产养殖种质资源种类名录。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</w:t>
      </w: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重点任务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开展水产养殖</w:t>
      </w:r>
      <w:r>
        <w:rPr>
          <w:rFonts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种质资源</w:t>
      </w:r>
      <w:r>
        <w:rPr>
          <w:rFonts w:hint="eastAsia" w:ascii="Times New Roman" w:hAnsi="Times New Roman" w:eastAsia="楷体_GB2312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基本情况</w:t>
      </w:r>
      <w:r>
        <w:rPr>
          <w:rFonts w:hint="eastAsia"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普</w:t>
      </w:r>
      <w:r>
        <w:rPr>
          <w:rFonts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查。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以县域为单位，按照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普查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及水产养殖种质资源普查登记表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（另行通知）要求对当地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养殖场（户）（含水产原良种场、遗传育种中心、苗种场和普通养殖场等）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的鱼、虾蟹、贝、藻、棘皮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动物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、两栖爬行等水产养殖种质资源（包括原种、地方品系、新品种和引进种）种类、群体数量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区域分布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保护利用等情况进行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普查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并采集影像资料，按照技术专家组要求填报普查信息、汇总普查信息和采集制作遗传材料。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以省份为单位，核实和抽查各地普查情况，按照技术专家组要求汇总填报辖区内的普查信息。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开展水产养殖</w:t>
      </w:r>
      <w:r>
        <w:rPr>
          <w:rFonts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种质资源</w:t>
      </w:r>
      <w:r>
        <w:rPr>
          <w:rFonts w:hint="eastAsia"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系统调查</w:t>
      </w:r>
      <w:r>
        <w:rPr>
          <w:rFonts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与收集</w:t>
      </w:r>
      <w:r>
        <w:rPr>
          <w:rFonts w:hint="eastAsia"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保护</w:t>
      </w:r>
      <w:r>
        <w:rPr>
          <w:rFonts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基本情况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普查基础上，依托具有鉴定评价基础和优势的承担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开展水产养殖种质资源的特征特性测定、遗传多样性评价等系统调查以及重点区域现场核查，按照技术专家组要求填报水产养殖种质资源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系统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调查表（另行通知）。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基本情况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普查和系统调查结果，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活体资源纳入保种场保护，相应遗传材料纳入国家种质库保存。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建立水产养殖种质资源数据库和发布资源名录</w:t>
      </w:r>
      <w:r>
        <w:rPr>
          <w:rFonts w:ascii="Times New Roman" w:hAnsi="Times New Roman" w:eastAsia="楷体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在全国统一的农业种质资源大数据平台框架下，建立全国水产养殖种质资源数据库，各地各级相关承担单位按职责分工录入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普查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相关数据。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编写水产养殖种质资源状况报告，发布国家水产养殖种质资源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种类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</w:t>
      </w: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实施期限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（一）实施期限。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2021年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月—2023年12月。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（二）实施范围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分布在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全国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个省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自治</w:t>
      </w:r>
      <w:r>
        <w:rPr>
          <w:rFonts w:hint="eastAsia" w:ascii="仿宋_GB2312" w:hAnsi="仿宋_GB2312" w:eastAsia="仿宋_GB2312" w:cs="仿宋_GB2312"/>
          <w:sz w:val="32"/>
          <w:szCs w:val="32"/>
        </w:rPr>
        <w:t>区、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直辖</w:t>
      </w:r>
      <w:r>
        <w:rPr>
          <w:rFonts w:hint="eastAsia" w:ascii="仿宋_GB2312" w:hAnsi="仿宋_GB2312" w:eastAsia="仿宋_GB2312" w:cs="仿宋_GB2312"/>
          <w:sz w:val="32"/>
          <w:szCs w:val="32"/>
        </w:rPr>
        <w:t>市）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和新疆生产建设兵团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范围内的养殖场（户）。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五、进度安排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（一）2021年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月—2021年12月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印发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普查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实施方案，制定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普查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提纲及相应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普查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表格，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建立全国水产养殖种质资源数据库，开展技术培训指导，全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面启动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普查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为单位开展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基本情况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普查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省级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对辖区内普查情况进行重点督促检查。年底前各省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自治</w:t>
      </w:r>
      <w:r>
        <w:rPr>
          <w:rFonts w:hint="eastAsia" w:ascii="仿宋_GB2312" w:hAnsi="仿宋_GB2312" w:eastAsia="仿宋_GB2312" w:cs="仿宋_GB2312"/>
          <w:sz w:val="32"/>
          <w:szCs w:val="32"/>
        </w:rPr>
        <w:t>区、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直辖</w:t>
      </w:r>
      <w:r>
        <w:rPr>
          <w:rFonts w:hint="eastAsia" w:ascii="仿宋_GB2312" w:hAnsi="仿宋_GB2312" w:eastAsia="仿宋_GB2312" w:cs="仿宋_GB2312"/>
          <w:sz w:val="32"/>
          <w:szCs w:val="32"/>
        </w:rPr>
        <w:t>市）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完成普查任务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，并将省级普查汇总表（包括纸质版和电子版）报全国水产技术推广总站汇总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（二）2022年1月—2023年5月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完成水产养殖种质资源特征特性测定、遗传多样性评价等系统调查以及重点区域现场核查，相关数据录入全国水产养殖种质资源数据库；发布一批特色优异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种质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资源；收集一批活体资源纳入保种场保护，相应遗传材料纳入国家种质库保存。将水产养殖种质资源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系统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调查报告及调查表（包括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纸质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版和电子版）报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中国水产科学研究院汇总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（三）2023年6月—2023年12月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全面完成全国水产养殖种质资源数据库数据核实和入库工作。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中国水产科学研究院负责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编写国家水产养殖种质资源状况报告等技术报告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适时发布国家水产养殖种质资源种类名录。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</w:t>
      </w: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组织保障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（一）加强组织领导。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根据农业农村部农业种质资源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" w:eastAsia="zh-CN"/>
          <w14:textFill>
            <w14:solidFill>
              <w14:schemeClr w14:val="tx1"/>
            </w14:solidFill>
          </w14:textFill>
        </w:rPr>
        <w:t>普查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工作领导小组统一部署，在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农业农村部渔业渔政管理局（会同全国水产技术推广总站、中国水产科学研究院）设立第一次全国水产养殖种质资源普查工作办公室，成立技术专家组。全国水产技术推广总站、中国水产科学研究院分别负责基本情况普查和系统调查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各省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自治</w:t>
      </w:r>
      <w:r>
        <w:rPr>
          <w:rFonts w:hint="eastAsia" w:ascii="仿宋_GB2312" w:hAnsi="仿宋_GB2312" w:eastAsia="仿宋_GB2312" w:cs="仿宋_GB2312"/>
          <w:sz w:val="32"/>
          <w:szCs w:val="32"/>
        </w:rPr>
        <w:t>区、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直辖</w:t>
      </w:r>
      <w:r>
        <w:rPr>
          <w:rFonts w:hint="eastAsia" w:ascii="仿宋_GB2312" w:hAnsi="仿宋_GB2312" w:eastAsia="仿宋_GB2312" w:cs="仿宋_GB2312"/>
          <w:sz w:val="32"/>
          <w:szCs w:val="32"/>
        </w:rPr>
        <w:t>市）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农业农村部门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成立省级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水产养殖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种质资源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普查工作办公室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和技术专家组，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负责本地区水产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养殖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种质资源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普查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工作的组织和实施。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水产养殖种质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资源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普查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技术专家组名单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以及相关技术性材料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另行印发。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（二）强化协调配合。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各地在省级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农业种质资源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普查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领导小组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统一领导下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"/>
          <w14:textFill>
            <w14:solidFill>
              <w14:schemeClr w14:val="tx1"/>
            </w14:solidFill>
          </w14:textFill>
        </w:rPr>
        <w:t>指定相应的技术支撑单位负责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水产养殖种质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资源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普查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"/>
          <w14:textFill>
            <w14:solidFill>
              <w14:schemeClr w14:val="tx1"/>
            </w14:solidFill>
          </w14:textFill>
        </w:rPr>
        <w:t>具体组织实施。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农业农村部门承担本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行政区域水产养殖种质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普查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工作，成立专业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普查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队伍，充分发挥基层水产技术推广机构、村级防疫员作用，广泛动员和组织社会力量完成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普查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工作，按时上报相关数据，配合做好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普查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各项工作。各有关单位要履行职责、协作配合，共同做好本次资源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普查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（三）强化专业支撑。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要发挥技术专家组作用，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根据工作需要，国家和省级技术专家组可设立鱼、虾蟹、贝、藻等专业组，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由全国水产技术推广总站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组织开展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国家技术专家组普查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培训，解读实施方案及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普查提纲。各省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自治</w:t>
      </w:r>
      <w:r>
        <w:rPr>
          <w:rFonts w:hint="eastAsia" w:ascii="仿宋_GB2312" w:hAnsi="仿宋_GB2312" w:eastAsia="仿宋_GB2312" w:cs="仿宋_GB2312"/>
          <w:sz w:val="32"/>
          <w:szCs w:val="32"/>
        </w:rPr>
        <w:t>区、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直辖</w:t>
      </w:r>
      <w:r>
        <w:rPr>
          <w:rFonts w:hint="eastAsia" w:ascii="仿宋_GB2312" w:hAnsi="仿宋_GB2312" w:eastAsia="仿宋_GB2312" w:cs="仿宋_GB2312"/>
          <w:sz w:val="32"/>
          <w:szCs w:val="32"/>
        </w:rPr>
        <w:t>市）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选派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专家，对普查队开展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培训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现场指导和咨询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等工作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，确保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普查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方法统一规范，调查数据全面真实可靠。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充分发挥国家和省级现代农业产业技术体系作用，加大对种质资源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普查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工作的支持力度。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第一次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"/>
          <w14:textFill>
            <w14:solidFill>
              <w14:schemeClr w14:val="tx1"/>
            </w14:solidFill>
          </w14:textFill>
        </w:rPr>
        <w:t>全国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水产养殖种质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"/>
          <w14:textFill>
            <w14:solidFill>
              <w14:schemeClr w14:val="tx1"/>
            </w14:solidFill>
          </w14:textFill>
        </w:rPr>
        <w:t>资源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普查提纲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普查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"/>
          <w14:textFill>
            <w14:solidFill>
              <w14:schemeClr w14:val="tx1"/>
            </w14:solidFill>
          </w14:textFill>
        </w:rPr>
        <w:t>系列表格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"/>
          <w14:textFill>
            <w14:solidFill>
              <w14:schemeClr w14:val="tx1"/>
            </w14:solidFill>
          </w14:textFill>
        </w:rPr>
        <w:t>材料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在农业农村部渔业渔政管理局官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"/>
          <w14:textFill>
            <w14:solidFill>
              <w14:schemeClr w14:val="tx1"/>
            </w14:solidFill>
          </w14:textFill>
        </w:rPr>
        <w:t>网（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"/>
          <w14:textFill>
            <w14:solidFill>
              <w14:schemeClr w14:val="tx1"/>
            </w14:solidFill>
          </w14:textFill>
        </w:rPr>
        <w:t>http://www.yyj.moa.gov.cn/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另行通知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联系人及联系方式：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农业农村部渔业渔政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管理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孙广伟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陈家勇，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010-59192918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2930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10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sgw202011</w:t>
      </w:r>
      <w:r>
        <w:rPr>
          <w:rStyle w:val="10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@</w:t>
      </w:r>
      <w:r>
        <w:rPr>
          <w:rStyle w:val="10"/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163.com</w:t>
      </w:r>
      <w:r>
        <w:rPr>
          <w:rStyle w:val="10"/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基本情况普查由全国水产技术推广总站负责，联系人：王建波，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instrText xml:space="preserve"> HYPERLINK "mailto:010-59195078，邮箱aquseed@163.com" </w:instrTex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010-59195078</w:t>
      </w:r>
      <w:r>
        <w:rPr>
          <w:rStyle w:val="10"/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10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aquseed</w:t>
      </w:r>
      <w:r>
        <w:rPr>
          <w:rStyle w:val="10"/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@</w:t>
      </w:r>
      <w:r>
        <w:rPr>
          <w:rStyle w:val="10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163.com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系统调查由中国水产科学研究院负责，联系人：方辉，010-68673952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fanghui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@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cafs.ac.cn。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4-1.第一次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全国水产养殖种质资源普查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技术路线图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2236" w:leftChars="760" w:hanging="640" w:hanging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4-2.第一次全国水产养殖种质资源普查工作办公室成员名单</w:t>
      </w:r>
    </w:p>
    <w:p>
      <w:pP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bidi="ar"/>
        </w:rPr>
        <w:br w:type="page"/>
      </w:r>
    </w:p>
    <w:p>
      <w:pPr>
        <w:widowControl/>
        <w:spacing w:line="520" w:lineRule="atLeas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 w:bidi="ar"/>
        </w:rPr>
        <w:t>4-1</w:t>
      </w:r>
    </w:p>
    <w:p>
      <w:pPr>
        <w:widowControl/>
        <w:spacing w:line="520" w:lineRule="atLeast"/>
        <w:rPr>
          <w:rFonts w:hint="default" w:ascii="黑体" w:hAnsi="黑体" w:eastAsia="黑体" w:cs="黑体"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sz w:val="36"/>
          <w:szCs w:val="36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6"/>
          <w:szCs w:val="36"/>
          <w:lang w:eastAsia="zh-CN" w:bidi="ar"/>
          <w14:textFill>
            <w14:solidFill>
              <w14:schemeClr w14:val="tx1"/>
            </w14:solidFill>
          </w14:textFill>
        </w:rPr>
        <w:t>第一次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6"/>
          <w:szCs w:val="36"/>
          <w:lang w:bidi="ar"/>
          <w14:textFill>
            <w14:solidFill>
              <w14:schemeClr w14:val="tx1"/>
            </w14:solidFill>
          </w14:textFill>
        </w:rPr>
        <w:t>全国水产养殖种质资源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6"/>
          <w:szCs w:val="36"/>
          <w:lang w:eastAsia="zh-CN" w:bidi="ar"/>
          <w14:textFill>
            <w14:solidFill>
              <w14:schemeClr w14:val="tx1"/>
            </w14:solidFill>
          </w14:textFill>
        </w:rPr>
        <w:t>普查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6"/>
          <w:szCs w:val="36"/>
          <w:lang w:bidi="ar"/>
          <w14:textFill>
            <w14:solidFill>
              <w14:schemeClr w14:val="tx1"/>
            </w14:solidFill>
          </w14:textFill>
        </w:rPr>
        <w:t>技术路线</w:t>
      </w:r>
    </w:p>
    <w:p>
      <w:pPr>
        <w:widowControl/>
        <w:spacing w:line="520" w:lineRule="atLeas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bidi="ar"/>
        </w:rPr>
      </w:pPr>
    </w:p>
    <w:p>
      <w:pPr>
        <w:widowControl/>
        <w:spacing w:line="520" w:lineRule="atLeas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bidi="ar"/>
        </w:rPr>
      </w:pPr>
      <w:r>
        <w:drawing>
          <wp:inline distT="0" distB="0" distL="114300" distR="114300">
            <wp:extent cx="5271135" cy="3796665"/>
            <wp:effectExtent l="0" t="0" r="5715" b="1333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9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210" w:after="210" w:line="520" w:lineRule="atLeast"/>
        <w:rPr>
          <w:rFonts w:hint="eastAsia" w:ascii="黑体" w:hAnsi="黑体" w:eastAsia="黑体" w:cs="黑体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bidi="ar"/>
        </w:rPr>
        <w:br w:type="page"/>
      </w:r>
    </w:p>
    <w:p>
      <w:pPr>
        <w:widowControl/>
        <w:jc w:val="left"/>
        <w:textAlignment w:val="center"/>
        <w:rPr>
          <w:rFonts w:hint="default" w:ascii="黑体" w:hAnsi="黑体" w:eastAsia="黑体" w:cs="黑体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eastAsia="zh-CN" w:bidi="ar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 w:bidi="ar"/>
        </w:rPr>
        <w:t>4-2</w:t>
      </w:r>
    </w:p>
    <w:p>
      <w:pPr>
        <w:spacing w:line="600" w:lineRule="exact"/>
        <w:ind w:left="0" w:leftChars="0" w:firstLine="0" w:firstLineChars="0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</w:p>
    <w:p>
      <w:pPr>
        <w:spacing w:line="600" w:lineRule="exact"/>
        <w:ind w:left="0" w:leftChars="0" w:firstLine="0" w:firstLineChars="0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第一次全国水产养殖种质资源普查工作</w:t>
      </w:r>
    </w:p>
    <w:p>
      <w:pPr>
        <w:spacing w:line="600" w:lineRule="exact"/>
        <w:ind w:left="0" w:leftChars="0" w:firstLine="0" w:firstLineChars="0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办公室成员名单</w:t>
      </w:r>
    </w:p>
    <w:p>
      <w:pPr>
        <w:spacing w:line="600" w:lineRule="exact"/>
        <w:ind w:left="0" w:leftChars="0" w:firstLine="0" w:firstLineChars="0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</w:p>
    <w:p>
      <w:pPr>
        <w:spacing w:line="60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主  任：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李书民  渔业渔政管理局一级巡视员</w:t>
      </w:r>
    </w:p>
    <w:p>
      <w:pPr>
        <w:spacing w:line="600" w:lineRule="exact"/>
        <w:ind w:left="2570" w:leftChars="0" w:hanging="2570" w:hangingChars="8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副主任：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刘英杰  中国水产科学研究院副院长</w:t>
      </w:r>
    </w:p>
    <w:p>
      <w:pPr>
        <w:spacing w:line="600" w:lineRule="exact"/>
        <w:ind w:left="2557" w:leftChars="608" w:hanging="1280" w:hangingChars="4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胡红浪  全国水产技术推广总站副站长</w:t>
      </w:r>
    </w:p>
    <w:p>
      <w:pPr>
        <w:spacing w:line="60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成  员：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陈家勇  渔业渔政管理局养殖处处长、一级调研员</w:t>
      </w:r>
    </w:p>
    <w:p>
      <w:pPr>
        <w:spacing w:line="600" w:lineRule="exact"/>
        <w:ind w:left="0" w:leftChars="0" w:firstLine="1280" w:firstLineChars="4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方  辉  中国水产科学研究院科研处处长</w:t>
      </w:r>
    </w:p>
    <w:p>
      <w:pPr>
        <w:spacing w:line="600" w:lineRule="exact"/>
        <w:ind w:left="0" w:leftChars="0" w:firstLine="1280" w:firstLineChars="4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王建波  全国水产技术推广总站苗种处副处长</w:t>
      </w:r>
    </w:p>
    <w:sectPr>
      <w:headerReference r:id="rId3" w:type="default"/>
      <w:footerReference r:id="rId4" w:type="default"/>
      <w:pgSz w:w="11906" w:h="16838"/>
      <w:pgMar w:top="1701" w:right="1800" w:bottom="170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618"/>
    <w:rsid w:val="00017949"/>
    <w:rsid w:val="001125B4"/>
    <w:rsid w:val="00206BCD"/>
    <w:rsid w:val="00234895"/>
    <w:rsid w:val="00646EAD"/>
    <w:rsid w:val="00691BC4"/>
    <w:rsid w:val="00D808EE"/>
    <w:rsid w:val="00D940CF"/>
    <w:rsid w:val="00F06618"/>
    <w:rsid w:val="01752115"/>
    <w:rsid w:val="01854A5B"/>
    <w:rsid w:val="02874C8A"/>
    <w:rsid w:val="02B17A27"/>
    <w:rsid w:val="044F1E53"/>
    <w:rsid w:val="05DB7A70"/>
    <w:rsid w:val="06175F9A"/>
    <w:rsid w:val="064D5E48"/>
    <w:rsid w:val="084159A2"/>
    <w:rsid w:val="08B841C5"/>
    <w:rsid w:val="0AFE3464"/>
    <w:rsid w:val="0BE4603F"/>
    <w:rsid w:val="0C260F3E"/>
    <w:rsid w:val="0C9F1B67"/>
    <w:rsid w:val="0D647B06"/>
    <w:rsid w:val="0E504EC7"/>
    <w:rsid w:val="0F865EA3"/>
    <w:rsid w:val="0F8E5D4B"/>
    <w:rsid w:val="0FE65701"/>
    <w:rsid w:val="106F5855"/>
    <w:rsid w:val="11B511D3"/>
    <w:rsid w:val="12BE0530"/>
    <w:rsid w:val="12BF5BA9"/>
    <w:rsid w:val="139A4C81"/>
    <w:rsid w:val="13F33297"/>
    <w:rsid w:val="144D5FC2"/>
    <w:rsid w:val="170144D1"/>
    <w:rsid w:val="17120480"/>
    <w:rsid w:val="17C53B82"/>
    <w:rsid w:val="17F64D95"/>
    <w:rsid w:val="191A0A99"/>
    <w:rsid w:val="1A244835"/>
    <w:rsid w:val="1AC022B5"/>
    <w:rsid w:val="1AD9043E"/>
    <w:rsid w:val="1DEC0337"/>
    <w:rsid w:val="204B268A"/>
    <w:rsid w:val="20BA52D5"/>
    <w:rsid w:val="22270773"/>
    <w:rsid w:val="238E515A"/>
    <w:rsid w:val="24C35C52"/>
    <w:rsid w:val="26BF6FDE"/>
    <w:rsid w:val="287D22E8"/>
    <w:rsid w:val="2A263237"/>
    <w:rsid w:val="2A9651C9"/>
    <w:rsid w:val="2AC604DD"/>
    <w:rsid w:val="2AF91042"/>
    <w:rsid w:val="2B5702B8"/>
    <w:rsid w:val="2CAB48D1"/>
    <w:rsid w:val="2ED33ECB"/>
    <w:rsid w:val="2FDF4CCD"/>
    <w:rsid w:val="31AB09B8"/>
    <w:rsid w:val="32EE5704"/>
    <w:rsid w:val="334E6FAB"/>
    <w:rsid w:val="33FC4A23"/>
    <w:rsid w:val="33FF4418"/>
    <w:rsid w:val="343D1FF2"/>
    <w:rsid w:val="35753AEF"/>
    <w:rsid w:val="368C31FE"/>
    <w:rsid w:val="36B543B6"/>
    <w:rsid w:val="373A6880"/>
    <w:rsid w:val="39206081"/>
    <w:rsid w:val="3A277C67"/>
    <w:rsid w:val="3AAA7C7B"/>
    <w:rsid w:val="3BCC55E8"/>
    <w:rsid w:val="3C277A26"/>
    <w:rsid w:val="3C8E5A44"/>
    <w:rsid w:val="3D3D6311"/>
    <w:rsid w:val="3DA374C8"/>
    <w:rsid w:val="3E174067"/>
    <w:rsid w:val="3E2439D1"/>
    <w:rsid w:val="3EFD3E99"/>
    <w:rsid w:val="3FFB4025"/>
    <w:rsid w:val="404049B2"/>
    <w:rsid w:val="40705F24"/>
    <w:rsid w:val="40800AB1"/>
    <w:rsid w:val="411A58F5"/>
    <w:rsid w:val="421152AF"/>
    <w:rsid w:val="44087628"/>
    <w:rsid w:val="44E14CC6"/>
    <w:rsid w:val="45D57E85"/>
    <w:rsid w:val="461E0405"/>
    <w:rsid w:val="464E48C2"/>
    <w:rsid w:val="467F32EA"/>
    <w:rsid w:val="46E44FFE"/>
    <w:rsid w:val="48311916"/>
    <w:rsid w:val="48B02DEA"/>
    <w:rsid w:val="49E21FAB"/>
    <w:rsid w:val="4BA1255D"/>
    <w:rsid w:val="4E3941CC"/>
    <w:rsid w:val="4EFE6EFA"/>
    <w:rsid w:val="4F194F83"/>
    <w:rsid w:val="4FD2317B"/>
    <w:rsid w:val="501B1C06"/>
    <w:rsid w:val="50524AD1"/>
    <w:rsid w:val="51AA7254"/>
    <w:rsid w:val="527029FA"/>
    <w:rsid w:val="53D8478F"/>
    <w:rsid w:val="54490A5A"/>
    <w:rsid w:val="545A1EDD"/>
    <w:rsid w:val="5543257A"/>
    <w:rsid w:val="55A7371C"/>
    <w:rsid w:val="57F64222"/>
    <w:rsid w:val="580A7B9E"/>
    <w:rsid w:val="5821463D"/>
    <w:rsid w:val="58EC7852"/>
    <w:rsid w:val="5BAE74B8"/>
    <w:rsid w:val="5BC864A3"/>
    <w:rsid w:val="5E595E4A"/>
    <w:rsid w:val="5F282344"/>
    <w:rsid w:val="5F9773C1"/>
    <w:rsid w:val="5FBF4E83"/>
    <w:rsid w:val="5FDE26F5"/>
    <w:rsid w:val="5FF52FB1"/>
    <w:rsid w:val="605F378A"/>
    <w:rsid w:val="612B35D1"/>
    <w:rsid w:val="62210C3F"/>
    <w:rsid w:val="64842A29"/>
    <w:rsid w:val="64FE47E1"/>
    <w:rsid w:val="650D1A45"/>
    <w:rsid w:val="68021E68"/>
    <w:rsid w:val="689A3CEB"/>
    <w:rsid w:val="693557B7"/>
    <w:rsid w:val="6A881C2E"/>
    <w:rsid w:val="6B6F7EE7"/>
    <w:rsid w:val="6BDE215C"/>
    <w:rsid w:val="6C155500"/>
    <w:rsid w:val="6C2940C1"/>
    <w:rsid w:val="6D9949CD"/>
    <w:rsid w:val="6EBA0FED"/>
    <w:rsid w:val="6F192C6A"/>
    <w:rsid w:val="6F9B3683"/>
    <w:rsid w:val="6FC60BF8"/>
    <w:rsid w:val="7038589A"/>
    <w:rsid w:val="711C6532"/>
    <w:rsid w:val="7126033D"/>
    <w:rsid w:val="717A0E75"/>
    <w:rsid w:val="732C535A"/>
    <w:rsid w:val="732D532D"/>
    <w:rsid w:val="73C520AC"/>
    <w:rsid w:val="73F557A6"/>
    <w:rsid w:val="75183F77"/>
    <w:rsid w:val="753F7FAD"/>
    <w:rsid w:val="75AF4F67"/>
    <w:rsid w:val="76157206"/>
    <w:rsid w:val="78A646B1"/>
    <w:rsid w:val="7A853552"/>
    <w:rsid w:val="7C077FB4"/>
    <w:rsid w:val="7C2B327E"/>
    <w:rsid w:val="7D7F0538"/>
    <w:rsid w:val="7E1E52A5"/>
    <w:rsid w:val="7E4234E6"/>
    <w:rsid w:val="7E71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widowControl w:val="0"/>
      <w:autoSpaceDE w:val="0"/>
      <w:autoSpaceDN w:val="0"/>
      <w:spacing w:before="34"/>
      <w:ind w:left="921" w:hanging="282"/>
      <w:outlineLvl w:val="1"/>
    </w:pPr>
    <w:rPr>
      <w:rFonts w:ascii="黑体" w:hAnsi="黑体" w:eastAsia="黑体" w:cs="黑体"/>
      <w:sz w:val="28"/>
      <w:szCs w:val="28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4">
    <w:name w:val="Body Text"/>
    <w:basedOn w:val="1"/>
    <w:unhideWhenUsed/>
    <w:qFormat/>
    <w:uiPriority w:val="99"/>
    <w:pPr>
      <w:spacing w:after="120"/>
    </w:pPr>
    <w:rPr>
      <w:rFonts w:ascii="等线" w:hAnsi="等线" w:eastAsia="等线" w:cs="Times New Roman"/>
      <w:szCs w:val="22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</w:pPr>
  </w:style>
  <w:style w:type="paragraph" w:styleId="8">
    <w:name w:val="annotation subject"/>
    <w:basedOn w:val="3"/>
    <w:next w:val="3"/>
    <w:link w:val="18"/>
    <w:semiHidden/>
    <w:unhideWhenUsed/>
    <w:qFormat/>
    <w:uiPriority w:val="99"/>
    <w:rPr>
      <w:b/>
      <w:bCs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7">
    <w:name w:val="批注文字 Char"/>
    <w:basedOn w:val="10"/>
    <w:link w:val="3"/>
    <w:semiHidden/>
    <w:qFormat/>
    <w:uiPriority w:val="99"/>
  </w:style>
  <w:style w:type="character" w:customStyle="1" w:styleId="18">
    <w:name w:val="批注主题 Char"/>
    <w:basedOn w:val="17"/>
    <w:link w:val="8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250</Words>
  <Characters>1430</Characters>
  <Lines>11</Lines>
  <Paragraphs>3</Paragraphs>
  <TotalTime>41</TotalTime>
  <ScaleCrop>false</ScaleCrop>
  <LinksUpToDate>false</LinksUpToDate>
  <CharactersWithSpaces>1677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2021-03-13T08:27:00Z</dcterms:created>
  <dc:creator>LI LING</dc:creator>
  <cp:lastModifiedBy>燃烧的冰</cp:lastModifiedBy>
  <cp:lastPrinted>2021-03-19T08:02:00Z</cp:lastPrinted>
  <dcterms:modified xsi:type="dcterms:W3CDTF">2021-03-24T07:13:27Z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6F852EF6A5F045CBBB12A48C284D02FB</vt:lpwstr>
  </property>
</Properties>
</file>