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关于自治区第一轮第三批生态环境保护督察反馈问题（地区序号第43号）整改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E/>
        <w:autoSpaceDN/>
        <w:bidi w:val="0"/>
        <w:spacing w:after="12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after="12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地区序号第43</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beforeAutospacing="0" w:after="12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rPr>
        <w:t>一、整改任务</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额敏城北污水厂长期超标问题突出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未按排污许可证要求定期开展自行监测。2022年12月9日至督察进驻，污水处理设施长达130天运行不正</w:t>
      </w:r>
      <w:bookmarkStart w:id="0" w:name="_GoBack"/>
      <w:bookmarkEnd w:id="0"/>
      <w:r>
        <w:rPr>
          <w:rFonts w:hint="default" w:ascii="仿宋_GB2312" w:hAnsi="仿宋_GB2312" w:eastAsia="仿宋_GB2312" w:cs="仿宋_GB2312"/>
          <w:sz w:val="32"/>
          <w:szCs w:val="32"/>
          <w:lang w:val="en-US" w:eastAsia="zh-CN"/>
        </w:rPr>
        <w:t>常，运营方在未提交拆除设备申请、未经生态环境保护部门批准的情况下，擅自拆除自动监控设备。</w:t>
      </w:r>
    </w:p>
    <w:p>
      <w:pPr>
        <w:keepNext w:val="0"/>
        <w:keepLines w:val="0"/>
        <w:pageBreakBefore w:val="0"/>
        <w:widowControl w:val="0"/>
        <w:kinsoku/>
        <w:wordWrap/>
        <w:overflowPunct/>
        <w:topLinePunct w:val="0"/>
        <w:autoSpaceDE/>
        <w:autoSpaceDN/>
        <w:bidi w:val="0"/>
        <w:adjustRightInd/>
        <w:snapToGrid/>
        <w:spacing w:beforeAutospacing="0" w:after="12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rPr>
        <w:t>二、整改时限</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立行立改</w:t>
      </w:r>
    </w:p>
    <w:p>
      <w:pPr>
        <w:keepNext w:val="0"/>
        <w:keepLines w:val="0"/>
        <w:pageBreakBefore w:val="0"/>
        <w:widowControl w:val="0"/>
        <w:kinsoku/>
        <w:wordWrap/>
        <w:overflowPunct/>
        <w:topLinePunct w:val="0"/>
        <w:autoSpaceDE/>
        <w:autoSpaceDN/>
        <w:bidi w:val="0"/>
        <w:adjustRightInd/>
        <w:snapToGrid/>
        <w:spacing w:beforeAutospacing="0" w:after="12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rPr>
        <w:t>三、整改目标</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按照生态环境管理要求运行和维护污染防治设施，</w:t>
      </w:r>
      <w:r>
        <w:rPr>
          <w:rFonts w:hint="eastAsia" w:ascii="仿宋_GB2312" w:hAnsi="仿宋_GB2312" w:eastAsia="仿宋_GB2312" w:cs="仿宋_GB2312"/>
          <w:sz w:val="32"/>
          <w:szCs w:val="32"/>
          <w:lang w:val="en-US" w:eastAsia="zh-CN"/>
        </w:rPr>
        <w:t>保障自行监测设备稳定运行，确保在线监控设施稳定传输数据。</w:t>
      </w:r>
    </w:p>
    <w:p>
      <w:pPr>
        <w:keepNext w:val="0"/>
        <w:keepLines w:val="0"/>
        <w:pageBreakBefore w:val="0"/>
        <w:widowControl w:val="0"/>
        <w:kinsoku/>
        <w:wordWrap/>
        <w:overflowPunct/>
        <w:topLinePunct w:val="0"/>
        <w:autoSpaceDE/>
        <w:autoSpaceDN/>
        <w:bidi w:val="0"/>
        <w:adjustRightInd/>
        <w:snapToGrid/>
        <w:spacing w:beforeAutospacing="0" w:after="12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lang w:val="en-US" w:eastAsia="zh-CN"/>
        </w:rPr>
        <w:t>四、</w:t>
      </w:r>
      <w:r>
        <w:rPr>
          <w:rFonts w:hint="eastAsia" w:ascii="宋体" w:hAnsi="宋体" w:eastAsia="黑体" w:cs="黑体"/>
          <w:sz w:val="32"/>
        </w:rPr>
        <w:t>整改措施</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督促企业按照相关规范建设在线自动监控设备并与生态环境部门联网。</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生态环境</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对企业污水处理设施运行不正常，擅自拆除在线监测设备的违法行为进行立案查处。</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生态环境</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依法对该企业未按照排污许可要求开展自行监测违法行为进行调查，并督促排污企业（清源污水厂）严格按照排污许可规定和有关技术规范，开展自行监测，并及时提交监测报告。</w:t>
      </w:r>
    </w:p>
    <w:p>
      <w:pPr>
        <w:keepNext w:val="0"/>
        <w:keepLines w:val="0"/>
        <w:pageBreakBefore w:val="0"/>
        <w:widowControl w:val="0"/>
        <w:kinsoku/>
        <w:wordWrap/>
        <w:overflowPunct/>
        <w:topLinePunct w:val="0"/>
        <w:autoSpaceDE/>
        <w:autoSpaceDN/>
        <w:bidi w:val="0"/>
        <w:adjustRightInd/>
        <w:snapToGrid/>
        <w:spacing w:beforeAutospacing="0" w:after="120" w:afterAutospacing="0" w:line="560" w:lineRule="exact"/>
        <w:ind w:left="0" w:leftChars="0" w:right="0" w:rightChars="0" w:firstLine="640" w:firstLineChars="200"/>
        <w:jc w:val="both"/>
        <w:textAlignment w:val="auto"/>
        <w:rPr>
          <w:rFonts w:hint="eastAsia" w:ascii="宋体" w:hAnsi="宋体" w:eastAsia="黑体" w:cs="黑体"/>
          <w:sz w:val="32"/>
        </w:rPr>
      </w:pPr>
      <w:r>
        <w:rPr>
          <w:rFonts w:hint="eastAsia" w:ascii="宋体" w:hAnsi="宋体" w:eastAsia="黑体" w:cs="黑体"/>
          <w:sz w:val="32"/>
          <w:lang w:eastAsia="zh-CN"/>
        </w:rPr>
        <w:t>五、</w:t>
      </w:r>
      <w:r>
        <w:rPr>
          <w:rFonts w:hint="eastAsia" w:ascii="宋体" w:hAnsi="宋体" w:eastAsia="黑体" w:cs="黑体"/>
          <w:sz w:val="32"/>
        </w:rPr>
        <w:t>完成情况</w:t>
      </w:r>
    </w:p>
    <w:p>
      <w:pPr>
        <w:keepNext w:val="0"/>
        <w:keepLines w:val="0"/>
        <w:pageBreakBefore w:val="0"/>
        <w:numPr>
          <w:ilvl w:val="0"/>
          <w:numId w:val="0"/>
        </w:numPr>
        <w:kinsoku/>
        <w:wordWrap/>
        <w:overflowPunct/>
        <w:topLinePunct w:val="0"/>
        <w:autoSpaceDE/>
        <w:autoSpaceDN/>
        <w:bidi w:val="0"/>
        <w:spacing w:beforeAutospacing="0" w:after="12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1.2023年5月31日该污水厂进口在线设备已调试完毕，具备联网条件申请联网；城北污水厂已完成在线监测设备安装调试报告及企业自行监测方案。</w:t>
      </w:r>
    </w:p>
    <w:p>
      <w:pPr>
        <w:keepNext w:val="0"/>
        <w:keepLines w:val="0"/>
        <w:pageBreakBefore w:val="0"/>
        <w:numPr>
          <w:ilvl w:val="0"/>
          <w:numId w:val="0"/>
        </w:numPr>
        <w:kinsoku/>
        <w:wordWrap/>
        <w:overflowPunct/>
        <w:topLinePunct w:val="0"/>
        <w:autoSpaceDE/>
        <w:autoSpaceDN/>
        <w:bidi w:val="0"/>
        <w:spacing w:beforeAutospacing="0" w:after="12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lang w:val="en-US" w:eastAsia="zh-CN"/>
        </w:rPr>
        <w:t>2023年4月18日，塔城地区生态环境局额敏县分局组织3名执法人员，对额敏清源污水处理厂水污染环境问题进行现场调查，现场发现该公司2号氧化沟未培养完成，未能达到对污水处理的要求，污水经巴氏计量槽外排至兵团第九师中水库；未经同意擅自拆除更换监控设备，造成水污染治理设施未运行涉嫌违反环境违法，现场分别对该企业负责人王晨曦、管理人员周鹏、李玉梅等有关人员进行了调查谈话，</w:t>
      </w:r>
      <w:r>
        <w:rPr>
          <w:rFonts w:hint="eastAsia" w:ascii="仿宋_GB2312" w:hAnsi="仿宋_GB2312" w:eastAsia="仿宋_GB2312" w:cs="仿宋_GB2312"/>
          <w:b w:val="0"/>
          <w:bCs w:val="0"/>
          <w:sz w:val="32"/>
          <w:szCs w:val="32"/>
          <w:lang w:val="en-US" w:eastAsia="zh-CN"/>
        </w:rPr>
        <w:t>要求该公司制定自行监测方案；督促该公司于2023年5月与乌鲁木齐恒源净化环保科技有限公司签订检测合同。</w:t>
      </w:r>
    </w:p>
    <w:p>
      <w:pPr>
        <w:keepNext w:val="0"/>
        <w:keepLines w:val="0"/>
        <w:pageBreakBefore w:val="0"/>
        <w:numPr>
          <w:ilvl w:val="0"/>
          <w:numId w:val="0"/>
        </w:numPr>
        <w:kinsoku/>
        <w:wordWrap/>
        <w:overflowPunct/>
        <w:topLinePunct w:val="0"/>
        <w:autoSpaceDE/>
        <w:autoSpaceDN/>
        <w:bidi w:val="0"/>
        <w:spacing w:beforeAutospacing="0" w:after="120" w:afterAutospacing="0" w:line="560" w:lineRule="exact"/>
        <w:ind w:firstLine="640" w:firstLineChars="200"/>
        <w:jc w:val="both"/>
        <w:textAlignment w:val="auto"/>
        <w:rPr>
          <w:rFonts w:hint="eastAsia"/>
        </w:rPr>
      </w:pPr>
      <w:r>
        <w:rPr>
          <w:rFonts w:hint="eastAsia" w:ascii="仿宋_GB2312" w:hAnsi="仿宋_GB2312" w:eastAsia="仿宋_GB2312" w:cs="仿宋_GB2312"/>
          <w:b w:val="0"/>
          <w:bCs w:val="0"/>
          <w:sz w:val="32"/>
          <w:szCs w:val="32"/>
          <w:lang w:val="en-US" w:eastAsia="zh-CN"/>
        </w:rPr>
        <w:t>3.2</w:t>
      </w:r>
      <w:r>
        <w:rPr>
          <w:rFonts w:hint="eastAsia" w:ascii="仿宋_GB2312" w:hAnsi="仿宋_GB2312" w:eastAsia="仿宋_GB2312" w:cs="仿宋_GB2312"/>
          <w:color w:val="auto"/>
          <w:kern w:val="2"/>
          <w:sz w:val="32"/>
          <w:szCs w:val="32"/>
          <w:lang w:val="en-US" w:eastAsia="zh-CN" w:bidi="ar-SA"/>
        </w:rPr>
        <w:t>023年4月18日，</w:t>
      </w:r>
      <w:r>
        <w:rPr>
          <w:rFonts w:hint="eastAsia" w:ascii="仿宋_GB2312" w:hAnsi="仿宋_GB2312" w:eastAsia="仿宋_GB2312" w:cs="仿宋_GB2312"/>
          <w:sz w:val="32"/>
          <w:szCs w:val="32"/>
          <w:lang w:val="en-US" w:eastAsia="zh-CN"/>
        </w:rPr>
        <w:t>塔城地区生态环境局额敏县分局</w:t>
      </w:r>
      <w:r>
        <w:rPr>
          <w:rFonts w:hint="eastAsia" w:ascii="仿宋_GB2312" w:hAnsi="仿宋_GB2312" w:eastAsia="仿宋_GB2312" w:cs="仿宋_GB2312"/>
          <w:color w:val="auto"/>
          <w:kern w:val="2"/>
          <w:sz w:val="32"/>
          <w:szCs w:val="32"/>
          <w:lang w:val="en-US" w:eastAsia="zh-CN" w:bidi="ar-SA"/>
        </w:rPr>
        <w:t>立案依法查处，</w:t>
      </w:r>
      <w:r>
        <w:rPr>
          <w:rFonts w:hint="eastAsia" w:ascii="仿宋_GB2312" w:hAnsi="仿宋_GB2312" w:eastAsia="仿宋_GB2312" w:cs="仿宋_GB2312"/>
          <w:b w:val="0"/>
          <w:bCs w:val="0"/>
          <w:sz w:val="32"/>
          <w:szCs w:val="32"/>
          <w:lang w:val="en-US" w:eastAsia="zh-CN"/>
        </w:rPr>
        <w:t>及时组织第三方监测机构于对该公司进行了5次采样监督性监测；并</w:t>
      </w:r>
      <w:r>
        <w:rPr>
          <w:rFonts w:hint="eastAsia" w:ascii="仿宋_GB2312" w:hAnsi="仿宋_GB2312" w:eastAsia="仿宋_GB2312" w:cs="仿宋_GB2312"/>
          <w:color w:val="auto"/>
          <w:kern w:val="2"/>
          <w:sz w:val="32"/>
          <w:szCs w:val="32"/>
          <w:lang w:val="en-US" w:eastAsia="zh-CN" w:bidi="ar-SA"/>
        </w:rPr>
        <w:t>根据对该公司环境违法行为调查认定，下达了《塔城地区生态环境局行政处罚决定书》塔地环额罚字</w:t>
      </w:r>
      <w:r>
        <w:rPr>
          <w:rFonts w:hint="eastAsia" w:ascii="宋体" w:hAnsi="宋体" w:eastAsia="宋体" w:cs="宋体"/>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2023</w:t>
      </w:r>
      <w:r>
        <w:rPr>
          <w:rFonts w:hint="eastAsia" w:ascii="宋体" w:hAnsi="宋体" w:eastAsia="宋体" w:cs="宋体"/>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4号。</w:t>
      </w:r>
      <w:r>
        <w:rPr>
          <w:rFonts w:hint="eastAsia" w:ascii="仿宋_GB2312" w:hAnsi="仿宋_GB2312" w:eastAsia="仿宋_GB2312" w:cs="仿宋_GB2312"/>
          <w:b w:val="0"/>
          <w:bCs w:val="0"/>
          <w:sz w:val="32"/>
          <w:szCs w:val="32"/>
          <w:lang w:val="en-US" w:eastAsia="zh-CN"/>
        </w:rPr>
        <w:t>2023年9月6日，塔城地区下达《塔城地区行政复议答复通知书》（塔地复受字</w:t>
      </w:r>
      <w:r>
        <w:rPr>
          <w:rFonts w:hint="eastAsia" w:ascii="宋体" w:hAnsi="宋体" w:eastAsia="宋体" w:cs="宋体"/>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2023</w:t>
      </w:r>
      <w:r>
        <w:rPr>
          <w:rFonts w:hint="eastAsia" w:ascii="宋体" w:hAnsi="宋体" w:eastAsia="宋体" w:cs="宋体"/>
          <w:color w:val="auto"/>
          <w:kern w:val="2"/>
          <w:sz w:val="32"/>
          <w:szCs w:val="32"/>
          <w:lang w:val="en-US" w:eastAsia="zh-CN" w:bidi="ar-SA"/>
        </w:rPr>
        <w:t>〕</w:t>
      </w:r>
      <w:r>
        <w:rPr>
          <w:rFonts w:hint="eastAsia" w:ascii="仿宋_GB2312" w:hAnsi="仿宋_GB2312" w:eastAsia="仿宋_GB2312" w:cs="仿宋_GB2312"/>
          <w:b w:val="0"/>
          <w:bCs w:val="0"/>
          <w:sz w:val="32"/>
          <w:szCs w:val="32"/>
          <w:lang w:val="en-US" w:eastAsia="zh-CN"/>
        </w:rPr>
        <w:t>第13号），2023年9月13日，</w:t>
      </w:r>
      <w:r>
        <w:rPr>
          <w:rFonts w:hint="eastAsia" w:ascii="仿宋_GB2312" w:hAnsi="仿宋_GB2312" w:eastAsia="仿宋_GB2312" w:cs="仿宋_GB2312"/>
          <w:sz w:val="32"/>
          <w:szCs w:val="32"/>
          <w:lang w:val="en-US" w:eastAsia="zh-CN"/>
        </w:rPr>
        <w:t>塔城地区生态环境局额敏县分局</w:t>
      </w:r>
      <w:r>
        <w:rPr>
          <w:rFonts w:hint="eastAsia" w:ascii="仿宋_GB2312" w:hAnsi="仿宋_GB2312" w:eastAsia="仿宋_GB2312" w:cs="仿宋_GB2312"/>
          <w:b w:val="0"/>
          <w:bCs w:val="0"/>
          <w:sz w:val="32"/>
          <w:szCs w:val="32"/>
          <w:lang w:val="en-US" w:eastAsia="zh-CN"/>
        </w:rPr>
        <w:t>向上级上报《答辩意见》，</w:t>
      </w:r>
      <w:r>
        <w:rPr>
          <w:rFonts w:hint="eastAsia" w:ascii="仿宋_GB2312" w:hAnsi="仿宋_GB2312" w:eastAsia="仿宋_GB2312" w:cs="仿宋_GB2312"/>
          <w:sz w:val="32"/>
          <w:szCs w:val="32"/>
          <w:lang w:val="en-US" w:eastAsia="zh-CN"/>
        </w:rPr>
        <w:t>塔城地区生态环境局</w:t>
      </w:r>
      <w:r>
        <w:rPr>
          <w:rFonts w:hint="eastAsia" w:ascii="仿宋_GB2312" w:hAnsi="仿宋_GB2312" w:eastAsia="仿宋_GB2312" w:cs="仿宋_GB2312"/>
          <w:b w:val="0"/>
          <w:bCs w:val="0"/>
          <w:sz w:val="32"/>
          <w:szCs w:val="32"/>
          <w:lang w:val="en-US" w:eastAsia="zh-CN"/>
        </w:rPr>
        <w:t>对该公司下达行政处罚决定。</w:t>
      </w:r>
      <w:r>
        <w:rPr>
          <w:rFonts w:hint="eastAsia" w:ascii="仿宋_GB2312" w:eastAsia="仿宋_GB2312"/>
          <w:sz w:val="32"/>
          <w:szCs w:val="32"/>
          <w:lang w:val="en-US" w:eastAsia="zh-CN"/>
        </w:rPr>
        <w:t xml:space="preserve">   </w:t>
      </w:r>
      <w:r>
        <w:rPr>
          <w:rFonts w:hint="eastAsia" w:ascii="仿宋_GB2312" w:hAnsi="仿宋_GB2312" w:cs="仿宋_GB2312"/>
          <w:sz w:val="32"/>
          <w:szCs w:val="32"/>
        </w:rPr>
        <w:t xml:space="preserve">      </w:t>
      </w:r>
    </w:p>
    <w:p>
      <w:pPr>
        <w:keepNext w:val="0"/>
        <w:keepLines w:val="0"/>
        <w:pageBreakBefore w:val="0"/>
        <w:widowControl w:val="0"/>
        <w:kinsoku/>
        <w:wordWrap/>
        <w:overflowPunct/>
        <w:topLinePunct w:val="0"/>
        <w:autoSpaceDE/>
        <w:autoSpaceDN/>
        <w:bidi w:val="0"/>
        <w:spacing w:beforeAutospacing="0" w:after="120" w:afterAutospacing="0" w:line="560" w:lineRule="exact"/>
        <w:ind w:firstLine="640" w:firstLineChars="200"/>
        <w:jc w:val="both"/>
        <w:textAlignment w:val="auto"/>
        <w:rPr>
          <w:rFonts w:ascii="仿宋_GB2312" w:hAnsi="仿宋_GB2312" w:eastAsia="仿宋_GB2312" w:cs="仿宋_GB2312"/>
          <w:kern w:val="0"/>
          <w:sz w:val="32"/>
          <w:szCs w:val="32"/>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5"/>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牵头责任单位电话：0901-3321070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6278027</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 w:bidi="ar-SA"/>
        </w:rPr>
      </w:pPr>
      <w:r>
        <w:rPr>
          <w:rFonts w:hint="eastAsia" w:ascii="仿宋_GB2312" w:hAnsi="仿宋_GB2312" w:eastAsia="仿宋_GB2312" w:cs="仿宋_GB2312"/>
          <w:b w:val="0"/>
          <w:bCs w:val="0"/>
          <w:kern w:val="2"/>
          <w:sz w:val="32"/>
          <w:szCs w:val="32"/>
          <w:lang w:val="en-US" w:eastAsia="zh" w:bidi="ar-SA"/>
        </w:rPr>
        <w:t xml:space="preserve"> </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p>
      <w:pPr>
        <w:keepNext w:val="0"/>
        <w:keepLines w:val="0"/>
        <w:pageBreakBefore w:val="0"/>
        <w:widowControl w:val="0"/>
        <w:kinsoku/>
        <w:wordWrap/>
        <w:overflowPunct/>
        <w:topLinePunct w:val="0"/>
        <w:autoSpaceDE/>
        <w:autoSpaceDN/>
        <w:bidi w:val="0"/>
        <w:adjustRightInd/>
        <w:snapToGrid/>
        <w:spacing w:beforeAutospacing="0" w:after="120" w:afterAutospacing="0" w:line="560" w:lineRule="exact"/>
        <w:ind w:firstLine="440" w:firstLineChars="200"/>
        <w:jc w:val="both"/>
        <w:textAlignment w:val="auto"/>
      </w:pPr>
    </w:p>
    <w:p>
      <w:pPr>
        <w:keepNext w:val="0"/>
        <w:keepLines w:val="0"/>
        <w:pageBreakBefore w:val="0"/>
        <w:kinsoku/>
        <w:wordWrap/>
        <w:overflowPunct/>
        <w:topLinePunct w:val="0"/>
        <w:autoSpaceDE/>
        <w:autoSpaceDN/>
        <w:bidi w:val="0"/>
        <w:spacing w:beforeAutospacing="0" w:after="120" w:afterAutospacing="0" w:line="560" w:lineRule="exact"/>
        <w:ind w:firstLine="440" w:firstLineChars="2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8975141"/>
    <w:rsid w:val="0D8922E5"/>
    <w:rsid w:val="1A1223D1"/>
    <w:rsid w:val="49235E15"/>
    <w:rsid w:val="57036D51"/>
    <w:rsid w:val="69A43F20"/>
    <w:rsid w:val="BFAE3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2023-12-12T18:28:17Z</cp:lastPrinted>
  <dcterms:modified xsi:type="dcterms:W3CDTF">2023-12-12T18:28:22Z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5A250334E12A4D9EAD1851D45B4AFE1D</vt:lpwstr>
  </property>
</Properties>
</file>