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after="0" w:line="600" w:lineRule="exact"/>
        <w:ind w:left="0" w:leftChars="0" w:firstLine="0" w:firstLineChars="0"/>
        <w:rPr>
          <w:rFonts w:hint="eastAsia" w:ascii="方正仿宋_GBK" w:hAnsi="Times New Roman" w:eastAsia="方正仿宋_GBK" w:cs="Times New Roman"/>
          <w:sz w:val="32"/>
          <w:szCs w:val="32"/>
        </w:rPr>
      </w:pPr>
      <w:bookmarkStart w:id="0" w:name="_GoBack"/>
      <w:r>
        <w:rPr>
          <w:rFonts w:hint="eastAsia" w:ascii="方正仿宋_GBK" w:hAnsi="Times New Roman" w:eastAsia="方正仿宋_GBK" w:cs="Times New Roman"/>
          <w:sz w:val="32"/>
          <w:szCs w:val="32"/>
        </w:rPr>
        <w:t>附件3</w:t>
      </w:r>
      <w:bookmarkEnd w:id="0"/>
      <w:r>
        <w:rPr>
          <w:rFonts w:hint="eastAsia" w:ascii="方正仿宋_GBK" w:hAnsi="Times New Roman" w:eastAsia="方正仿宋_GBK" w:cs="Times New Roman"/>
          <w:sz w:val="32"/>
          <w:szCs w:val="32"/>
        </w:rPr>
        <w:t>：</w:t>
      </w:r>
    </w:p>
    <w:p>
      <w:pPr>
        <w:pStyle w:val="4"/>
        <w:widowControl/>
        <w:spacing w:before="0" w:beforeAutospacing="0" w:after="0" w:afterAutospacing="0"/>
        <w:jc w:val="center"/>
        <w:rPr>
          <w:rFonts w:hint="eastAsia" w:ascii="方正小标宋简体" w:hAnsi="黑体" w:eastAsia="方正小标宋简体" w:cs="黑体"/>
          <w:sz w:val="44"/>
          <w:szCs w:val="44"/>
        </w:rPr>
      </w:pPr>
      <w:r>
        <w:rPr>
          <w:rStyle w:val="6"/>
          <w:rFonts w:hint="eastAsia" w:ascii="方正小标宋简体" w:hAnsi="黑体" w:eastAsia="方正小标宋简体" w:cs="黑体"/>
          <w:color w:val="212122"/>
          <w:sz w:val="44"/>
          <w:szCs w:val="44"/>
        </w:rPr>
        <w:t>新疆维吾尔自治区火灾高危单位界定标准</w:t>
      </w:r>
    </w:p>
    <w:p>
      <w:pPr>
        <w:pStyle w:val="4"/>
        <w:widowControl/>
        <w:spacing w:before="0" w:beforeAutospacing="0" w:after="0" w:afterAutospacing="0"/>
      </w:pPr>
    </w:p>
    <w:p>
      <w:pPr>
        <w:pStyle w:val="4"/>
        <w:widowControl/>
        <w:spacing w:before="0" w:beforeAutospacing="0" w:after="0" w:afterAutospacing="0"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按照《新疆维吾尔自治区火灾高危单位消防安全管理暂行规定》（新政发〔2013〕53号）第二条规定，下列范围的单位、场所是火灾高危单位：</w:t>
      </w:r>
    </w:p>
    <w:p>
      <w:pPr>
        <w:pStyle w:val="4"/>
        <w:widowControl/>
        <w:spacing w:before="0" w:beforeAutospacing="0" w:after="0" w:afterAutospacing="0"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一）单层建筑面积5000平方米以上或建筑总面积50000平方米以上、经营易燃可燃商品的商场，建筑总面积20000平方米以上的集贸市场，设有中央空调且三星级以上或客房数在200间以上的宾馆、饭店，建筑总面积10000平方米以上的其他地下公众聚集场所；</w:t>
      </w:r>
    </w:p>
    <w:p>
      <w:pPr>
        <w:pStyle w:val="4"/>
        <w:widowControl/>
        <w:spacing w:before="0" w:beforeAutospacing="0" w:after="0" w:afterAutospacing="0"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（二）位于建筑的首层、二层、三层且建筑总面积5000平方米以上，或者位于建筑的地下、四层以上且建筑总面积2000平方米以上的公共娱乐场所；</w:t>
      </w:r>
    </w:p>
    <w:p>
      <w:pPr>
        <w:pStyle w:val="4"/>
        <w:widowControl/>
        <w:spacing w:before="0" w:beforeAutospacing="0" w:after="0" w:afterAutospacing="0"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（三）床位数1000张以上的医院，床位数200张以上的养老院、敬老院、福利院，床位数100张以上的寄宿制幼儿园、托儿所；</w:t>
      </w:r>
    </w:p>
    <w:p>
      <w:pPr>
        <w:pStyle w:val="4"/>
        <w:widowControl/>
        <w:spacing w:before="0" w:beforeAutospacing="0" w:after="0" w:afterAutospacing="0"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（四）建筑总面积50000平方米以上的公共体育馆、会堂、展览馆、博物馆；</w:t>
      </w:r>
    </w:p>
    <w:p>
      <w:pPr>
        <w:pStyle w:val="4"/>
        <w:widowControl/>
        <w:spacing w:before="0" w:beforeAutospacing="0" w:after="0" w:afterAutospacing="0"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（五）总储量10000立方米以上的甲、乙类可燃气体和总储量30000立方米以上的甲、乙类易燃液体的生产、充装、储存、销售单位；</w:t>
      </w:r>
    </w:p>
    <w:p>
      <w:pPr>
        <w:pStyle w:val="4"/>
        <w:widowControl/>
        <w:spacing w:before="0" w:beforeAutospacing="0" w:after="0" w:afterAutospacing="0"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（六）总储量50000吨以上的粮库，总储量10000吨以上的棉花储存、加工场所，总储量50000立方米以上的木材堆场，以及储存总价值2000万元以上的其他可燃物品仓库、堆场；</w:t>
      </w:r>
    </w:p>
    <w:p>
      <w:pPr>
        <w:pStyle w:val="4"/>
        <w:widowControl/>
        <w:spacing w:before="0" w:beforeAutospacing="0" w:after="0" w:afterAutospacing="0"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（七）建筑高度超过100米的高层公共建筑；</w:t>
      </w:r>
    </w:p>
    <w:p>
      <w:pPr>
        <w:pStyle w:val="4"/>
        <w:widowControl/>
        <w:spacing w:before="0" w:beforeAutospacing="0" w:after="0" w:afterAutospacing="0"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（八）规模容量120万千瓦以上的发电厂；</w:t>
      </w:r>
    </w:p>
    <w:p>
      <w:pPr>
        <w:pStyle w:val="4"/>
        <w:widowControl/>
        <w:spacing w:before="0" w:beforeAutospacing="0" w:after="0" w:afterAutospacing="0"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（九）采用木结构或砖木结构的全国重点文物保护单位；</w:t>
      </w:r>
    </w:p>
    <w:p>
      <w:pPr>
        <w:pStyle w:val="4"/>
        <w:widowControl/>
        <w:spacing w:before="0" w:beforeAutospacing="0" w:after="0" w:afterAutospacing="0" w:line="56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（十）其他容易发生火灾且一旦发生火灾可能造成重大人员伤亡或者财产损失的单位、场所。</w:t>
      </w:r>
    </w:p>
    <w:p>
      <w:pPr>
        <w:pStyle w:val="4"/>
        <w:widowControl/>
        <w:spacing w:before="0" w:beforeAutospacing="0" w:after="0" w:afterAutospacing="0" w:line="560" w:lineRule="exact"/>
        <w:rPr>
          <w:rFonts w:hint="eastAsia" w:ascii="方正仿宋_GBK" w:hAnsi="仿宋_GB2312" w:eastAsia="方正仿宋_GBK" w:cs="仿宋_GB2312"/>
          <w:sz w:val="32"/>
          <w:szCs w:val="32"/>
        </w:rPr>
      </w:pPr>
    </w:p>
    <w:p>
      <w:pPr>
        <w:pStyle w:val="4"/>
        <w:widowControl/>
        <w:spacing w:before="0" w:beforeAutospacing="0" w:after="0" w:afterAutospacing="0" w:line="560" w:lineRule="exact"/>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说明：本标准中所提到的“以上”包含本数。</w:t>
      </w:r>
    </w:p>
    <w:p>
      <w:pPr>
        <w:pStyle w:val="4"/>
        <w:widowControl/>
        <w:spacing w:before="0" w:beforeAutospacing="0" w:after="0" w:afterAutospacing="0" w:line="560" w:lineRule="exact"/>
        <w:rPr>
          <w:rFonts w:hint="eastAsia" w:ascii="仿宋_GB2312" w:hAnsi="仿宋_GB2312" w:eastAsia="仿宋_GB2312" w:cs="仿宋_GB2312"/>
          <w:sz w:val="32"/>
          <w:szCs w:val="32"/>
        </w:rPr>
      </w:pPr>
    </w:p>
    <w:p>
      <w:pPr>
        <w:pStyle w:val="4"/>
        <w:widowControl/>
        <w:spacing w:before="0" w:beforeAutospacing="0" w:after="0" w:afterAutospacing="0" w:line="560" w:lineRule="exact"/>
        <w:rPr>
          <w:rStyle w:val="6"/>
          <w:rFonts w:hint="eastAsia" w:ascii="仿宋_GB2312" w:hAnsi="仿宋_GB2312" w:eastAsia="仿宋_GB2312" w:cs="仿宋_GB2312"/>
          <w:color w:val="FFFFFF"/>
          <w:spacing w:val="8"/>
          <w:sz w:val="32"/>
          <w:szCs w:val="32"/>
          <w:shd w:val="clear" w:color="auto" w:fill="487DE8"/>
        </w:rPr>
      </w:pPr>
    </w:p>
    <w:p>
      <w:pPr>
        <w:pStyle w:val="4"/>
        <w:widowControl/>
        <w:spacing w:before="0" w:beforeAutospacing="0" w:after="0" w:afterAutospacing="0" w:line="560" w:lineRule="exact"/>
        <w:rPr>
          <w:rStyle w:val="6"/>
          <w:rFonts w:hint="eastAsia" w:ascii="仿宋_GB2312" w:hAnsi="仿宋_GB2312" w:eastAsia="仿宋_GB2312" w:cs="仿宋_GB2312"/>
          <w:color w:val="FFFFFF"/>
          <w:spacing w:val="8"/>
          <w:sz w:val="32"/>
          <w:szCs w:val="32"/>
          <w:shd w:val="clear" w:color="auto" w:fill="487DE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6220F"/>
    <w:rsid w:val="60E62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4"/>
      <w:szCs w:val="24"/>
      <w:lang w:val="zh-CN" w:eastAsia="zh-CN" w:bidi="zh-CN"/>
    </w:rPr>
  </w:style>
  <w:style w:type="paragraph" w:styleId="3">
    <w:name w:val="toc 5"/>
    <w:basedOn w:val="1"/>
    <w:next w:val="1"/>
    <w:qFormat/>
    <w:uiPriority w:val="0"/>
    <w:pPr>
      <w:ind w:left="1680"/>
    </w:p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8">
    <w:name w:val="BodyText1I2"/>
    <w:basedOn w:val="9"/>
    <w:qFormat/>
    <w:uiPriority w:val="0"/>
    <w:pPr>
      <w:spacing w:after="120"/>
      <w:ind w:left="420" w:leftChars="200" w:firstLine="420" w:firstLineChars="200"/>
      <w:jc w:val="both"/>
      <w:textAlignment w:val="baseline"/>
    </w:pPr>
    <w:rPr>
      <w:rFonts w:ascii="Calibri" w:hAnsi="Calibri" w:eastAsia="宋体" w:cs="宋体"/>
    </w:rPr>
  </w:style>
  <w:style w:type="paragraph" w:customStyle="1" w:styleId="9">
    <w:name w:val="BodyTextIndent"/>
    <w:basedOn w:val="1"/>
    <w:next w:val="10"/>
    <w:qFormat/>
    <w:uiPriority w:val="0"/>
    <w:pPr>
      <w:spacing w:after="120"/>
      <w:ind w:left="420" w:leftChars="200"/>
      <w:jc w:val="both"/>
      <w:textAlignment w:val="baseline"/>
    </w:pPr>
    <w:rPr>
      <w:rFonts w:ascii="Calibri" w:hAnsi="Calibri" w:eastAsia="宋体" w:cs="宋体"/>
    </w:rPr>
  </w:style>
  <w:style w:type="paragraph" w:customStyle="1" w:styleId="10">
    <w:name w:val="NormalIndent"/>
    <w:basedOn w:val="1"/>
    <w:qFormat/>
    <w:uiPriority w:val="0"/>
    <w:pPr>
      <w:ind w:firstLine="420" w:firstLineChars="200"/>
      <w:jc w:val="both"/>
      <w:textAlignment w:val="baseline"/>
    </w:pPr>
    <w:rPr>
      <w:rFonts w:ascii="Calibri" w:hAnsi="Calibri" w:eastAsia="仿宋" w:cs="宋体"/>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2024-02-21T05:20:00Z</dcterms:created>
  <dc:creator>LJJ</dc:creator>
  <cp:lastModifiedBy>LJJ</cp:lastModifiedBy>
  <dcterms:modified xsi:type="dcterms:W3CDTF">2024-02-21T05:21:49Z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