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1"/>
        <w:rPr>
          <w:rFonts w:hint="default" w:ascii="方正小标宋简体" w:hAnsi="方正小标宋简体" w:eastAsia="方正小标宋简体" w:cs="方正小标宋简体"/>
          <w:color w:val="auto"/>
          <w:spacing w:val="0"/>
          <w:sz w:val="44"/>
          <w:szCs w:val="44"/>
          <w:highlight w:val="none"/>
          <w:u w:val="none"/>
          <w:lang w:val="en-US" w:eastAsia="zh-CN"/>
        </w:rPr>
      </w:pPr>
      <w:r>
        <w:rPr>
          <w:rFonts w:hint="eastAsia" w:ascii="方正小标宋简体" w:hAnsi="方正小标宋简体" w:eastAsia="方正小标宋简体" w:cs="方正小标宋简体"/>
          <w:color w:val="auto"/>
          <w:spacing w:val="0"/>
          <w:sz w:val="44"/>
          <w:szCs w:val="44"/>
          <w:highlight w:val="none"/>
          <w:u w:val="none"/>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1"/>
        <w:rPr>
          <w:rFonts w:hint="eastAsia" w:ascii="方正小标宋简体" w:hAnsi="方正小标宋简体" w:eastAsia="方正小标宋简体" w:cs="方正小标宋简体"/>
          <w:color w:val="auto"/>
          <w:spacing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1"/>
        <w:rPr>
          <w:rFonts w:hint="eastAsia" w:ascii="方正小标宋简体" w:hAnsi="方正小标宋简体" w:eastAsia="方正小标宋简体" w:cs="方正小标宋简体"/>
          <w:color w:val="auto"/>
          <w:spacing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1"/>
        <w:rPr>
          <w:rFonts w:hint="eastAsia" w:ascii="方正小标宋简体" w:hAnsi="方正小标宋简体" w:eastAsia="方正小标宋简体" w:cs="方正小标宋简体"/>
          <w:color w:val="auto"/>
          <w:spacing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1"/>
        <w:rPr>
          <w:rFonts w:hint="eastAsia" w:ascii="方正小标宋简体" w:hAnsi="方正小标宋简体" w:eastAsia="方正小标宋简体" w:cs="方正小标宋简体"/>
          <w:color w:val="auto"/>
          <w:spacing w:val="0"/>
          <w:sz w:val="44"/>
          <w:szCs w:val="44"/>
          <w:highlight w:val="none"/>
          <w:u w:val="none"/>
        </w:rPr>
      </w:pPr>
      <w:r>
        <w:rPr>
          <w:rFonts w:hint="eastAsia" w:ascii="方正小标宋简体" w:hAnsi="方正小标宋简体" w:eastAsia="方正小标宋简体" w:cs="方正小标宋简体"/>
          <w:color w:val="auto"/>
          <w:spacing w:val="0"/>
          <w:sz w:val="44"/>
          <w:szCs w:val="44"/>
          <w:highlight w:val="none"/>
          <w:u w:val="none"/>
          <w:lang w:val="en-US" w:eastAsia="zh-CN"/>
        </w:rPr>
        <w:t>“塔城英才”培养计划科技创新领军人才、青年拔尖人才、科技创新团队项目申报指南</w:t>
      </w:r>
    </w:p>
    <w:p>
      <w:pPr>
        <w:keepNext w:val="0"/>
        <w:keepLines w:val="0"/>
        <w:pageBreakBefore w:val="0"/>
        <w:widowControl w:val="0"/>
        <w:tabs>
          <w:tab w:val="center" w:pos="4422"/>
          <w:tab w:val="left" w:pos="7037"/>
        </w:tabs>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楷体_GB2312" w:cs="Times New Roman"/>
          <w:color w:val="auto"/>
          <w:spacing w:val="0"/>
          <w:kern w:val="0"/>
          <w:sz w:val="32"/>
          <w:szCs w:val="32"/>
          <w:u w:val="none"/>
          <w:lang w:eastAsia="zh-CN"/>
        </w:rPr>
      </w:pPr>
      <w:r>
        <w:rPr>
          <w:rFonts w:hint="default" w:ascii="Times New Roman" w:hAnsi="Times New Roman" w:eastAsia="楷体_GB2312" w:cs="Times New Roman"/>
          <w:color w:val="auto"/>
          <w:spacing w:val="0"/>
          <w:kern w:val="0"/>
          <w:sz w:val="32"/>
          <w:szCs w:val="32"/>
          <w:u w:val="none"/>
          <w:lang w:eastAsia="zh-CN"/>
        </w:rPr>
        <w:t>（</w:t>
      </w:r>
      <w:r>
        <w:rPr>
          <w:rFonts w:hint="default" w:ascii="Times New Roman" w:hAnsi="Times New Roman" w:eastAsia="楷体_GB2312" w:cs="Times New Roman"/>
          <w:color w:val="auto"/>
          <w:spacing w:val="0"/>
          <w:kern w:val="0"/>
          <w:sz w:val="32"/>
          <w:szCs w:val="32"/>
          <w:u w:val="none"/>
          <w:lang w:val="en-US" w:eastAsia="zh-CN"/>
        </w:rPr>
        <w:t>202</w:t>
      </w:r>
      <w:r>
        <w:rPr>
          <w:rFonts w:hint="eastAsia" w:ascii="Times New Roman" w:hAnsi="Times New Roman" w:eastAsia="楷体_GB2312" w:cs="Times New Roman"/>
          <w:color w:val="auto"/>
          <w:spacing w:val="0"/>
          <w:kern w:val="0"/>
          <w:sz w:val="32"/>
          <w:szCs w:val="32"/>
          <w:u w:val="none"/>
          <w:lang w:val="en-US" w:eastAsia="zh-CN"/>
        </w:rPr>
        <w:t>4</w:t>
      </w:r>
      <w:r>
        <w:rPr>
          <w:rFonts w:hint="default" w:ascii="Times New Roman" w:hAnsi="Times New Roman" w:eastAsia="楷体_GB2312" w:cs="Times New Roman"/>
          <w:color w:val="auto"/>
          <w:spacing w:val="0"/>
          <w:kern w:val="0"/>
          <w:sz w:val="32"/>
          <w:szCs w:val="32"/>
          <w:u w:val="none"/>
          <w:lang w:val="en-US" w:eastAsia="zh-CN"/>
        </w:rPr>
        <w:t>年度</w:t>
      </w:r>
      <w:r>
        <w:rPr>
          <w:rFonts w:hint="default" w:ascii="Times New Roman" w:hAnsi="Times New Roman" w:eastAsia="楷体_GB2312" w:cs="Times New Roman"/>
          <w:color w:val="auto"/>
          <w:spacing w:val="0"/>
          <w:kern w:val="0"/>
          <w:sz w:val="32"/>
          <w:szCs w:val="32"/>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44" w:firstLineChars="170"/>
        <w:textAlignment w:val="auto"/>
        <w:rPr>
          <w:rFonts w:hint="eastAsia" w:ascii="仿宋_GB2312" w:hAnsi="Times New Roman" w:eastAsia="仿宋_GB2312" w:cs="Times New Roman"/>
          <w:kern w:val="2"/>
          <w:sz w:val="32"/>
          <w:szCs w:val="32"/>
          <w:lang w:val="en-US" w:eastAsia="zh-Hans" w:bidi="ar-SA"/>
        </w:rPr>
      </w:pPr>
      <w:r>
        <w:rPr>
          <w:rFonts w:hint="eastAsia" w:ascii="仿宋_GB2312" w:hAnsi="Times New Roman" w:eastAsia="仿宋_GB2312" w:cs="Times New Roman"/>
          <w:kern w:val="2"/>
          <w:sz w:val="32"/>
          <w:szCs w:val="32"/>
          <w:lang w:val="en-US" w:eastAsia="zh-Hans" w:bidi="ar-SA"/>
        </w:rPr>
        <w:t>为全面贯彻落实自治区党委、自治区人民政府《关于加强和改进新时代人才工作的实施意见》(新党发〔2022]8号)和《自治区党委组织部</w:t>
      </w:r>
      <w:r>
        <w:rPr>
          <w:rFonts w:hint="eastAsia" w:ascii="仿宋_GB2312" w:hAnsi="Times New Roman"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Hans" w:bidi="ar-SA"/>
        </w:rPr>
        <w:t>自治区科学技术厅等关于印发&lt;自治区“天山英才”培养计划实施细则(试行)&gt;的通知》(新科智字〔2024]10号)精神，按照地委人才工作领导小组部署要求，经领导小组办公室批准，现决定实施2024年“</w:t>
      </w:r>
      <w:r>
        <w:rPr>
          <w:rFonts w:hint="eastAsia" w:ascii="仿宋_GB2312" w:hAnsi="Times New Roman" w:eastAsia="仿宋_GB2312" w:cs="Times New Roman"/>
          <w:kern w:val="2"/>
          <w:sz w:val="32"/>
          <w:szCs w:val="32"/>
          <w:lang w:val="en-US" w:eastAsia="zh-CN" w:bidi="ar-SA"/>
        </w:rPr>
        <w:t>塔城</w:t>
      </w:r>
      <w:r>
        <w:rPr>
          <w:rFonts w:hint="eastAsia" w:ascii="仿宋_GB2312" w:hAnsi="Times New Roman" w:eastAsia="仿宋_GB2312" w:cs="Times New Roman"/>
          <w:kern w:val="2"/>
          <w:sz w:val="32"/>
          <w:szCs w:val="32"/>
          <w:lang w:val="en-US" w:eastAsia="zh-Hans" w:bidi="ar-SA"/>
        </w:rPr>
        <w:t>英才”培养计划科技创新领军人才、青年拔尖人才、科技创新团队项目，申报指南如下。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Hans"/>
          <w14:textFill>
            <w14:solidFill>
              <w14:schemeClr w14:val="tx1"/>
            </w14:solidFill>
          </w14:textFill>
        </w:rPr>
        <w:t>一</w:t>
      </w:r>
      <w:r>
        <w:rPr>
          <w:rFonts w:hint="default" w:ascii="黑体" w:hAnsi="黑体" w:eastAsia="黑体" w:cs="黑体"/>
          <w:i w:val="0"/>
          <w:iCs w:val="0"/>
          <w:color w:val="000000" w:themeColor="text1"/>
          <w:sz w:val="32"/>
          <w:szCs w:val="32"/>
          <w:highlight w:val="none"/>
          <w:lang w:val="en-US" w:eastAsia="zh-Hans"/>
          <w14:textFill>
            <w14:solidFill>
              <w14:schemeClr w14:val="tx1"/>
            </w14:solidFill>
          </w14:textFill>
        </w:rPr>
        <w:t>、</w:t>
      </w: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申报对象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在自然科学和工程技术领域，</w:t>
      </w:r>
      <w:r>
        <w:rPr>
          <w:rFonts w:hint="eastAsia" w:ascii="仿宋_GB2312" w:hAnsi="Times New Roman" w:eastAsia="仿宋_GB2312" w:cs="Times New Roman"/>
          <w:sz w:val="32"/>
          <w:szCs w:val="32"/>
          <w:lang w:val="en-US" w:eastAsia="zh-Hans"/>
        </w:rPr>
        <w:t>面向世界科技前沿</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面向经济主战场</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面向国家和自治区重大需求</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面向人民生命健康</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重点围绕油气生产加工</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煤炭煤电煤化工</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绿色矿业</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粮油</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棉花和纺织服装</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绿色有机果蔬</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优质畜产品</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新能源新材料等</w:t>
      </w:r>
      <w:r>
        <w:rPr>
          <w:rFonts w:hint="eastAsia" w:ascii="仿宋_GB2312" w:hAnsi="Times New Roman" w:eastAsia="仿宋_GB2312" w:cs="Times New Roman"/>
          <w:sz w:val="32"/>
          <w:szCs w:val="32"/>
          <w:lang w:val="en-US" w:eastAsia="zh-CN"/>
        </w:rPr>
        <w:t>八大</w:t>
      </w:r>
      <w:r>
        <w:rPr>
          <w:rFonts w:hint="eastAsia" w:ascii="仿宋_GB2312" w:hAnsi="Times New Roman" w:eastAsia="仿宋_GB2312" w:cs="Times New Roman"/>
          <w:sz w:val="32"/>
          <w:szCs w:val="32"/>
          <w:lang w:val="en-US" w:eastAsia="zh-Hans"/>
        </w:rPr>
        <w:t>产业集群发展需求</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以及水利</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交通</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电力</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环保</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Hans"/>
        </w:rPr>
        <w:t>医疗健康等行业发展需要</w:t>
      </w:r>
      <w:r>
        <w:rPr>
          <w:rFonts w:hint="default" w:ascii="仿宋_GB2312" w:hAnsi="Times New Roman" w:eastAsia="仿宋_GB2312" w:cs="Times New Roman"/>
          <w:sz w:val="32"/>
          <w:szCs w:val="32"/>
          <w:lang w:val="en-US" w:eastAsia="zh-Hans"/>
        </w:rPr>
        <w:t>，</w:t>
      </w:r>
      <w:r>
        <w:rPr>
          <w:rFonts w:hint="eastAsia" w:ascii="仿宋_GB2312" w:hAnsi="Times New Roman" w:eastAsia="仿宋_GB2312" w:cs="Times New Roman"/>
          <w:sz w:val="32"/>
          <w:szCs w:val="32"/>
          <w:lang w:val="en-US" w:eastAsia="zh-CN"/>
        </w:rPr>
        <w:t>支持培养一批塔城地区能够发挥示范引领作用的创新型、应用型、复合型高层次人才和创新团队</w:t>
      </w:r>
      <w:r>
        <w:rPr>
          <w:rFonts w:hint="default"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二</w:t>
      </w:r>
      <w:r>
        <w:rPr>
          <w:rFonts w:hint="default" w:ascii="黑体" w:hAnsi="黑体" w:eastAsia="黑体" w:cs="黑体"/>
          <w:i w:val="0"/>
          <w:iCs w:val="0"/>
          <w:color w:val="000000" w:themeColor="text1"/>
          <w:sz w:val="32"/>
          <w:szCs w:val="32"/>
          <w:highlight w:val="none"/>
          <w:lang w:val="en-US" w:eastAsia="zh-Hans"/>
          <w14:textFill>
            <w14:solidFill>
              <w14:schemeClr w14:val="tx1"/>
            </w14:solidFill>
          </w14:textFill>
        </w:rPr>
        <w:t>、</w:t>
      </w:r>
      <w:r>
        <w:rPr>
          <w:rFonts w:hint="eastAsia" w:ascii="黑体" w:hAnsi="黑体" w:eastAsia="黑体" w:cs="黑体"/>
          <w:i w:val="0"/>
          <w:iCs w:val="0"/>
          <w:color w:val="000000" w:themeColor="text1"/>
          <w:sz w:val="32"/>
          <w:szCs w:val="32"/>
          <w:highlight w:val="none"/>
          <w:lang w:val="en-US" w:eastAsia="zh-Hans"/>
          <w14:textFill>
            <w14:solidFill>
              <w14:schemeClr w14:val="tx1"/>
            </w14:solidFill>
          </w14:textFill>
        </w:rPr>
        <w:t>申报</w:t>
      </w: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基本</w:t>
      </w:r>
      <w:r>
        <w:rPr>
          <w:rFonts w:hint="eastAsia" w:ascii="黑体" w:hAnsi="黑体" w:eastAsia="黑体" w:cs="黑体"/>
          <w:i w:val="0"/>
          <w:iCs w:val="0"/>
          <w:color w:val="000000" w:themeColor="text1"/>
          <w:sz w:val="32"/>
          <w:szCs w:val="32"/>
          <w:highlight w:val="none"/>
          <w:lang w:val="en-US" w:eastAsia="zh-Hans"/>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申报人应具有中国国籍，坚决拥护中国共产党的领导和中国特色社会主义制度，维护祖国统一和民族团结，严格遵守国家法律法规，热爱本职工作，能认真履行岗位职责，具有良好的学术道德和社会公德，身体健康，在塔城地区工作1年以上且目前驻塔城地区工作、在职在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申报人须依托疆内登记(注册)或依法成立的用人单位(含在疆外设立的研发中心等“人才飞地”、实行负责人制的中央驻塔城地区单位)进行申报。申报人所在用人单位为企业的，须在塔城地区注册满2年(按当年申报日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(三)申报人不得重复享受资助政策，不得逆层次申报项目在同一支持周期内只允许通过1个用人单位申报塔城地区</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个重点人才计划项目。已入选国家重大人才工程的人员、自治区“天山英才”项目人员，不得申报“塔城英才”计划(创新团队项目除外)。实施期满后可申报“塔城英才”计划中高一层次的人才项目，不得申报同一层次或下一层次的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(四)公务员和参照公务员法管理的工作人员(专业技术类公务员除外)，以及中央计划内援疆专业技术人才、博士服务团成员等人员不得申报。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三、科技创新领军人才项目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Times New Roman" w:eastAsia="仿宋_GB2312" w:cs="Times New Roman"/>
          <w:sz w:val="32"/>
          <w:szCs w:val="32"/>
          <w:lang w:eastAsia="zh-CN"/>
        </w:rPr>
        <w:t>申报人专业领域和研究方向符合科技前沿发展趋势，能聚焦体现塔城特色和优势的现代化产业集群发展需要，且同时具备下列条件：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(一)已取得高水平创新性成果，在所在行业或领域业绩突出，业内认可度高、影响力大，具有较大的创新发展潜力。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(二)具有较强的领军才能和科研组织管理能力，主要从事一线研发工作，能够解决塔城地区经济社会发展中的重大技术难题。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(三)具有硕士学位或副高级及以上职称(企业人才适当放宽学历要求)，年龄原则上不超过55周岁。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(四)曾获国家或自治区（省）级科学技术奖（前三完成人），或具有主持自治区级及以上重大科技专项、重点研发任务专项、重大工程项目的经历。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四、青年拔尖人才项目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基础研究人才。申报人研究方向具有相对优势、取得一定学术成就，并得到国内外同行认可；具有一定的科研组织管理能力，能够全职潜心研究；具有硕士学位或副高级及以上职称，年龄不超过45周岁。具有主持国家自然科学基金项目(青年基金项目除外)、自治区自然科学基金重点项目、自治区杰出青年科学基金项目的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青年科技创新人才。申报人在塔城特色优势产业科技前沿取得较高水平，具有较大发展潜力；具有硕士学位或副高级及以上职称，年龄不超过45周岁（具有参与自治区级或地区级以上科技项目、工程项目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青年科技创业人才。申报人为企业的主要创办人、研发团队负责人或技术骨干，具有较强的创新创业精神、市场开拓和经营管理能力，创新创业方向符合塔城优势特色产业发展方向，具有本科及以上学历或中级及以上职称，年龄不超过45周岁。所在企业在塔城地区内注册，依法经营，创办时间2年以上，具有特色产品或创新性商业模式，技术水平在地区内行业中处于领先地位创新平台；企业至少拥有1项已授权与主营业务相关的发明专利(或动植物新品种、软件著作权等)，具有较好的经营业绩、成长性和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基层科技骨干人才。申报人须为在塔城地区所属企业、科研机构、科技服务中介机构进行科技服务、创业和创新的专业技术人员；从事的科技活动属于所在区域经济社会发展重点领域；具有大专及以上学历或中级及以上职称(企业人才可不受职称限制)；年龄不超过45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五、科技创新团队项目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创新团队研究方向聚焦塔城特色和优势的产业集群发展，创新业绩突出，研发水平居行业或领域前列。解决塔城地区重点产业共性和关键核心技术问题，在原创性引领性技术研发上取得突破，新成果、专利转移转化能力强；开展全链条技术开发和示范应用，提升产业水平、引领产业发展，产生显著经济社会效益；围绕科技前沿和发展战略，开展基础性、探索性、创新性科学研究、技术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创新团队依托单位为企业或科研单位的，须在塔城地区内注册满2年，企业应具备良好的经营业绩，能为团队创新提供必要的科研资金、研发设备及落实项目产业化所需的各类要素。创新团队掌握的核心技术至少拥有1项与主营业务相关的授权发明专利(或动植物新品种、软件著作权等)，达到疆内领先水平或填补疆内研究领域技术空白，具有较好市场前景并能实现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创新团队结构稳定、专业合理，成员具有关联性和互补性，核心成员(不包括项目负责人)不少于5人，不超过10人，可联合疆内外科研院所、高校或企业，跨机构、区域、领域、专业合作和产学研协同创新，共同组建优势团队联合体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创新团队负责人应具有正高级职称(企业可适当放宽职称限制)，具有较强的科研领军才能和团队组织管理能力，在所在行业或领域业绩突出，具有较大创新发展潜力。具有主持自治区（省）级及以上重大科技专项、重点研发任务专项、重大工程项目经历。创新团队负责人须在职在岗，年龄原则上不超过55周岁，核心成员年龄不超过50周岁，其他成员年龄不超过45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六、申报程序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“塔城英才”</w:t>
      </w:r>
      <w:r>
        <w:rPr>
          <w:rFonts w:hint="eastAsia" w:ascii="仿宋_GB2312" w:hAnsi="Times New Roman" w:eastAsia="仿宋_GB2312" w:cs="Times New Roman"/>
          <w:sz w:val="32"/>
          <w:szCs w:val="32"/>
          <w:lang w:val="en-US" w:eastAsia="zh-Hans"/>
        </w:rPr>
        <w:t>培养计划科技创新领军人才、青年拔尖人才、科技创新团队项目</w:t>
      </w:r>
      <w:r>
        <w:rPr>
          <w:rFonts w:hint="eastAsia" w:ascii="仿宋_GB2312" w:hAnsi="Times New Roman" w:eastAsia="仿宋_GB2312" w:cs="Times New Roman"/>
          <w:sz w:val="32"/>
          <w:szCs w:val="32"/>
          <w:lang w:eastAsia="zh-CN"/>
        </w:rPr>
        <w:t>计划培养人选确定，一般须经过以下程序。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(一)发布指南。地区科技局制定申报指南，经地委人才工作领导小组办公室审定后向社会公开发布。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(二)个人申报。申报人根据申报指南，自主确定拟开展的创新创业活动项目、资金预算和预期成果等，按照要求填写《申报书》，提交所在用人单位审核。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单位推荐。用人单位对申报人的资格条件、自选项目内容的真实性和可行性等进行审核把关，可采取同行专家评议等形式提出初步推荐人选，经单位党委(党组)等会议研究确定并公示5个工作日无异议后，将《申报书》上报归属地或归口主管部门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(四)资格审核。各县（市）科技管理部门，对所辖用人单位推荐人选的真实性、资格条件进行初审，对初审通过的人选按照程序向地区科技局推荐。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五)专家评审。地区科技局对推荐人选进行资格复审后，将对符合条件的人选组织疆内外知名专家进行评审，对推荐人选的能力素质、创新创业项目的目标任务和资金用途等进行综合评审。评审标准按照“破四唯”要求，结合项目实际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(六)人选确定。地区科技局将评审结果报地委人才工作领导小组办公室审核，地委人才工作领导小组办公室</w:t>
      </w:r>
      <w:r>
        <w:rPr>
          <w:rFonts w:hint="eastAsia" w:ascii="仿宋_GB2312" w:hAnsi="Times New Roman" w:eastAsia="仿宋_GB2312" w:cs="Times New Roman"/>
          <w:sz w:val="32"/>
          <w:szCs w:val="32"/>
          <w:lang w:val="en-US" w:eastAsia="zh-CN"/>
        </w:rPr>
        <w:t>提出初步建议人选名单并反馈给地区科技局</w:t>
      </w:r>
      <w:r>
        <w:rPr>
          <w:rFonts w:hint="eastAsia" w:ascii="仿宋_GB2312" w:hAnsi="Times New Roman" w:eastAsia="仿宋_GB2312" w:cs="Times New Roman"/>
          <w:sz w:val="32"/>
          <w:szCs w:val="32"/>
          <w:lang w:eastAsia="zh-CN"/>
        </w:rPr>
        <w:t>，地区科技局召开党组会议研究，将名单向社会公示5个工作日无异议后报地委人才工作领导小组办公室审定，地区科技局</w:t>
      </w:r>
      <w:r>
        <w:rPr>
          <w:rFonts w:hint="eastAsia" w:ascii="仿宋_GB2312" w:hAnsi="Times New Roman" w:eastAsia="仿宋_GB2312" w:cs="Times New Roman"/>
          <w:sz w:val="32"/>
          <w:szCs w:val="32"/>
          <w:lang w:val="en-US" w:eastAsia="zh-CN"/>
        </w:rPr>
        <w:t>与培养人选签订任务书，落实目标任务及可量化的绩效指标要求，建立培养档案，严格组织实施，会同财政部门按程序拨付支持资金。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七、支持措施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（一）对按程序遴选确定的培养人选，由地区人才发展基金给予经费资助，支持周期一般为</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3年，资助额度根据评审得分或等次给予分级分类支持。其中：科技创新领军人才，</w:t>
      </w:r>
      <w:r>
        <w:rPr>
          <w:rFonts w:hint="eastAsia" w:ascii="仿宋_GB2312" w:hAnsi="Times New Roman" w:eastAsia="仿宋_GB2312" w:cs="Times New Roman"/>
          <w:sz w:val="32"/>
          <w:szCs w:val="32"/>
          <w:lang w:val="en-US" w:eastAsia="zh-CN"/>
        </w:rPr>
        <w:t>培养1人，</w:t>
      </w:r>
      <w:r>
        <w:rPr>
          <w:rFonts w:hint="eastAsia" w:ascii="仿宋_GB2312" w:hAnsi="Times New Roman" w:eastAsia="仿宋_GB2312" w:cs="Times New Roman"/>
          <w:sz w:val="32"/>
          <w:szCs w:val="32"/>
          <w:lang w:eastAsia="zh-CN"/>
        </w:rPr>
        <w:t>给予</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lang w:eastAsia="zh-CN"/>
        </w:rPr>
        <w:t>万元支持经费；青年拔尖人才，</w:t>
      </w:r>
      <w:r>
        <w:rPr>
          <w:rFonts w:hint="eastAsia" w:ascii="仿宋_GB2312" w:hAnsi="Times New Roman" w:eastAsia="仿宋_GB2312" w:cs="Times New Roman"/>
          <w:sz w:val="32"/>
          <w:szCs w:val="32"/>
          <w:lang w:val="en-US" w:eastAsia="zh-CN"/>
        </w:rPr>
        <w:t>培养3人，</w:t>
      </w:r>
      <w:r>
        <w:rPr>
          <w:rFonts w:hint="eastAsia" w:ascii="仿宋_GB2312" w:hAnsi="Times New Roman" w:eastAsia="仿宋_GB2312" w:cs="Times New Roman"/>
          <w:sz w:val="32"/>
          <w:szCs w:val="32"/>
          <w:lang w:eastAsia="zh-CN"/>
        </w:rPr>
        <w:t>每人给予</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lang w:eastAsia="zh-CN"/>
        </w:rPr>
        <w:t>万元支持经费；科技创新团队，</w:t>
      </w:r>
      <w:r>
        <w:rPr>
          <w:rFonts w:hint="eastAsia" w:ascii="仿宋_GB2312" w:hAnsi="Times New Roman" w:eastAsia="仿宋_GB2312" w:cs="Times New Roman"/>
          <w:sz w:val="32"/>
          <w:szCs w:val="32"/>
          <w:lang w:val="en-US" w:eastAsia="zh-CN"/>
        </w:rPr>
        <w:t>支持1个，</w:t>
      </w:r>
      <w:r>
        <w:rPr>
          <w:rFonts w:hint="eastAsia" w:ascii="仿宋_GB2312" w:hAnsi="Times New Roman" w:eastAsia="仿宋_GB2312" w:cs="Times New Roman"/>
          <w:sz w:val="32"/>
          <w:szCs w:val="32"/>
          <w:lang w:eastAsia="zh-CN"/>
        </w:rPr>
        <w:t>给予</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lang w:eastAsia="zh-CN"/>
        </w:rPr>
        <w:t>万元支持经费。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（二）根据《自治区党委 自治区人民政府关于加强和改进新时代人才工作的实施意见》(新党发〔2022)8号)规定，支持经费主要用于培养人选开展创新创业活动和个人奖金。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支持经费最高可提取30%用于个人奖金，作为政府奖金、在考核验收合格且取得项目成果评审等级后，按照不超过支持经费的</w:t>
      </w:r>
      <w:r>
        <w:rPr>
          <w:rFonts w:hint="eastAsia" w:ascii="仿宋_GB2312" w:hAnsi="Times New Roman" w:eastAsia="仿宋_GB2312" w:cs="Times New Roman"/>
          <w:sz w:val="32"/>
          <w:szCs w:val="32"/>
          <w:lang w:val="en-US" w:eastAsia="zh-CN"/>
        </w:rPr>
        <w:t>30%</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支持经费最少70%须用于完成任务书中所约定的创新创业项目内容，原则上由培养人选自主支配使用，使用范围主要如下：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宋体" w:hAnsi="宋体" w:eastAsia="宋体" w:cs="宋体"/>
          <w:sz w:val="32"/>
          <w:szCs w:val="32"/>
          <w:lang w:eastAsia="zh-CN"/>
        </w:rPr>
        <w:t>·</w:t>
      </w:r>
      <w:r>
        <w:rPr>
          <w:rFonts w:hint="eastAsia" w:ascii="仿宋_GB2312" w:hAnsi="Times New Roman" w:eastAsia="仿宋_GB2312" w:cs="Times New Roman"/>
          <w:sz w:val="32"/>
          <w:szCs w:val="32"/>
          <w:lang w:eastAsia="zh-CN"/>
        </w:rPr>
        <w:t>创新创业活动直接相关的经费。如：设备费，业务费(包括材料、测试化验加工、燃料动力、差旅、会议、合作与交流、出版论著和发表论文、文献资料、信息传播、知识产权事务等)，劳务费，以及用于科研绩效支出等的间接费用，间接费用不超过支持经费的</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宋体" w:hAnsi="宋体" w:eastAsia="宋体" w:cs="宋体"/>
          <w:sz w:val="32"/>
          <w:szCs w:val="32"/>
          <w:lang w:eastAsia="zh-CN"/>
        </w:rPr>
        <w:t>·</w:t>
      </w:r>
      <w:r>
        <w:rPr>
          <w:rFonts w:hint="eastAsia" w:ascii="仿宋_GB2312" w:hAnsi="Times New Roman" w:eastAsia="仿宋_GB2312" w:cs="Times New Roman"/>
          <w:sz w:val="32"/>
          <w:szCs w:val="32"/>
          <w:lang w:eastAsia="zh-CN"/>
        </w:rPr>
        <w:t>短期培训经费。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宋体" w:hAnsi="宋体" w:eastAsia="宋体" w:cs="宋体"/>
          <w:sz w:val="32"/>
          <w:szCs w:val="32"/>
          <w:lang w:eastAsia="zh-CN"/>
        </w:rPr>
        <w:t>·</w:t>
      </w:r>
      <w:r>
        <w:rPr>
          <w:rFonts w:hint="eastAsia" w:ascii="仿宋_GB2312" w:hAnsi="Times New Roman" w:eastAsia="仿宋_GB2312" w:cs="Times New Roman"/>
          <w:sz w:val="32"/>
          <w:szCs w:val="32"/>
          <w:lang w:eastAsia="zh-CN"/>
        </w:rPr>
        <w:t>人才培养及团队建设经费。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宋体" w:hAnsi="宋体" w:eastAsia="宋体" w:cs="宋体"/>
          <w:sz w:val="32"/>
          <w:szCs w:val="32"/>
          <w:lang w:eastAsia="zh-CN"/>
        </w:rPr>
        <w:t xml:space="preserve">· </w:t>
      </w:r>
      <w:r>
        <w:rPr>
          <w:rFonts w:hint="eastAsia" w:ascii="仿宋_GB2312" w:hAnsi="Times New Roman" w:eastAsia="仿宋_GB2312" w:cs="Times New Roman"/>
          <w:sz w:val="32"/>
          <w:szCs w:val="32"/>
          <w:lang w:eastAsia="zh-CN"/>
        </w:rPr>
        <w:t>改善科研和工作条件经费。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宋体" w:hAnsi="宋体" w:eastAsia="宋体" w:cs="宋体"/>
          <w:sz w:val="32"/>
          <w:szCs w:val="32"/>
          <w:lang w:eastAsia="zh-CN"/>
        </w:rPr>
        <w:t>·</w:t>
      </w:r>
      <w:r>
        <w:rPr>
          <w:rFonts w:hint="eastAsia" w:ascii="仿宋_GB2312" w:hAnsi="Times New Roman" w:eastAsia="仿宋_GB2312" w:cs="Times New Roman"/>
          <w:sz w:val="32"/>
          <w:szCs w:val="32"/>
          <w:lang w:eastAsia="zh-CN"/>
        </w:rPr>
        <w:t>其他与开展创新创业活动相关的费用。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除最高30%可用于个人奖金的支持经费以外，其余支持经费不得用于与任务书约定的工作无关的支出，不得通过虚列、伪造人员名单等方式虚报冒领劳务费、专家咨询费，不得列支个人或家庭费用，不得支付各种罚款、捐款、赞助、投资和偿还债务，不得全部列支设备费，不得列支基础设施建设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八、经费管理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（一）财政部门根据入选通知，将支持经费拨付至用人单位。经费严格按照《塔城地区人才发展基金管理使用办法(试行)》(塔地财规〔2023〕</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号)执行，人才计划项目实施部门（单位）对支持资金，应单独设帐、专款专用，做到账目清楚、核算准确，任何单位和个人不得截留、挤占、挪用和擅自改变资金用途，不得提取管理费用。一经发现有违规行为的，停止拨付培养经费，并追回已拨付的培养经费，同时追究有关单位和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（二）拨付地区级部门(单位)使用的人才发展基金，年度剩余资金按照以下原则办理：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人才发展基金中用于地区财政科研项目的，其年度剩余资金按照自治区财政科研项目资金管理办法执行。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其他项目年度剩余资金按照地区本级部门结转和结余资金管理办法执行。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培养人选支持期内原则上不得转换工作单位，确需工作调动、且新单位为塔城地区内单位并具备继续实施项目条件的，经地区科技局审核同意，由财政部门按年度预算计划统一办理变更手续，任务书和剩余经费转至新单位继续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i w:val="0"/>
          <w:iCs w:val="0"/>
          <w:color w:val="000000" w:themeColor="text1"/>
          <w:sz w:val="32"/>
          <w:szCs w:val="32"/>
          <w:highlight w:val="none"/>
          <w:lang w:val="en-US" w:eastAsia="zh-CN"/>
          <w14:textFill>
            <w14:solidFill>
              <w14:schemeClr w14:val="tx1"/>
            </w14:solidFill>
          </w14:textFill>
        </w:rPr>
        <w:t>九、考核管理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（一）“塔城英才”计划项目实行绩效目标考核管理制度，重点对培养人选事前目标设定、事中跟踪监督、事后结果评价进行全流程管理和服务。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绩效考核分为年度绩效考核和期满考核验收。年度考核主要对培养人选创新创业项目的绩效目标进度完成情况、资金管理使用等情况进行综合评估，对于年度资金执行率低于50%的，应详细说明原因，存在严重问题的要及时整改。期满考核全面验收任务书规定的目标任务、绩效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（三）对不同类别培养人选的考核评价标准，应结合行业领域特点体现差异化，突出创新能力、质量、实效、贡献等多元化导向，避免“一刀切”。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 期满考核验收应形成《验收意见》，提出“优秀”“合格”“不合格”的意见。对考核“优秀”的，可再支持一个周期，人数一般不超过本周期该项目入选人员总数的10%。对“合格”的，做好结项工作。对“不合格”的，提出整改要求，督促限期整改，整改期一般不超过3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（五）对资助经费在</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lang w:eastAsia="zh-CN"/>
        </w:rPr>
        <w:t>万元的，由培养人选和用人单位自主选择具备资质的第三方机构进行期满财务审计，形成财务审计报告。审计报告应客观反映财政经费到位情况，经费是否实行单独建账、独立核算等。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六）通过期满考核验收，且培养人选及用人单位无不良信用记录的，用于财政科研项目的结余资金留归用人单位使用，统筹用于人才工作和培养计划科研支出，优先考虑培养人选科研需求。培养人选及用人单位应加强结余资金管理，建立健全结余资金盘活机制，加快结余资金使用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（七） 地区科技局组织实施考核工作。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（八） 培养人选有下列情形之一的，退出“塔城英才”计划，按比例退还已拨付资金，不再享受相关支持政策。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提拔担任县处级及以上党政领导职务，或纳入公务员管理(参照公务员法管理)且不再从事专业技术工作的。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组织安排调离塔城地区的。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工作调动后新单位为塔城地区内单位但不具备继续实施项目条件的。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因身体健康状况等客观原因无法继续履行任务书或合同职责的。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因个人原因经批准离职且未完成任务书或合同职责的。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（九）培养人选有下列情形之一的，用人单位应及时按程序向各项目牵头实施部门报告，经调查核实情况属实的，撤销“塔城英才”计划资格，并追回全部已拨付资金，用人单位根据相关合同追究违约责任。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政治思想、道德品质、廉洁自律等方面出现严重问题的。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有弄虚作假、学术不端、违纪违法等行为，造成严重不良影响的。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期满考核验收不合格，限期整改后再次验收仍未通过的。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撤销“塔城英才”计划资格的，3年内不得申报地区各类人才计划和科研项目。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（十）出现退出和撤销资格等情况需退还已拨付资金的，用人单位应在一个月内按程序向项目牵头部门报告，牵头部门应及时报地区科技局审核，由地区科技局会同财政部门收回已拨付资金。</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黑体" w:hAnsi="黑体" w:eastAsia="黑体" w:cs="黑体"/>
          <w:i w:val="0"/>
          <w:i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i w:val="0"/>
          <w:iCs w:val="0"/>
          <w:color w:val="000000" w:themeColor="text1"/>
          <w:kern w:val="2"/>
          <w:sz w:val="32"/>
          <w:szCs w:val="32"/>
          <w:highlight w:val="none"/>
          <w:lang w:val="en-US" w:eastAsia="zh-CN" w:bidi="ar-SA"/>
          <w14:textFill>
            <w14:solidFill>
              <w14:schemeClr w14:val="tx1"/>
            </w14:solidFill>
          </w14:textFill>
        </w:rPr>
        <w:t>十、有关要求</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（一）主管部门要高度重视，加强组织领导，坚持公平公正原则，遵守工作纪律，严格标准，规范程序。对申报材料、初步人选的政治表现，职业道德、学术规范等有关情况进行严格审核把关。</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（二）依托单位要切实负担起人才推荐、培养、使用的主体责任，认真做好申报人选资格条件审核把关，在依托单位内部进行公示，只公示人选姓名、单位，不得公示人选其他个人身份信息。</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依托单位与主管部门要建立完善科技伦理和科技安全审查机制，防范科技伦理和安全风险，按照有关法律法规，加强审查和过程管理。指导申报人如实填写申报材料，认真审核，严格把关，确保材料与信息的真实有效。对于存在弄虚作假等科研失信行为的，取消申报人资格，按科研诚信管理的相关规定对申报人和依托单位进行处理。对于组织不力，把关不严，审核不到位的主管单位根据情节轻重予以通报批评、下一年度限额推荐等处理。</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（四）经过相关程序认定有涉密内容的项目可直接将申报材料报送至地区科技局。</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（五）凡在组织实施过程中形成的科技成果进行技术交易活动，需签订技术交易合同，并及时进行登记。</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（六）依托单位及申报人须分别签署地区“塔城英才”培养计划科研诚信承诺书。</w:t>
      </w:r>
    </w:p>
    <w:p>
      <w:pPr>
        <w:rPr>
          <w:rFonts w:hint="eastAsia" w:ascii="仿宋_GB2312" w:hAnsi="Times New Roman" w:eastAsia="仿宋_GB2312" w:cs="Times New Roman"/>
          <w:kern w:val="2"/>
          <w:sz w:val="32"/>
          <w:szCs w:val="32"/>
          <w:lang w:val="en-US" w:eastAsia="zh-CN" w:bidi="ar-SA"/>
        </w:rPr>
      </w:pPr>
    </w:p>
    <w:p/>
    <w:p>
      <w:pPr>
        <w:pStyle w:val="2"/>
      </w:pPr>
    </w:p>
    <w:p>
      <w:pPr>
        <w:pStyle w:val="4"/>
      </w:pPr>
    </w:p>
    <w:p>
      <w:pPr>
        <w:pStyle w:val="7"/>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pStyle w:val="5"/>
        <w:bidi w:val="0"/>
        <w:rPr>
          <w:rFonts w:hint="eastAsia"/>
          <w:lang w:val="en-US"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ascii="仿宋_GB2312" w:hAnsi="Times New Roman" w:eastAsia="仿宋_GB2312" w:cs="Times New Roman"/>
          <w:kern w:val="2"/>
          <w:sz w:val="32"/>
          <w:szCs w:val="32"/>
          <w:lang w:val="en-US" w:eastAsia="zh-CN" w:bidi="ar-SA"/>
        </w:rPr>
      </w:pPr>
    </w:p>
    <w:p>
      <w:pPr>
        <w:pStyle w:val="7"/>
        <w:ind w:left="5760" w:hanging="5760" w:hangingChars="18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塔城地区科技局</w:t>
      </w:r>
    </w:p>
    <w:p>
      <w:pPr>
        <w:pStyle w:val="6"/>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 xml:space="preserve"> 2024年4月29日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E7B4D"/>
    <w:rsid w:val="0743078D"/>
    <w:rsid w:val="298C05DF"/>
    <w:rsid w:val="31710B7C"/>
    <w:rsid w:val="362E06EA"/>
    <w:rsid w:val="51F3034E"/>
    <w:rsid w:val="5B0C3EC3"/>
    <w:rsid w:val="637E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 w:val="32"/>
    </w:rPr>
  </w:style>
  <w:style w:type="paragraph" w:styleId="3">
    <w:name w:val="Body Text Indent"/>
    <w:basedOn w:val="1"/>
    <w:next w:val="1"/>
    <w:qFormat/>
    <w:uiPriority w:val="0"/>
    <w:pPr>
      <w:spacing w:after="120" w:afterLines="0"/>
      <w:ind w:left="420" w:leftChars="200"/>
    </w:pPr>
  </w:style>
  <w:style w:type="paragraph" w:styleId="4">
    <w:name w:val="Body Text First Indent"/>
    <w:basedOn w:val="5"/>
    <w:next w:val="7"/>
    <w:qFormat/>
    <w:uiPriority w:val="0"/>
    <w:pPr>
      <w:ind w:firstLine="420" w:firstLineChars="100"/>
    </w:pPr>
    <w:rPr>
      <w:rFonts w:eastAsia="宋体" w:cs="Times New Roman"/>
      <w:szCs w:val="24"/>
    </w:rPr>
  </w:style>
  <w:style w:type="paragraph" w:styleId="5">
    <w:name w:val="Body Text"/>
    <w:basedOn w:val="1"/>
    <w:next w:val="6"/>
    <w:qFormat/>
    <w:uiPriority w:val="0"/>
    <w:pPr>
      <w:spacing w:after="120"/>
    </w:pPr>
  </w:style>
  <w:style w:type="paragraph" w:customStyle="1" w:styleId="6">
    <w:name w:val="_Style 3"/>
    <w:next w:val="1"/>
    <w:qFormat/>
    <w:uiPriority w:val="0"/>
    <w:pPr>
      <w:wordWrap w:val="0"/>
    </w:pPr>
    <w:rPr>
      <w:rFonts w:ascii="Times New Roman" w:hAnsi="Times New Roman" w:eastAsia="宋体" w:cs="Times New Roman"/>
      <w:sz w:val="32"/>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2024-04-28T10:27:00Z</dcterms:created>
  <dc:creator>Administrator</dc:creator>
  <cp:lastModifiedBy>Administrator</cp:lastModifiedBy>
  <cp:lastPrinted>2024-04-29T02:49:00Z</cp:lastPrinted>
  <dcterms:modified xsi:type="dcterms:W3CDTF">2024-04-29T09:36:36Z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