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40" w:lineRule="exact"/>
        <w:ind w:firstLine="0" w:firstLineChars="0"/>
        <w:jc w:val="center"/>
        <w:rPr>
          <w:rFonts w:ascii="方正小标宋简体" w:eastAsia="方正小标宋简体"/>
          <w:sz w:val="44"/>
          <w:szCs w:val="44"/>
        </w:rPr>
      </w:pPr>
    </w:p>
    <w:p>
      <w:pPr>
        <w:pStyle w:val="8"/>
        <w:spacing w:line="540" w:lineRule="exact"/>
        <w:ind w:firstLine="0" w:firstLineChars="0"/>
        <w:jc w:val="center"/>
        <w:rPr>
          <w:rFonts w:ascii="方正小标宋简体" w:eastAsia="方正小标宋简体"/>
          <w:sz w:val="44"/>
          <w:szCs w:val="44"/>
        </w:rPr>
      </w:pPr>
    </w:p>
    <w:p>
      <w:pPr>
        <w:pStyle w:val="8"/>
        <w:spacing w:line="54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关于塔城地区自治区第一轮第三批生态环境保护督察反馈问题（序号12，沙湾大</w:t>
      </w:r>
    </w:p>
    <w:p>
      <w:pPr>
        <w:pStyle w:val="8"/>
        <w:spacing w:line="54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气专项7、8）整改完成情况的公示</w:t>
      </w:r>
    </w:p>
    <w:p>
      <w:pPr>
        <w:pStyle w:val="2"/>
        <w:keepNext w:val="0"/>
        <w:keepLines w:val="0"/>
        <w:pBdr>
          <w:top w:val="none" w:color="auto" w:sz="0" w:space="1"/>
          <w:left w:val="none" w:color="auto" w:sz="0" w:space="4"/>
          <w:bottom w:val="none" w:color="auto" w:sz="0" w:space="1"/>
          <w:right w:val="none" w:color="auto" w:sz="0" w:space="4"/>
        </w:pBdr>
        <w:ind w:firstLine="640"/>
      </w:pPr>
    </w:p>
    <w:p>
      <w:pPr>
        <w:pStyle w:val="4"/>
        <w:widowControl/>
        <w:pBdr>
          <w:top w:val="none" w:color="auto" w:sz="0" w:space="1"/>
          <w:left w:val="none" w:color="auto" w:sz="0" w:space="4"/>
          <w:bottom w:val="none" w:color="auto" w:sz="0" w:space="1"/>
          <w:right w:val="none" w:color="auto" w:sz="0" w:space="4"/>
        </w:pBdr>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根据《塔城地区贯彻落实第一轮第三批生态环境保护督察整改方案》，自治区第一轮第三批生态环境保护督察反馈问题序号第12项（沙湾大气专项7、8）的整改工作，现将有关情况公示如下：</w:t>
      </w:r>
    </w:p>
    <w:p>
      <w:pPr>
        <w:pStyle w:val="4"/>
        <w:widowControl/>
        <w:numPr>
          <w:ilvl w:val="0"/>
          <w:numId w:val="1"/>
        </w:numPr>
        <w:pBdr>
          <w:top w:val="none" w:color="auto" w:sz="0" w:space="1"/>
          <w:left w:val="none" w:color="auto" w:sz="0" w:space="4"/>
          <w:bottom w:val="none" w:color="auto" w:sz="0" w:space="1"/>
          <w:right w:val="none" w:color="auto" w:sz="0" w:space="4"/>
        </w:pBdr>
        <w:spacing w:beforeAutospacing="0" w:afterAutospacing="0" w:line="560" w:lineRule="exact"/>
        <w:ind w:left="0" w:firstLine="640"/>
        <w:rPr>
          <w:rFonts w:ascii="黑体" w:hAnsi="黑体" w:eastAsia="黑体" w:cs="方正小标宋简体"/>
          <w:color w:val="000000"/>
          <w:sz w:val="32"/>
          <w:szCs w:val="32"/>
        </w:rPr>
      </w:pPr>
      <w:r>
        <w:rPr>
          <w:rFonts w:hint="eastAsia" w:ascii="黑体" w:hAnsi="黑体" w:eastAsia="黑体" w:cs="方正小标宋简体"/>
          <w:color w:val="000000"/>
          <w:sz w:val="32"/>
          <w:szCs w:val="32"/>
        </w:rPr>
        <w:t>整改任务</w:t>
      </w:r>
    </w:p>
    <w:p>
      <w:pPr>
        <w:pStyle w:val="4"/>
        <w:widowControl/>
        <w:pBdr>
          <w:top w:val="none" w:color="auto" w:sz="0" w:space="1"/>
          <w:left w:val="none" w:color="auto" w:sz="0" w:space="4"/>
          <w:bottom w:val="none" w:color="auto" w:sz="0" w:space="1"/>
          <w:right w:val="none" w:color="auto" w:sz="0" w:space="4"/>
        </w:pBdr>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沙湾市新疆帅科煤化有限公司60×104吨/年焦化项目、合运焦化有限责任公司60万吨/年机焦工程、永弘焦化有限责任公司年产60万吨机焦工程（以下简称“三家焦化企业）问题集中且多发。督察发现，三家焦化企业均使用超标废水熄焦，大量含COD、氨氮、挥发酚的超标废水蒸发直排外环境。三家焦化企业虽已建成高效脱硝设施，但存在运行不正常现象。同时，永弘焦化有限责任公司因烟温达不到脱硝设施反应所需的温度，2022—2023年采暖季期间，超标排放长达60天，截至督察进驻，仍处于超标排放状态。三家焦化企业在焦炉烟道上设置旁路，利用旁路烟道排放未经处理的废气，企业装煤、出焦环节也未采取有效收尘措施，焦炉炉门、炉顶黄色烟气逸散，污染物无组织排放问题突出。”</w:t>
      </w:r>
    </w:p>
    <w:p>
      <w:pPr>
        <w:numPr>
          <w:ilvl w:val="0"/>
          <w:numId w:val="1"/>
        </w:numPr>
        <w:pBdr>
          <w:top w:val="none" w:color="auto" w:sz="0" w:space="1"/>
          <w:left w:val="none" w:color="auto" w:sz="0" w:space="4"/>
          <w:bottom w:val="none" w:color="auto" w:sz="0" w:space="1"/>
          <w:right w:val="none" w:color="auto" w:sz="0" w:space="4"/>
        </w:pBdr>
        <w:spacing w:line="560" w:lineRule="exact"/>
        <w:ind w:left="0" w:firstLine="640"/>
        <w:rPr>
          <w:rFonts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整改时限</w:t>
      </w:r>
    </w:p>
    <w:p>
      <w:pPr>
        <w:pBdr>
          <w:top w:val="none" w:color="auto" w:sz="0" w:space="1"/>
          <w:left w:val="none" w:color="auto" w:sz="0" w:space="4"/>
          <w:bottom w:val="none" w:color="auto" w:sz="0" w:space="1"/>
          <w:right w:val="none" w:color="auto" w:sz="0" w:space="4"/>
        </w:pBdr>
        <w:spacing w:line="560" w:lineRule="exac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2024年年底前。</w:t>
      </w:r>
    </w:p>
    <w:p>
      <w:pPr>
        <w:numPr>
          <w:ilvl w:val="0"/>
          <w:numId w:val="1"/>
        </w:numPr>
        <w:pBdr>
          <w:top w:val="none" w:color="auto" w:sz="0" w:space="1"/>
          <w:left w:val="none" w:color="auto" w:sz="0" w:space="4"/>
          <w:bottom w:val="none" w:color="auto" w:sz="0" w:space="1"/>
          <w:right w:val="none" w:color="auto" w:sz="0" w:space="4"/>
        </w:pBdr>
        <w:spacing w:line="560" w:lineRule="exact"/>
        <w:ind w:left="0" w:firstLine="640"/>
        <w:rPr>
          <w:rFonts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整改目标</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沙湾市三家焦化企业熄焦废水、无组织及有组织废气达标排放。</w:t>
      </w:r>
    </w:p>
    <w:p>
      <w:pPr>
        <w:numPr>
          <w:ilvl w:val="0"/>
          <w:numId w:val="1"/>
        </w:numPr>
        <w:pBdr>
          <w:top w:val="none" w:color="auto" w:sz="0" w:space="1"/>
          <w:left w:val="none" w:color="auto" w:sz="0" w:space="4"/>
          <w:bottom w:val="none" w:color="auto" w:sz="0" w:space="1"/>
          <w:right w:val="none" w:color="auto" w:sz="0" w:space="4"/>
        </w:pBdr>
        <w:spacing w:line="560" w:lineRule="exact"/>
        <w:ind w:left="0" w:firstLine="640"/>
        <w:rPr>
          <w:rFonts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整改措施</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1.加大对焦化行业监督检查力度，通过“双随机”、交叉执法等方式，督促企业熄焦废水处理达标后回用。</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2.督促永弘焦化有限责任公司对现有的脱硫脱硝设施进行升级改造，实现主要污染物达标排放。</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3.由于三家焦化企业旁路烟道作为紧急排放口使用，具有防止发生安全生产事故的作用（应急管理部门已出具证明文件）。生态环境部门严格强化对三家焦化企业焦炉旁路烟道日常管理，禁止企业非紧急情况利用焦炉旁路烟道排放焦炉烟气污染物，督促三家焦化企业焦炉旁路烟道挡板必须实行铅封，在旁路烟道按照相关技术规范要求安装烟气在线监测设施，按规范设施建设监测平台及折返梯，确保焦炉旁路烟道安装的烟气在线监测设施处于开启状态，对使用时间较长的必须开展在线监测设施比对监测。</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4.督促三家焦化企业进一步强化治理设施日常管理，定期对设备进行日常维护保养，减少装煤、出焦环节、焦炉炉门、炉顶无组织排放，同时严格落实排污许可证中各项无组织环节污染管控措施。</w:t>
      </w:r>
    </w:p>
    <w:p>
      <w:pPr>
        <w:pStyle w:val="2"/>
        <w:keepNext w:val="0"/>
        <w:keepLines w:val="0"/>
        <w:pBdr>
          <w:top w:val="none" w:color="auto" w:sz="0" w:space="1"/>
          <w:left w:val="none" w:color="auto" w:sz="0" w:space="4"/>
          <w:bottom w:val="none" w:color="auto" w:sz="0" w:space="1"/>
          <w:right w:val="none" w:color="auto" w:sz="0" w:space="4"/>
        </w:pBdr>
        <w:spacing w:line="560" w:lineRule="exact"/>
        <w:ind w:firstLine="640"/>
        <w:rPr>
          <w:rFonts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5.加强对三家焦化企业的日常监督性监测，及时掌握企业污染物排放情况。</w:t>
      </w:r>
    </w:p>
    <w:p>
      <w:pPr>
        <w:pBdr>
          <w:top w:val="none" w:color="auto" w:sz="0" w:space="1"/>
          <w:left w:val="none" w:color="auto" w:sz="0" w:space="4"/>
          <w:bottom w:val="none" w:color="auto" w:sz="0" w:space="1"/>
          <w:right w:val="none" w:color="auto" w:sz="0" w:space="4"/>
        </w:pBdr>
        <w:spacing w:line="560" w:lineRule="exact"/>
        <w:ind w:firstLine="640" w:firstLineChars="200"/>
        <w:textAlignment w:val="top"/>
        <w:rPr>
          <w:rFonts w:ascii="黑体" w:hAnsi="黑体" w:eastAsia="黑体" w:cs="方正小标宋简体"/>
          <w:color w:val="000000" w:themeColor="text1"/>
          <w:sz w:val="32"/>
          <w:szCs w:val="32"/>
          <w14:textFill>
            <w14:solidFill>
              <w14:schemeClr w14:val="tx1"/>
            </w14:solidFill>
          </w14:textFill>
        </w:rPr>
      </w:pPr>
      <w:r>
        <w:rPr>
          <w:rFonts w:hint="eastAsia" w:ascii="黑体" w:hAnsi="黑体" w:eastAsia="黑体" w:cs="方正小标宋简体"/>
          <w:color w:val="000000" w:themeColor="text1"/>
          <w:sz w:val="32"/>
          <w:szCs w:val="32"/>
          <w14:textFill>
            <w14:solidFill>
              <w14:schemeClr w14:val="tx1"/>
            </w14:solidFill>
          </w14:textFill>
        </w:rPr>
        <w:t>五、完成情况</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结合“双随机”、交叉执法等方式，每月对三家焦化企业进行检查，督促企业正常运行熄焦废水污染治理设施。目前，永弘焦化、帅科煤化、合运焦化分别通过采取加强熄焦废水治理设施管理、对污水处理站进行工艺调整、新建四级沉淀熄焦废水池等措施，不断加大环保治理设施投入，熄焦废水处理已达标且回收利用。                                                                                                                                                                                                                                                                             </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2.永弘焦化有限责任公司通过在烟气进入装置前的通道处安装烟气升温设施、新增一座氨水储罐、新增一套循环冷却系统、安装温度控制传感系统、清理催化剂等处理措施，完成现有脱硫脱硝升级改造。</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3.对因安全生产要求需保留的旁路烟道（应急管理部门已出具证明文件），督促三家焦化企业完成旁路铅封，且按照规范安装了旁路在线设备、烟气在线监测平台及折返梯，且均已正常使用。                                </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仿宋_GB2312"/>
          <w:sz w:val="32"/>
          <w:szCs w:val="32"/>
        </w:rPr>
        <w:t>三家焦化企业严格按照排污许可证中各项无组织环节污染管控措施，通过对消烟除尘车进行全面检维修、增加除尘器布袋更换频次，加强除尘设备日常维护保养、做好泄漏检测等措施，减少无组织排放，防止黄色烟气逸散。</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5.2023年至今我局委托第三方对三家焦化企业进行监督性</w:t>
      </w:r>
      <w:r>
        <w:rPr>
          <w:rFonts w:hint="eastAsia" w:ascii="仿宋_GB2312" w:eastAsia="仿宋_GB2312" w:cs="Times New Roman"/>
          <w:sz w:val="32"/>
          <w:szCs w:val="32"/>
        </w:rPr>
        <w:t>监测4次</w:t>
      </w:r>
      <w:r>
        <w:rPr>
          <w:rFonts w:hint="eastAsia" w:ascii="仿宋_GB2312" w:hAnsi="Times New Roman" w:eastAsia="仿宋_GB2312" w:cs="Times New Roman"/>
          <w:sz w:val="32"/>
          <w:szCs w:val="32"/>
        </w:rPr>
        <w:t>。</w:t>
      </w:r>
    </w:p>
    <w:p>
      <w:pPr>
        <w:pStyle w:val="8"/>
        <w:pBdr>
          <w:top w:val="none" w:color="auto" w:sz="0" w:space="1"/>
          <w:left w:val="none" w:color="auto" w:sz="0" w:space="4"/>
          <w:bottom w:val="none" w:color="auto" w:sz="0" w:space="1"/>
          <w:right w:val="none" w:color="auto" w:sz="0" w:space="4"/>
        </w:pBdr>
        <w:spacing w:line="540" w:lineRule="exact"/>
        <w:ind w:firstLine="640"/>
        <w:rPr>
          <w:rFonts w:ascii="Times New Roman" w:hAnsi="Times New Roman" w:eastAsia="仿宋_GB2312" w:cs="Times New Roman"/>
          <w:sz w:val="32"/>
          <w:szCs w:val="32"/>
        </w:rPr>
      </w:pPr>
    </w:p>
    <w:p>
      <w:pPr>
        <w:pStyle w:val="8"/>
        <w:pBdr>
          <w:top w:val="none" w:color="auto" w:sz="0" w:space="1"/>
          <w:left w:val="none" w:color="auto" w:sz="0" w:space="4"/>
          <w:bottom w:val="none" w:color="auto" w:sz="0" w:space="1"/>
          <w:right w:val="none" w:color="auto" w:sz="0" w:space="4"/>
        </w:pBd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公示时间:2024年12月</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日至12月1</w:t>
      </w:r>
      <w:r>
        <w:rPr>
          <w:rFonts w:hint="eastAsia" w:ascii="Times New Roman" w:hAnsi="Times New Roman" w:eastAsia="仿宋_GB2312" w:cs="Times New Roman"/>
          <w:sz w:val="32"/>
          <w:szCs w:val="32"/>
          <w:lang w:val="en-US" w:eastAsia="zh-CN"/>
        </w:rPr>
        <w:t>6</w:t>
      </w:r>
      <w:bookmarkStart w:id="0" w:name="_GoBack"/>
      <w:bookmarkEnd w:id="0"/>
      <w:r>
        <w:rPr>
          <w:rFonts w:hint="eastAsia" w:ascii="Times New Roman" w:hAnsi="Times New Roman" w:eastAsia="仿宋_GB2312" w:cs="Times New Roman"/>
          <w:sz w:val="32"/>
          <w:szCs w:val="32"/>
        </w:rPr>
        <w:t>日。共计10个工作日。如有异议，请在公示期间来电来函如实反映。</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牵头责任单位电话（传真）：0901-</w:t>
      </w:r>
      <w:r>
        <w:rPr>
          <w:rFonts w:ascii="仿宋_GB2312" w:hAnsi="仿宋_GB2312" w:eastAsia="仿宋_GB2312" w:cs="仿宋_GB2312"/>
          <w:color w:val="000000" w:themeColor="text1"/>
          <w:sz w:val="32"/>
          <w:szCs w:val="32"/>
          <w:lang w:val="en"/>
          <w14:textFill>
            <w14:solidFill>
              <w14:schemeClr w14:val="tx1"/>
            </w14:solidFill>
          </w14:textFill>
        </w:rPr>
        <w:t>6283331</w:t>
      </w:r>
      <w:r>
        <w:rPr>
          <w:rFonts w:hint="eastAsia" w:ascii="仿宋_GB2312" w:hAnsi="仿宋_GB2312" w:eastAsia="仿宋_GB2312" w:cs="仿宋_GB2312"/>
          <w:color w:val="000000" w:themeColor="text1"/>
          <w:sz w:val="32"/>
          <w:szCs w:val="32"/>
          <w14:textFill>
            <w14:solidFill>
              <w14:schemeClr w14:val="tx1"/>
            </w14:solidFill>
          </w14:textFill>
        </w:rPr>
        <w:t>，</w:t>
      </w:r>
    </w:p>
    <w:p>
      <w:pPr>
        <w:pBdr>
          <w:top w:val="none" w:color="auto" w:sz="0" w:space="1"/>
          <w:left w:val="none" w:color="auto" w:sz="0" w:space="4"/>
          <w:bottom w:val="none" w:color="auto" w:sz="0" w:space="1"/>
          <w:right w:val="none" w:color="auto" w:sz="0" w:space="4"/>
        </w:pBdr>
        <w:autoSpaceDN w:val="0"/>
        <w:adjustRightInd w:val="0"/>
        <w:snapToGrid w:val="0"/>
        <w:spacing w:line="560" w:lineRule="exact"/>
        <w:ind w:firstLine="640"/>
        <w:textAlignment w:val="baseline"/>
        <w:rPr>
          <w:rFonts w:ascii="仿宋" w:hAnsi="仿宋" w:eastAsia="仿宋" w:cs="仿宋"/>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邮箱：1308536573@qq</w:t>
      </w:r>
      <w:r>
        <w:rPr>
          <w:rFonts w:ascii="仿宋_GB2312" w:hAnsi="仿宋_GB2312" w:eastAsia="仿宋_GB2312" w:cs="仿宋_GB2312"/>
          <w:color w:val="000000" w:themeColor="text1"/>
          <w:sz w:val="32"/>
          <w:szCs w:val="32"/>
          <w:lang w:val="en"/>
          <w14:textFill>
            <w14:solidFill>
              <w14:schemeClr w14:val="tx1"/>
            </w14:solidFill>
          </w14:textFill>
        </w:rPr>
        <w:t>.com</w:t>
      </w:r>
    </w:p>
    <w:p>
      <w:pPr>
        <w:pStyle w:val="2"/>
        <w:keepNext w:val="0"/>
        <w:keepLines w:val="0"/>
        <w:pBdr>
          <w:top w:val="none" w:color="auto" w:sz="0" w:space="1"/>
          <w:left w:val="none" w:color="auto" w:sz="0" w:space="4"/>
          <w:bottom w:val="none" w:color="auto" w:sz="0" w:space="1"/>
          <w:right w:val="none" w:color="auto" w:sz="0" w:space="4"/>
        </w:pBdr>
        <w:ind w:firstLine="640"/>
        <w:rPr>
          <w:rFonts w:cs="仿宋"/>
          <w:szCs w:val="32"/>
        </w:rPr>
      </w:pPr>
    </w:p>
    <w:p>
      <w:pPr>
        <w:pBdr>
          <w:top w:val="none" w:color="auto" w:sz="0" w:space="1"/>
          <w:left w:val="none" w:color="auto" w:sz="0" w:space="4"/>
          <w:bottom w:val="none" w:color="auto" w:sz="0" w:space="1"/>
          <w:right w:val="none" w:color="auto" w:sz="0" w:space="4"/>
        </w:pBdr>
        <w:rPr>
          <w:rFonts w:ascii="仿宋" w:hAnsi="仿宋" w:eastAsia="仿宋" w:cs="仿宋"/>
          <w:sz w:val="32"/>
          <w:szCs w:val="32"/>
        </w:rPr>
      </w:pPr>
    </w:p>
    <w:p>
      <w:pPr>
        <w:pStyle w:val="2"/>
        <w:keepNext w:val="0"/>
        <w:keepLines w:val="0"/>
        <w:pBdr>
          <w:top w:val="none" w:color="auto" w:sz="0" w:space="1"/>
          <w:left w:val="none" w:color="auto" w:sz="0" w:space="4"/>
          <w:bottom w:val="none" w:color="auto" w:sz="0" w:space="1"/>
          <w:right w:val="none" w:color="auto" w:sz="0" w:space="4"/>
        </w:pBdr>
        <w:ind w:firstLine="640"/>
        <w:rPr>
          <w:rFonts w:cs="仿宋"/>
          <w:szCs w:val="32"/>
        </w:rPr>
      </w:pPr>
    </w:p>
    <w:p>
      <w:pPr>
        <w:pBdr>
          <w:top w:val="none" w:color="auto" w:sz="0" w:space="1"/>
          <w:left w:val="none" w:color="auto" w:sz="0" w:space="4"/>
          <w:bottom w:val="none" w:color="auto" w:sz="0" w:space="1"/>
          <w:right w:val="none" w:color="auto" w:sz="0" w:space="4"/>
        </w:pBdr>
        <w:rPr>
          <w:rFonts w:ascii="仿宋" w:hAnsi="仿宋" w:eastAsia="仿宋" w:cs="仿宋"/>
          <w:sz w:val="32"/>
          <w:szCs w:val="32"/>
        </w:rPr>
      </w:pPr>
    </w:p>
    <w:p>
      <w:pPr>
        <w:pStyle w:val="2"/>
        <w:keepNext w:val="0"/>
        <w:keepLines w:val="0"/>
        <w:pBdr>
          <w:top w:val="none" w:color="auto" w:sz="0" w:space="1"/>
          <w:left w:val="none" w:color="auto" w:sz="0" w:space="4"/>
          <w:bottom w:val="none" w:color="auto" w:sz="0" w:space="1"/>
          <w:right w:val="none" w:color="auto" w:sz="0" w:space="4"/>
        </w:pBdr>
        <w:ind w:firstLine="640"/>
        <w:rPr>
          <w:rFonts w:cs="仿宋"/>
          <w:szCs w:val="32"/>
        </w:rPr>
      </w:pPr>
    </w:p>
    <w:p>
      <w:pPr>
        <w:pBdr>
          <w:top w:val="none" w:color="auto" w:sz="0" w:space="1"/>
          <w:left w:val="none" w:color="auto" w:sz="0" w:space="4"/>
          <w:bottom w:val="none" w:color="auto" w:sz="0" w:space="1"/>
          <w:right w:val="none" w:color="auto" w:sz="0" w:space="4"/>
        </w:pBdr>
        <w:rPr>
          <w:rFonts w:ascii="仿宋" w:hAnsi="仿宋" w:eastAsia="仿宋" w:cs="仿宋"/>
          <w:sz w:val="32"/>
          <w:szCs w:val="32"/>
        </w:rPr>
      </w:pPr>
    </w:p>
    <w:p>
      <w:pPr>
        <w:pStyle w:val="2"/>
        <w:keepNext w:val="0"/>
        <w:keepLines w:val="0"/>
        <w:pBdr>
          <w:top w:val="none" w:color="auto" w:sz="0" w:space="1"/>
          <w:left w:val="none" w:color="auto" w:sz="0" w:space="4"/>
          <w:bottom w:val="none" w:color="auto" w:sz="0" w:space="1"/>
          <w:right w:val="none" w:color="auto" w:sz="0" w:space="4"/>
        </w:pBdr>
        <w:ind w:firstLine="640"/>
        <w:rPr>
          <w:rFonts w:cs="仿宋"/>
          <w:szCs w:val="32"/>
        </w:rPr>
      </w:pPr>
    </w:p>
    <w:p>
      <w:pPr>
        <w:pBdr>
          <w:top w:val="none" w:color="auto" w:sz="0" w:space="1"/>
          <w:left w:val="none" w:color="auto" w:sz="0" w:space="4"/>
          <w:bottom w:val="none" w:color="auto" w:sz="0" w:space="1"/>
          <w:right w:val="none" w:color="auto" w:sz="0" w:space="4"/>
        </w:pBdr>
        <w:rPr>
          <w:rFonts w:ascii="仿宋" w:hAnsi="仿宋" w:eastAsia="仿宋" w:cs="仿宋"/>
          <w:sz w:val="32"/>
          <w:szCs w:val="32"/>
        </w:rPr>
      </w:pPr>
    </w:p>
    <w:p>
      <w:pPr>
        <w:pStyle w:val="2"/>
        <w:keepNext w:val="0"/>
        <w:keepLines w:val="0"/>
        <w:pBdr>
          <w:top w:val="none" w:color="auto" w:sz="0" w:space="1"/>
          <w:left w:val="none" w:color="auto" w:sz="0" w:space="4"/>
          <w:bottom w:val="none" w:color="auto" w:sz="0" w:space="1"/>
          <w:right w:val="none" w:color="auto" w:sz="0" w:space="4"/>
        </w:pBdr>
        <w:ind w:firstLine="640"/>
      </w:pPr>
    </w:p>
    <w:p>
      <w:pPr>
        <w:pBdr>
          <w:top w:val="none" w:color="auto" w:sz="0" w:space="1"/>
          <w:left w:val="none" w:color="auto" w:sz="0" w:space="4"/>
          <w:bottom w:val="none" w:color="auto" w:sz="0" w:space="1"/>
          <w:right w:val="none" w:color="auto" w:sz="0" w:space="4"/>
        </w:pBdr>
        <w:spacing w:line="560" w:lineRule="exact"/>
        <w:rPr>
          <w:rFonts w:ascii="仿宋" w:hAnsi="仿宋" w:eastAsia="仿宋" w:cs="仿宋"/>
          <w:sz w:val="32"/>
          <w:szCs w:val="32"/>
        </w:rPr>
      </w:pPr>
    </w:p>
    <w:p>
      <w:pPr>
        <w:pStyle w:val="2"/>
        <w:keepNext w:val="0"/>
        <w:keepLines w:val="0"/>
        <w:pBdr>
          <w:top w:val="none" w:color="auto" w:sz="0" w:space="1"/>
          <w:left w:val="none" w:color="auto" w:sz="0" w:space="4"/>
          <w:bottom w:val="none" w:color="auto" w:sz="0" w:space="1"/>
          <w:right w:val="none" w:color="auto" w:sz="0" w:space="4"/>
        </w:pBd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51E8C"/>
    <w:multiLevelType w:val="singleLevel"/>
    <w:tmpl w:val="5D951E8C"/>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DQwMmZiMjgwMzcwOGIyZjZhYTgyYjE5ZjA5NzIifQ=="/>
  </w:docVars>
  <w:rsids>
    <w:rsidRoot w:val="001B5F27"/>
    <w:rsid w:val="001B5F27"/>
    <w:rsid w:val="00A83BF2"/>
    <w:rsid w:val="00AB2735"/>
    <w:rsid w:val="08DE6095"/>
    <w:rsid w:val="19B94148"/>
    <w:rsid w:val="1B1C0C9B"/>
    <w:rsid w:val="289D57A9"/>
    <w:rsid w:val="2A86376A"/>
    <w:rsid w:val="2AA11203"/>
    <w:rsid w:val="44C363C3"/>
    <w:rsid w:val="506558ED"/>
    <w:rsid w:val="51D1286A"/>
    <w:rsid w:val="53C9022C"/>
    <w:rsid w:val="5E1166B6"/>
    <w:rsid w:val="5E350E52"/>
    <w:rsid w:val="5FAB0DB6"/>
    <w:rsid w:val="615F449D"/>
    <w:rsid w:val="63655495"/>
    <w:rsid w:val="6DBA748D"/>
    <w:rsid w:val="7CE65294"/>
    <w:rsid w:val="7DEF1DFC"/>
    <w:rsid w:val="FFBF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Char"/>
    <w:basedOn w:val="1"/>
    <w:qFormat/>
    <w:uiPriority w:val="99"/>
    <w:pPr>
      <w:widowControl/>
      <w:spacing w:after="160" w:line="240" w:lineRule="exact"/>
      <w:jc w:val="left"/>
    </w:pPr>
    <w:rPr>
      <w:rFonts w:ascii="Verdana" w:hAnsi="Verdana" w:cs="Verdana"/>
      <w:kern w:val="0"/>
      <w:sz w:val="24"/>
      <w:lang w:eastAsia="en-US"/>
    </w:rPr>
  </w:style>
  <w:style w:type="paragraph" w:customStyle="1" w:styleId="8">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1570</Characters>
  <Lines>13</Lines>
  <Paragraphs>3</Paragraphs>
  <TotalTime>3</TotalTime>
  <ScaleCrop>false</ScaleCrop>
  <LinksUpToDate>false</LinksUpToDate>
  <CharactersWithSpaces>1842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2023-12-08T19:18:00Z</dcterms:created>
  <dc:creator>黄端端</dc:creator>
  <cp:lastModifiedBy>Administrator</cp:lastModifiedBy>
  <cp:lastPrinted>2024-11-26T11:22:00Z</cp:lastPrinted>
  <dcterms:modified xsi:type="dcterms:W3CDTF">2024-12-03T10:26:43Z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E34C6C30BA484840895A42BC9EB41864</vt:lpwstr>
  </property>
</Properties>
</file>