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zh-CN" w:eastAsia="zh-CN" w:bidi="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hAnsiTheme="minorHAnsi" w:cstheme="minorBidi"/>
          <w:kern w:val="2"/>
          <w:sz w:val="44"/>
          <w:szCs w:val="44"/>
          <w:lang w:val="en-US" w:eastAsia="zh-CN" w:bidi="ar-SA"/>
        </w:rPr>
      </w:pPr>
      <w:r>
        <w:rPr>
          <w:rFonts w:hint="eastAsia" w:ascii="方正小标宋简体" w:eastAsia="方正小标宋简体" w:hAnsiTheme="minorHAnsi" w:cstheme="minorBidi"/>
          <w:kern w:val="2"/>
          <w:sz w:val="44"/>
          <w:szCs w:val="44"/>
          <w:lang w:val="en-US" w:eastAsia="zh-CN" w:bidi="ar-SA"/>
        </w:rPr>
        <w:t>关于</w:t>
      </w:r>
      <w:r>
        <w:rPr>
          <w:rFonts w:hint="eastAsia" w:ascii="方正小标宋简体" w:eastAsia="方正小标宋简体" w:cstheme="minorBidi"/>
          <w:kern w:val="2"/>
          <w:sz w:val="44"/>
          <w:szCs w:val="44"/>
          <w:lang w:val="en-US" w:eastAsia="zh-CN" w:bidi="ar-SA"/>
        </w:rPr>
        <w:t>塔城地区</w:t>
      </w:r>
      <w:r>
        <w:rPr>
          <w:rFonts w:hint="eastAsia" w:ascii="方正小标宋简体" w:eastAsia="方正小标宋简体" w:hAnsiTheme="minorHAnsi" w:cstheme="minorBidi"/>
          <w:kern w:val="2"/>
          <w:sz w:val="44"/>
          <w:szCs w:val="44"/>
          <w:lang w:val="en-US" w:eastAsia="zh-CN" w:bidi="ar-SA"/>
        </w:rPr>
        <w:t>自治区第一轮第三批生态环境保护督察反馈问题（</w:t>
      </w:r>
      <w:r>
        <w:rPr>
          <w:rFonts w:hint="eastAsia" w:ascii="方正小标宋简体" w:eastAsia="方正小标宋简体" w:cstheme="minorBidi"/>
          <w:kern w:val="2"/>
          <w:sz w:val="44"/>
          <w:szCs w:val="44"/>
          <w:lang w:val="en-US" w:eastAsia="zh-CN" w:bidi="ar-SA"/>
        </w:rPr>
        <w:t>序号41</w:t>
      </w:r>
      <w:r>
        <w:rPr>
          <w:rFonts w:hint="eastAsia" w:ascii="方正小标宋简体" w:eastAsia="方正小标宋简体" w:hAnsiTheme="minorHAnsi" w:cstheme="minorBidi"/>
          <w:kern w:val="2"/>
          <w:sz w:val="44"/>
          <w:szCs w:val="44"/>
          <w:lang w:val="en-US" w:eastAsia="zh-CN" w:bidi="ar-SA"/>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hAnsiTheme="minorHAnsi" w:cstheme="minorBidi"/>
          <w:kern w:val="2"/>
          <w:sz w:val="44"/>
          <w:szCs w:val="44"/>
          <w:lang w:val="en-US" w:eastAsia="zh-CN" w:bidi="ar-SA"/>
        </w:rPr>
      </w:pPr>
      <w:r>
        <w:rPr>
          <w:rFonts w:hint="eastAsia" w:ascii="方正小标宋简体" w:eastAsia="方正小标宋简体" w:hAnsiTheme="minorHAnsi" w:cstheme="minorBidi"/>
          <w:kern w:val="2"/>
          <w:sz w:val="44"/>
          <w:szCs w:val="44"/>
          <w:lang w:val="en-US" w:eastAsia="zh-CN" w:bidi="ar-SA"/>
        </w:rPr>
        <w:t>整改情况的公示</w:t>
      </w:r>
    </w:p>
    <w:p>
      <w:pPr>
        <w:keepNext w:val="0"/>
        <w:keepLines w:val="0"/>
        <w:pageBreakBefore w:val="0"/>
        <w:widowControl w:val="0"/>
        <w:kinsoku/>
        <w:wordWrap/>
        <w:overflowPunct/>
        <w:autoSpaceDN/>
        <w:bidi w:val="0"/>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《塔城地区</w:t>
      </w:r>
      <w:r>
        <w:rPr>
          <w:rFonts w:hint="eastAsia" w:ascii="仿宋_GB2312" w:hAnsi="仿宋_GB2312" w:eastAsia="仿宋_GB2312" w:cs="仿宋_GB2312"/>
          <w:sz w:val="32"/>
          <w:szCs w:val="32"/>
          <w:lang w:eastAsia="zh-CN"/>
        </w:rPr>
        <w:t>贯彻落实</w:t>
      </w:r>
      <w:r>
        <w:rPr>
          <w:rFonts w:hint="eastAsia" w:ascii="仿宋_GB2312" w:hAnsi="仿宋_GB2312" w:eastAsia="仿宋_GB2312" w:cs="仿宋_GB2312"/>
          <w:sz w:val="32"/>
          <w:szCs w:val="32"/>
        </w:rPr>
        <w:t>第一轮第三批生态环境保护督察报告整改方案》</w:t>
      </w:r>
      <w:r>
        <w:rPr>
          <w:rFonts w:hint="eastAsia" w:ascii="仿宋_GB2312" w:hAnsi="仿宋_GB2312" w:eastAsia="仿宋_GB2312" w:cs="仿宋_GB2312"/>
          <w:sz w:val="32"/>
          <w:szCs w:val="32"/>
          <w:lang w:eastAsia="zh-CN"/>
        </w:rPr>
        <w:t>，自治区第一轮第三批生态环境保护督察报告反馈问题</w:t>
      </w:r>
      <w:r>
        <w:rPr>
          <w:rFonts w:hint="eastAsia" w:ascii="仿宋_GB2312" w:hAnsi="仿宋_GB2312" w:eastAsia="仿宋_GB2312" w:cs="仿宋_GB2312"/>
          <w:sz w:val="32"/>
          <w:szCs w:val="32"/>
          <w:lang w:val="en-US" w:eastAsia="zh-CN"/>
        </w:rPr>
        <w:t>（序号41）已完成整改，现将具体情况予以公示：</w:t>
      </w:r>
    </w:p>
    <w:p>
      <w:pPr>
        <w:keepNext w:val="0"/>
        <w:keepLines w:val="0"/>
        <w:pageBreakBefore w:val="0"/>
        <w:widowControl w:val="0"/>
        <w:kinsoku/>
        <w:wordWrap/>
        <w:overflowPunct/>
        <w:topLinePunct w:val="0"/>
        <w:autoSpaceDN/>
        <w:bidi w:val="0"/>
        <w:spacing w:after="0" w:line="600" w:lineRule="exact"/>
        <w:ind w:firstLine="640" w:firstLineChars="200"/>
        <w:jc w:val="both"/>
        <w:rPr>
          <w:rFonts w:hint="eastAsia" w:ascii="仿宋_GB2312" w:hAnsi="仿宋_GB2312" w:eastAsia="仿宋_GB2312" w:cs="仿宋_GB2312"/>
          <w:b/>
          <w:bCs/>
          <w:sz w:val="32"/>
          <w:szCs w:val="32"/>
        </w:rPr>
      </w:pPr>
      <w:r>
        <w:rPr>
          <w:rFonts w:hint="eastAsia" w:ascii="黑体" w:hAnsi="黑体" w:eastAsia="黑体" w:cs="黑体"/>
          <w:b w:val="0"/>
          <w:bCs/>
          <w:sz w:val="32"/>
          <w:szCs w:val="32"/>
        </w:rPr>
        <w:t>一、整改任务</w:t>
      </w:r>
      <w:bookmarkStart w:id="0" w:name="OLE_LINK1"/>
      <w:r>
        <w:rPr>
          <w:rFonts w:hint="eastAsia" w:ascii="黑体" w:hAnsi="黑体" w:eastAsia="黑体" w:cs="黑体"/>
          <w:b w:val="0"/>
          <w:bCs/>
          <w:sz w:val="32"/>
          <w:szCs w:val="32"/>
          <w:lang w:eastAsia="zh-CN"/>
        </w:rPr>
        <w:t>：</w:t>
      </w:r>
      <w:r>
        <w:rPr>
          <w:rFonts w:hint="eastAsia" w:ascii="仿宋_GB2312" w:hAnsi="仿宋_GB2312" w:eastAsia="仿宋_GB2312" w:cs="仿宋_GB2312"/>
          <w:sz w:val="32"/>
          <w:szCs w:val="32"/>
          <w:lang w:val="en-US" w:eastAsia="zh-CN"/>
        </w:rPr>
        <w:t>完成托里县金福黄金矿业有限责任公司提依尔金矿尾矿库闭库治理</w:t>
      </w:r>
      <w:bookmarkEnd w:id="0"/>
      <w:r>
        <w:rPr>
          <w:rFonts w:hint="eastAsia" w:ascii="仿宋_GB2312" w:hAnsi="仿宋_GB2312" w:eastAsia="仿宋_GB2312" w:cs="仿宋_GB2312"/>
          <w:sz w:val="32"/>
          <w:szCs w:val="32"/>
          <w:lang w:val="en-US" w:eastAsia="zh-CN"/>
        </w:rPr>
        <w:t>工作。</w:t>
      </w:r>
    </w:p>
    <w:p>
      <w:pPr>
        <w:keepNext w:val="0"/>
        <w:keepLines w:val="0"/>
        <w:pageBreakBefore w:val="0"/>
        <w:widowControl w:val="0"/>
        <w:kinsoku/>
        <w:wordWrap/>
        <w:overflowPunct/>
        <w:topLinePunct w:val="0"/>
        <w:autoSpaceDN/>
        <w:bidi w:val="0"/>
        <w:spacing w:after="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黑体" w:hAnsi="黑体" w:eastAsia="黑体" w:cs="黑体"/>
          <w:b w:val="0"/>
          <w:bCs/>
          <w:sz w:val="32"/>
          <w:szCs w:val="32"/>
        </w:rPr>
        <w:t>二、整改时限</w:t>
      </w:r>
      <w:r>
        <w:rPr>
          <w:rFonts w:hint="eastAsia" w:ascii="黑体" w:hAnsi="黑体" w:eastAsia="黑体" w:cs="黑体"/>
          <w:b w:val="0"/>
          <w:bCs/>
          <w:sz w:val="32"/>
          <w:szCs w:val="32"/>
          <w:lang w:eastAsia="zh-CN"/>
        </w:rPr>
        <w:t>：</w:t>
      </w:r>
      <w:r>
        <w:rPr>
          <w:rFonts w:hint="eastAsia" w:ascii="仿宋_GB2312" w:hAnsi="仿宋_GB2312" w:eastAsia="仿宋_GB2312" w:cs="仿宋_GB2312"/>
          <w:sz w:val="32"/>
          <w:szCs w:val="32"/>
          <w:lang w:val="en-US" w:eastAsia="zh-CN"/>
        </w:rPr>
        <w:t>2025年底前。</w:t>
      </w:r>
    </w:p>
    <w:p>
      <w:pPr>
        <w:keepNext w:val="0"/>
        <w:keepLines w:val="0"/>
        <w:pageBreakBefore w:val="0"/>
        <w:widowControl w:val="0"/>
        <w:kinsoku/>
        <w:wordWrap/>
        <w:overflowPunct/>
        <w:topLinePunct w:val="0"/>
        <w:autoSpaceDN/>
        <w:bidi w:val="0"/>
        <w:spacing w:after="0" w:line="600" w:lineRule="exact"/>
        <w:ind w:firstLine="640" w:firstLineChars="200"/>
        <w:jc w:val="both"/>
        <w:rPr>
          <w:rFonts w:hint="default" w:ascii="仿宋_GB2312" w:hAnsi="仿宋_GB2312" w:eastAsia="仿宋_GB2312" w:cs="仿宋_GB2312"/>
          <w:b/>
          <w:sz w:val="32"/>
          <w:szCs w:val="32"/>
          <w:lang w:val="en-US"/>
        </w:rPr>
      </w:pPr>
      <w:r>
        <w:rPr>
          <w:rFonts w:hint="eastAsia" w:ascii="黑体" w:hAnsi="黑体" w:eastAsia="黑体" w:cs="黑体"/>
          <w:b w:val="0"/>
          <w:bCs/>
          <w:sz w:val="32"/>
          <w:szCs w:val="32"/>
        </w:rPr>
        <w:t>三、整改目标</w:t>
      </w:r>
      <w:r>
        <w:rPr>
          <w:rFonts w:hint="eastAsia" w:ascii="黑体" w:hAnsi="黑体" w:eastAsia="黑体" w:cs="黑体"/>
          <w:b w:val="0"/>
          <w:bCs/>
          <w:sz w:val="32"/>
          <w:szCs w:val="32"/>
          <w:lang w:eastAsia="zh-CN"/>
        </w:rPr>
        <w:t>：</w:t>
      </w:r>
      <w:r>
        <w:rPr>
          <w:rFonts w:hint="eastAsia" w:ascii="仿宋_GB2312" w:hAnsi="仿宋_GB2312" w:eastAsia="仿宋_GB2312" w:cs="仿宋_GB2312"/>
          <w:sz w:val="32"/>
          <w:szCs w:val="32"/>
          <w:lang w:val="en-US" w:eastAsia="zh-CN"/>
        </w:rPr>
        <w:t>完成托里县金福黄金矿业有限责任公司提依尔金矿尾矿库停产期间安全保障，按照要求开展尾矿库闭库工作，验收合格后闭库销号。</w:t>
      </w:r>
    </w:p>
    <w:p>
      <w:pPr>
        <w:keepNext w:val="0"/>
        <w:keepLines w:val="0"/>
        <w:pageBreakBefore w:val="0"/>
        <w:widowControl w:val="0"/>
        <w:kinsoku/>
        <w:wordWrap/>
        <w:overflowPunct/>
        <w:topLinePunct w:val="0"/>
        <w:autoSpaceDN/>
        <w:bidi w:val="0"/>
        <w:spacing w:after="0" w:line="600" w:lineRule="exact"/>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rPr>
        <w:t>四、整改措施</w:t>
      </w:r>
      <w:r>
        <w:rPr>
          <w:rFonts w:hint="eastAsia" w:ascii="黑体" w:hAnsi="黑体" w:eastAsia="黑体" w:cs="黑体"/>
          <w:b w:val="0"/>
          <w:bCs/>
          <w:sz w:val="32"/>
          <w:szCs w:val="32"/>
          <w:lang w:eastAsia="zh-CN"/>
        </w:rPr>
        <w:t>：</w:t>
      </w:r>
    </w:p>
    <w:p>
      <w:pPr>
        <w:keepNext w:val="0"/>
        <w:keepLines w:val="0"/>
        <w:pageBreakBefore w:val="0"/>
        <w:widowControl w:val="0"/>
        <w:kinsoku/>
        <w:wordWrap/>
        <w:overflowPunct/>
        <w:topLinePunct w:val="0"/>
        <w:autoSpaceDN/>
        <w:bidi w:val="0"/>
        <w:spacing w:after="0" w:line="600" w:lineRule="exact"/>
        <w:ind w:firstLine="640" w:firstLineChars="200"/>
        <w:rPr>
          <w:rFonts w:hint="default" w:ascii="仿宋_GB2312" w:eastAsia="仿宋_GB2312"/>
          <w:sz w:val="32"/>
          <w:szCs w:val="32"/>
          <w:lang w:val="en-US" w:eastAsia="zh-CN"/>
        </w:rPr>
      </w:pPr>
      <w:r>
        <w:rPr>
          <w:rFonts w:hint="eastAsia" w:ascii="仿宋_GB2312" w:hAnsi="仿宋_GB2312" w:eastAsia="仿宋_GB2312" w:cs="仿宋_GB2312"/>
          <w:sz w:val="32"/>
          <w:szCs w:val="32"/>
          <w:lang w:val="en-US" w:eastAsia="zh-CN"/>
        </w:rPr>
        <w:t>督促指导企业编制安全预评价、初步设计、安全设施设计，并报自治区应急管理厅审查、批复，督促该企业委托有资质的第三方机构按照批复的《安全设施设计》开展</w:t>
      </w:r>
      <w:r>
        <w:rPr>
          <w:rFonts w:hint="eastAsia" w:ascii="仿宋_GB2312" w:eastAsia="仿宋_GB2312"/>
          <w:sz w:val="32"/>
          <w:szCs w:val="32"/>
          <w:lang w:val="en-US" w:eastAsia="zh-CN"/>
        </w:rPr>
        <w:t>尾矿库闭库工程施工，经验收合格后闭库销号。</w:t>
      </w:r>
    </w:p>
    <w:p>
      <w:pPr>
        <w:keepNext w:val="0"/>
        <w:keepLines w:val="0"/>
        <w:pageBreakBefore w:val="0"/>
        <w:widowControl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after="0" w:line="600" w:lineRule="exact"/>
        <w:ind w:left="0" w:leftChars="0" w:firstLine="640" w:firstLineChars="200"/>
        <w:textAlignment w:val="top"/>
        <w:rPr>
          <w:rFonts w:hint="eastAsia" w:ascii="黑体" w:hAnsi="黑体" w:eastAsia="黑体" w:cs="黑体"/>
          <w:b w:val="0"/>
          <w:bCs/>
          <w:sz w:val="32"/>
          <w:szCs w:val="32"/>
        </w:rPr>
      </w:pPr>
      <w:r>
        <w:rPr>
          <w:rFonts w:hint="eastAsia" w:ascii="黑体" w:hAnsi="黑体" w:eastAsia="黑体" w:cs="黑体"/>
          <w:b w:val="0"/>
          <w:bCs/>
          <w:sz w:val="32"/>
          <w:szCs w:val="32"/>
        </w:rPr>
        <w:t>五、完成情况</w:t>
      </w:r>
    </w:p>
    <w:p>
      <w:pPr>
        <w:keepNext w:val="0"/>
        <w:keepLines w:val="0"/>
        <w:pageBreakBefore w:val="0"/>
        <w:widowControl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after="0" w:line="600" w:lineRule="exact"/>
        <w:ind w:left="0" w:leftChars="0" w:firstLine="640" w:firstLineChars="200"/>
        <w:textAlignment w:val="top"/>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一是编制《托里县金福黄金矿业有限责任公司提依尔金矿尾矿库闭库工程安全设施设计》（以下简称《安全设施设计》），开展评审工作。2024年3月，托里县金福黄金矿业有限责任公司委托新疆有色冶金设计研究院有限公司完成了《安全设施设计》；2024年4月向自治区应急管理厅提交了《安全设施设计》；2024年5月23日，自治区应急管理厅下发了《非煤矿山建设项目安全许可意见书》，原则上同意《安全设施设计》通过审查，建设期从2024年5月23日至2025年6月22日。二是按照《安全设施设计》开展施工。依据自治区应急管理厅审查通过的《安全设施设计》，组织中国黄金集团第三工程有限公司进行了尾矿库闭库工程施工，开展尾矿坝、防排洪系统、安全监测设施、辅助设施、安全标志工程建设。三是组织竣工验收。2025年7月，委托博俊安全技术有限公司编制了《托里县金福黄金矿业有限责任公司提依尔金矿尾矿库闭库工程安全设施验收评价报告》（以下简称《验收评价报告》）；2025年6月26日，组织5名专家、本单位和博俊安全技术有限公司代表召开了《验收评价报告》技术审查会，经过充分的讨论，专家组同意该《验收评价报告》通过技术审查；2025年8月19日，邀请自治区相关专业的技术专家组成闭库工程安全设施竣工验收技术专家组，对托里县金福黄金矿业有限责任公司提依尔金矿尾矿库闭库工程安全设施进行了现场竣工验收，经充分讨论，认为施工质量满足设计要求，同意通过闭库工程竣工验收。</w:t>
      </w:r>
      <w:r>
        <w:rPr>
          <w:rFonts w:hint="eastAsia" w:ascii="仿宋_GB2312" w:hAnsi="仿宋_GB2312" w:eastAsia="仿宋_GB2312" w:cs="仿宋_GB2312"/>
          <w:b w:val="0"/>
          <w:bCs w:val="0"/>
          <w:sz w:val="32"/>
          <w:szCs w:val="32"/>
          <w:lang w:val="en-US" w:eastAsia="zh-CN"/>
        </w:rPr>
        <w:t>四是监督核查。2025年8月21日，</w:t>
      </w:r>
      <w:r>
        <w:rPr>
          <w:rFonts w:hint="eastAsia" w:ascii="仿宋_GB2312" w:eastAsia="仿宋_GB2312"/>
          <w:b w:val="0"/>
          <w:bCs w:val="0"/>
          <w:sz w:val="32"/>
          <w:szCs w:val="32"/>
          <w:lang w:val="en-US" w:eastAsia="zh-CN"/>
        </w:rPr>
        <w:t>地区应急管理局组织地区自然资源局、托里县应急管理局、财政局、生态环境局领导干部和水利高级工程师肖明、地质及采矿工程高级工程师罗爱民、机械设计及其自动化高级工程师李留斌3名专家对托里县金福黄金矿业有限责任公司提依尔金矿尾矿库闭库工程安全设施现场竣工验收情况进行监督核查，认为验收过程合法合规，验收结果符合实际，同意通过闭库工程竣工验收意见。</w:t>
      </w:r>
    </w:p>
    <w:p>
      <w:pPr>
        <w:keepNext w:val="0"/>
        <w:keepLines w:val="0"/>
        <w:pageBreakBefore w:val="0"/>
        <w:widowControl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after="0" w:line="600" w:lineRule="exact"/>
        <w:ind w:left="0" w:leftChars="0" w:firstLine="640" w:firstLineChars="200"/>
        <w:textAlignment w:val="top"/>
        <w:rPr>
          <w:rFonts w:hint="eastAsia" w:ascii="仿宋_GB2312" w:hAnsi="仿宋_GB2312" w:eastAsia="仿宋_GB2312" w:cs="仿宋_GB2312"/>
          <w:sz w:val="32"/>
          <w:szCs w:val="32"/>
          <w:lang w:val="en-US" w:eastAsia="zh-CN"/>
        </w:rPr>
      </w:pPr>
      <w:r>
        <w:rPr>
          <w:rFonts w:hint="eastAsia" w:ascii="黑体" w:hAnsi="黑体" w:eastAsia="黑体" w:cs="黑体"/>
          <w:color w:val="000000"/>
          <w:kern w:val="0"/>
          <w:sz w:val="32"/>
          <w:szCs w:val="32"/>
          <w:lang w:val="en-US" w:eastAsia="zh-CN"/>
        </w:rPr>
        <w:t>公示时间：</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年1</w:t>
      </w:r>
      <w:r>
        <w:rPr>
          <w:rFonts w:hint="eastAsia" w:ascii="仿宋_GB2312" w:hAnsi="仿宋_GB2312" w:eastAsia="仿宋_GB2312" w:cs="仿宋_GB2312"/>
          <w:i w:val="0"/>
          <w:iCs w:val="0"/>
          <w:caps w:val="0"/>
          <w:color w:val="000000"/>
          <w:spacing w:val="0"/>
          <w:sz w:val="32"/>
          <w:szCs w:val="32"/>
          <w:lang w:val="en-US" w:eastAsia="zh-CN"/>
        </w:rPr>
        <w:t>0</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27</w:t>
      </w:r>
      <w:r>
        <w:rPr>
          <w:rFonts w:hint="eastAsia" w:ascii="仿宋_GB2312" w:hAnsi="仿宋_GB2312" w:eastAsia="仿宋_GB2312" w:cs="仿宋_GB2312"/>
          <w:i w:val="0"/>
          <w:iCs w:val="0"/>
          <w:caps w:val="0"/>
          <w:color w:val="000000"/>
          <w:spacing w:val="0"/>
          <w:sz w:val="32"/>
          <w:szCs w:val="32"/>
        </w:rPr>
        <w:t>日至</w:t>
      </w:r>
      <w:r>
        <w:rPr>
          <w:rFonts w:hint="eastAsia" w:ascii="仿宋_GB2312" w:hAnsi="仿宋_GB2312" w:eastAsia="仿宋_GB2312" w:cs="仿宋_GB2312"/>
          <w:i w:val="0"/>
          <w:iCs w:val="0"/>
          <w:caps w:val="0"/>
          <w:color w:val="000000"/>
          <w:spacing w:val="0"/>
          <w:sz w:val="32"/>
          <w:szCs w:val="32"/>
          <w:lang w:val="en-US" w:eastAsia="zh-CN"/>
        </w:rPr>
        <w:t>11月7</w:t>
      </w:r>
      <w:r>
        <w:rPr>
          <w:rFonts w:hint="eastAsia" w:ascii="仿宋_GB2312" w:hAnsi="仿宋_GB2312" w:eastAsia="仿宋_GB2312" w:cs="仿宋_GB2312"/>
          <w:i w:val="0"/>
          <w:iCs w:val="0"/>
          <w:caps w:val="0"/>
          <w:color w:val="000000"/>
          <w:spacing w:val="0"/>
          <w:sz w:val="32"/>
          <w:szCs w:val="32"/>
        </w:rPr>
        <w:t>日，</w:t>
      </w:r>
      <w:bookmarkStart w:id="1" w:name="_GoBack"/>
      <w:bookmarkEnd w:id="1"/>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共计10个工作日。如有异议，请在公示期间来电来函如实反映。</w:t>
      </w:r>
    </w:p>
    <w:p>
      <w:pPr>
        <w:keepNext w:val="0"/>
        <w:keepLines w:val="0"/>
        <w:pageBreakBefore w:val="0"/>
        <w:widowControl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after="0" w:line="600" w:lineRule="exact"/>
        <w:ind w:left="0" w:leftChars="0" w:firstLine="640" w:firstLineChars="200"/>
        <w:jc w:val="left"/>
        <w:textAlignment w:val="top"/>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i w:val="0"/>
          <w:iCs w:val="0"/>
          <w:caps w:val="0"/>
          <w:color w:val="000000" w:themeColor="text1"/>
          <w:spacing w:val="0"/>
          <w:sz w:val="32"/>
          <w:szCs w:val="32"/>
          <w:highlight w:val="none"/>
          <w:lang w:eastAsia="zh-CN"/>
          <w14:textFill>
            <w14:solidFill>
              <w14:schemeClr w14:val="tx1"/>
            </w14:solidFill>
          </w14:textFill>
        </w:rPr>
        <w:t>牵头责任单位电话（传真）：</w:t>
      </w:r>
      <w:r>
        <w:rPr>
          <w:rFonts w:hint="eastAsia" w:ascii="仿宋_GB2312" w:hAnsi="仿宋_GB2312" w:eastAsia="仿宋_GB2312" w:cs="仿宋_GB2312"/>
          <w:b w:val="0"/>
          <w:bCs w:val="0"/>
          <w:kern w:val="2"/>
          <w:sz w:val="32"/>
          <w:szCs w:val="32"/>
          <w:lang w:val="en-US" w:eastAsia="zh-CN" w:bidi="ar-SA"/>
        </w:rPr>
        <w:t xml:space="preserve">0901-6272967  </w:t>
      </w:r>
    </w:p>
    <w:p>
      <w:pPr>
        <w:keepNext w:val="0"/>
        <w:keepLines w:val="0"/>
        <w:pageBreakBefore w:val="0"/>
        <w:widowControl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after="0" w:line="600" w:lineRule="exact"/>
        <w:ind w:left="0" w:leftChars="0" w:firstLine="640" w:firstLineChars="200"/>
        <w:jc w:val="left"/>
        <w:textAlignment w:val="top"/>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邮箱：</w:t>
      </w:r>
      <w:r>
        <w:rPr>
          <w:rFonts w:hint="default" w:ascii="Times New Roman" w:hAnsi="Times New Roman" w:eastAsia="仿宋_GB2312" w:cs="Times New Roman"/>
          <w:i w:val="0"/>
          <w:caps w:val="0"/>
          <w:color w:val="000000"/>
          <w:spacing w:val="0"/>
          <w:sz w:val="32"/>
          <w:szCs w:val="32"/>
          <w:shd w:val="clear" w:fill="FFFFFF"/>
        </w:rPr>
        <w:t>tcdczggs@163.com</w:t>
      </w:r>
    </w:p>
    <w:sectPr>
      <w:pgSz w:w="11906" w:h="16838" w:orient="landscape"/>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true"/>
  <w:bordersDoNotSurroundFooter w:val="true"/>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E16658"/>
    <w:rsid w:val="0DB50BCE"/>
    <w:rsid w:val="1B302088"/>
    <w:rsid w:val="22F15F33"/>
    <w:rsid w:val="2E085A80"/>
    <w:rsid w:val="2E286662"/>
    <w:rsid w:val="30723F53"/>
    <w:rsid w:val="39A7720F"/>
    <w:rsid w:val="3A73176E"/>
    <w:rsid w:val="4B2A6F96"/>
    <w:rsid w:val="52EF46E1"/>
    <w:rsid w:val="735621D9"/>
    <w:rsid w:val="7FD31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2024-09-03T02:13:00Z</dcterms:created>
  <dc:creator>Administrator</dc:creator>
  <cp:lastModifiedBy>user</cp:lastModifiedBy>
  <dcterms:modified xsi:type="dcterms:W3CDTF">2025-10-27T16:43:52Z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