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关于塔城地区自治区第一轮第二批生态环境保护督察反馈问题(自治区，兵团督察序号16)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整改情况公示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乌苏市贯彻落实自治区 兵团生态环境保护督察组督察反馈意见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整改方案》，自治区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兵团</w:t>
      </w:r>
      <w:r>
        <w:rPr>
          <w:rFonts w:hint="eastAsia" w:ascii="仿宋_GB2312" w:hAnsi="仿宋_GB2312" w:eastAsia="仿宋_GB2312" w:cs="仿宋_GB2312"/>
          <w:sz w:val="32"/>
          <w:szCs w:val="32"/>
        </w:rPr>
        <w:t>第二生态环境保护督察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组督察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第十六项整改任务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已完成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现阶段</w:t>
      </w:r>
      <w:r>
        <w:rPr>
          <w:rFonts w:hint="eastAsia" w:ascii="仿宋_GB2312" w:hAnsi="仿宋_GB2312" w:eastAsia="仿宋_GB2312" w:cs="仿宋_GB2312"/>
          <w:sz w:val="32"/>
          <w:szCs w:val="32"/>
        </w:rPr>
        <w:t>整改，现将具体情况予以公示：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一、整改任务：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乌苏市地下水超采问题没有得到有效缓解。乌苏市2018年至2020年实际用水量均远超总量控制指标，实际用水量分别为总量控制指标的1.9倍、2.4倍、4.3倍。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二、整改时限：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2025年12月底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三、整改目标：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认真落实国家有关规定和建立水资源刚性约束制度的要求，力争到2030年达到地下水总体采补平衡。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四、整改措施：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全面开展取用水专项整治整改提升工作，对全市3047个取水口严格实行核查登记工作及计量监控管理。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建立完善最严格水资源管理制度考核指标体系，按季度开展水资源管理考核工作。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按照《乌苏市区域取用水压减方案》逐年开展地下水压减工作，自2022年起，计划按1240万m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/年压减地下水量，2022-2025年压减地下水量4960万m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持续加大地下水超采区治理力度，通过实施恢复地表水灌溉、关井压采、节约用水等综合措施，加快超采区治理。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持续深入推进退地减水任务，到2030年完成自治区下达的32.5万亩退减任务。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开展计划用水监督管理工作，进一步落实“井电双控”监督管理制度，完善升级地下水“井电双控”取用水计量管理系统。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全面落实取水许可和水资源有偿使用制度，严格执行超计划（定额）累进加价制度。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五、完成情况：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全面开展取用水专项整治整改提升工作，对全市3047个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（地下水取水口3032个，地表水取水口15个）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取水口严格实行核查登记工作及计量监控管理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加强对“井电双控”计量设施运行维护，确保全面准确及时掌握地下水取用水情况。2023年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展了辖区内机电井核查工作并建立核查台账，2023至2025年对连续三年未使用的197眼机电井（含2024年按更新机电井“减二更一”相关政策规定，依法填埋6眼机电井并注销取水许可证）依法关停注销。通过核查，乌苏市现有机电井2835眼，计量设施安装率100%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结合每年度上级下达的取用水总量控制目标，制定年度地下水管理方案，分解下发各乡镇取用水控制总量和地下水压减任务，督促指导各乡镇按相关规定严格取用地下水。先后下发乌水考﹝2022﹞3号、乌水考﹝2023﹞3号、乌河湖领办﹝2024﹞4号、《关于做好2025年度计划水量申报审批有关事宜的通知函》，明确年度用水总量控制和地下水压减任务指标。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按照《乌苏市区域取用水压减方案》要求，严格开展地下水压减工作。2022年地下水开采量较2021年同期相比，实际压减地下水用水量786.78万m³；2023年地下水开采量较2022年同期相比，实际压减地下水用水量5090.9万m³；2024年地下水用水总量同2023年同期相比，实际压减地下水用水量5667万m³，2022-2024年累计压减地下水用水量11544.68万m³，提前超额完成了2022-2025年压减地下水用水量4960万m³的计划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ug-CN"/>
        </w:rPr>
        <w:t>近年来，先后实施吉尔格勒德水利枢纽工程建设、“三大一中”灌区续建配套与现代化节水改造、甘河子镇和西湖镇地下水超采治理等工程，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ug-CN"/>
        </w:rPr>
        <w:t>同时通过对连续两年以上未使用的机电井进行关停、加大高标准农田建设项目等工作，实现了关井压采和节约用水。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自2023年下半年以来，利用地表水置换地下水，地表水引用呈现逐渐上升趋势，地下水用水量呈现逐年下降趋势，压减地下水用水量取得明显效果，超采区治理工作步入常态化、正规化。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5.休耕轮作是压减地下水开采量的关键性措施。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我市编制上报了《乌苏市2026-2030年农业休耕轮作实施方案》，确定乌苏市2026年至2030年休耕面积为32.5万亩，为确保在2030年实现地下水总体采补平衡奠定坚实基础。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top"/>
        <w:rPr>
          <w:rFonts w:hint="default" w:ascii="Times New Roman" w:hAnsi="Times New Roman" w:eastAsia="仿宋_GB2312" w:cs="Times New Roman"/>
          <w:snapToGrid/>
          <w:color w:val="000000"/>
          <w:spacing w:val="-5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依托井电双控信息平台，加大对计划用水的监督管理，每年对井电双控设施进行集中运维，确保计量设施正常运行。按管理要求不断完善升级井电双控智能化管理平台，目前全市2835台规模以上机电井和20个地表水取水口均已安装计量设施，并实现在线监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 w:firstLineChars="200"/>
        <w:jc w:val="both"/>
        <w:textAlignment w:val="top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-5"/>
          <w:kern w:val="0"/>
          <w:sz w:val="32"/>
          <w:szCs w:val="32"/>
          <w:lang w:val="en-US" w:eastAsia="zh-CN" w:bidi="ar"/>
        </w:rPr>
        <w:t>7.严格落实《新疆维吾尔自治区水资源费征收管理办法》和《关于调整我区水资源费征收标准有关问题的通知》（新发改农价[2015]1724号），按照自治区水资源费管理办法有关规定，严格落实水资源费超计划累进加价制度。2024年12月1日起，乌苏市按照《关于新疆维吾尔自治区水资源税改革试点有关事项的通知》做好水资源税改革试点的衔接工作，确保水资源税改革平稳过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top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时间：202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日,共10个工作日。如有异议，请在公示期间来电来函如实反映。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牵头责任单位电话（传真）:0992-850262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29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520" w:firstLineChars="1100"/>
        <w:jc w:val="both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邮箱：tcdczggs@163.c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om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A3EB5"/>
    <w:rsid w:val="01285CB1"/>
    <w:rsid w:val="04FE2B2E"/>
    <w:rsid w:val="054464DF"/>
    <w:rsid w:val="05A43C31"/>
    <w:rsid w:val="060D765C"/>
    <w:rsid w:val="098515DD"/>
    <w:rsid w:val="0A3A3EB5"/>
    <w:rsid w:val="15080F6E"/>
    <w:rsid w:val="152E2DAE"/>
    <w:rsid w:val="164D5A79"/>
    <w:rsid w:val="1C5C52FF"/>
    <w:rsid w:val="1D6569A4"/>
    <w:rsid w:val="1E3E07B7"/>
    <w:rsid w:val="1E764740"/>
    <w:rsid w:val="1EF821B4"/>
    <w:rsid w:val="20AA6F53"/>
    <w:rsid w:val="20FB07F1"/>
    <w:rsid w:val="25065BC0"/>
    <w:rsid w:val="2578068E"/>
    <w:rsid w:val="26B85332"/>
    <w:rsid w:val="26E54DC1"/>
    <w:rsid w:val="26E824C5"/>
    <w:rsid w:val="2DBB5855"/>
    <w:rsid w:val="2E70148D"/>
    <w:rsid w:val="34816DE1"/>
    <w:rsid w:val="35952C7F"/>
    <w:rsid w:val="36866B5F"/>
    <w:rsid w:val="382328BB"/>
    <w:rsid w:val="3890083B"/>
    <w:rsid w:val="38AD3BC3"/>
    <w:rsid w:val="3BDC6082"/>
    <w:rsid w:val="3F510EF5"/>
    <w:rsid w:val="3FFA0233"/>
    <w:rsid w:val="40C85FE2"/>
    <w:rsid w:val="42C560C5"/>
    <w:rsid w:val="46D17A72"/>
    <w:rsid w:val="47911AD0"/>
    <w:rsid w:val="4EB9102F"/>
    <w:rsid w:val="50365678"/>
    <w:rsid w:val="568621A8"/>
    <w:rsid w:val="569B383F"/>
    <w:rsid w:val="56CA4DA8"/>
    <w:rsid w:val="57A35DB7"/>
    <w:rsid w:val="58801786"/>
    <w:rsid w:val="5D8B0CE9"/>
    <w:rsid w:val="5F9E3CD5"/>
    <w:rsid w:val="60CE1341"/>
    <w:rsid w:val="638A329F"/>
    <w:rsid w:val="669C2B47"/>
    <w:rsid w:val="672C1A55"/>
    <w:rsid w:val="690F1098"/>
    <w:rsid w:val="69721384"/>
    <w:rsid w:val="6EA33A8F"/>
    <w:rsid w:val="6F3E2D72"/>
    <w:rsid w:val="73513938"/>
    <w:rsid w:val="742A43BC"/>
    <w:rsid w:val="785419AD"/>
    <w:rsid w:val="785740D9"/>
    <w:rsid w:val="79AB59BC"/>
    <w:rsid w:val="7B717080"/>
    <w:rsid w:val="7C166ABD"/>
    <w:rsid w:val="7D68405B"/>
    <w:rsid w:val="7E8853CA"/>
    <w:rsid w:val="FF4BB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3">
    <w:name w:val="Plain Text"/>
    <w:basedOn w:val="1"/>
    <w:next w:val="1"/>
    <w:qFormat/>
    <w:uiPriority w:val="0"/>
    <w:rPr>
      <w:rFonts w:ascii="宋体" w:hAnsi="Courier New" w:eastAsia="仿宋_GB2312"/>
      <w:szCs w:val="20"/>
    </w:rPr>
  </w:style>
  <w:style w:type="paragraph" w:customStyle="1" w:styleId="6">
    <w:name w:val="Char"/>
    <w:basedOn w:val="1"/>
    <w:qFormat/>
    <w:uiPriority w:val="99"/>
  </w:style>
  <w:style w:type="paragraph" w:customStyle="1" w:styleId="7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2023-10-26T11:51:00Z</dcterms:created>
  <dc:creator>Administrator</dc:creator>
  <cp:lastModifiedBy>user</cp:lastModifiedBy>
  <cp:lastPrinted>2023-12-10T18:53:00Z</cp:lastPrinted>
  <dcterms:modified xsi:type="dcterms:W3CDTF">2025-10-27T16:41:29Z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C5E80C34FD1F46DCA39FF8F4419727E6</vt:lpwstr>
  </property>
</Properties>
</file>