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塔城</w:t>
      </w:r>
      <w:r>
        <w:rPr>
          <w:rFonts w:ascii="Times New Roman" w:hAnsi="Times New Roman" w:eastAsia="方正小标宋_GBK" w:cs="Times New Roman"/>
          <w:sz w:val="44"/>
          <w:szCs w:val="44"/>
        </w:rPr>
        <w:t>地区加强和规范国有农用地管理</w:t>
      </w:r>
      <w:r>
        <w:rPr>
          <w:rFonts w:hint="eastAsia" w:ascii="Times New Roman" w:hAnsi="Times New Roman" w:eastAsia="方正小标宋_GBK" w:cs="Times New Roman"/>
          <w:sz w:val="44"/>
          <w:szCs w:val="44"/>
          <w:lang w:val="en-US" w:eastAsia="zh-CN"/>
        </w:rPr>
        <w:t>办法</w:t>
      </w:r>
    </w:p>
    <w:p>
      <w:pPr>
        <w:keepNext w:val="0"/>
        <w:keepLines w:val="0"/>
        <w:pageBreakBefore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（征求意见稿）</w:t>
      </w:r>
    </w:p>
    <w:p>
      <w:pPr>
        <w:keepNext w:val="0"/>
        <w:keepLines w:val="0"/>
        <w:pageBreakBefore w:val="0"/>
        <w:kinsoku/>
        <w:wordWrap/>
        <w:overflowPunct w:val="0"/>
        <w:topLinePunct w:val="0"/>
        <w:autoSpaceDE/>
        <w:autoSpaceDN/>
        <w:bidi w:val="0"/>
        <w:adjustRightInd/>
        <w:snapToGrid/>
        <w:spacing w:line="520" w:lineRule="exact"/>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为深入贯彻落实《新疆维吾尔自治区人民政府办公厅关于加强和规范国有农用地管理的指</w:t>
      </w:r>
      <w:bookmarkStart w:id="0" w:name="_GoBack"/>
      <w:bookmarkEnd w:id="0"/>
      <w:r>
        <w:rPr>
          <w:rFonts w:hint="eastAsia" w:ascii="仿宋_GB2312" w:hAnsi="仿宋_GB2312" w:eastAsia="仿宋_GB2312" w:cs="仿宋_GB2312"/>
          <w:sz w:val="32"/>
          <w:szCs w:val="32"/>
        </w:rPr>
        <w:t>导意见》（新政办发〔2025〕44号）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以下简称“自治区指导意见”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精神，进一步加强和规范全地区国有农用地管理，</w:t>
      </w:r>
      <w:r>
        <w:rPr>
          <w:rFonts w:hint="eastAsia" w:ascii="仿宋_GB2312" w:hAnsi="仿宋_GB2312" w:eastAsia="仿宋_GB2312" w:cs="仿宋_GB2312"/>
          <w:sz w:val="32"/>
          <w:szCs w:val="32"/>
          <w:lang w:val="en-US" w:eastAsia="zh-CN"/>
        </w:rPr>
        <w:t>依据《中华人民共和国民法典》《中华人民共和国土地管理法》《中华人民共和国农村土地承包法》《中华人民共和国森林法》《中华人民共和国草原法》等法律法规，</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塔城</w:t>
      </w:r>
      <w:r>
        <w:rPr>
          <w:rFonts w:hint="eastAsia" w:ascii="仿宋_GB2312" w:hAnsi="仿宋_GB2312" w:eastAsia="仿宋_GB2312" w:cs="仿宋_GB2312"/>
          <w:sz w:val="32"/>
          <w:szCs w:val="32"/>
        </w:rPr>
        <w:t>地区实际，制定本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b/>
          <w:bCs/>
          <w:sz w:val="32"/>
          <w:szCs w:val="32"/>
        </w:rPr>
        <w:t>（一）指导思想。</w:t>
      </w:r>
      <w:r>
        <w:rPr>
          <w:rFonts w:hint="eastAsia" w:ascii="仿宋_GB2312" w:hAnsi="仿宋_GB2312" w:eastAsia="仿宋_GB2312" w:cs="仿宋_GB2312"/>
          <w:color w:val="000000" w:themeColor="text1"/>
          <w:sz w:val="32"/>
          <w:szCs w:val="32"/>
          <w14:textFill>
            <w14:solidFill>
              <w14:schemeClr w14:val="tx1"/>
            </w14:solidFill>
          </w14:textFill>
        </w:rPr>
        <w:t>以自治区指</w:t>
      </w:r>
      <w:r>
        <w:rPr>
          <w:rFonts w:hint="eastAsia" w:ascii="仿宋_GB2312" w:hAnsi="仿宋_GB2312" w:eastAsia="仿宋_GB2312" w:cs="仿宋_GB2312"/>
          <w:sz w:val="32"/>
          <w:szCs w:val="32"/>
        </w:rPr>
        <w:t>导意见为</w:t>
      </w:r>
      <w:r>
        <w:rPr>
          <w:rFonts w:hint="eastAsia" w:ascii="仿宋_GB2312" w:hAnsi="仿宋_GB2312" w:eastAsia="仿宋_GB2312" w:cs="仿宋_GB2312"/>
          <w:color w:val="000000" w:themeColor="text1"/>
          <w:sz w:val="32"/>
          <w:szCs w:val="32"/>
          <w14:textFill>
            <w14:solidFill>
              <w14:schemeClr w14:val="tx1"/>
            </w14:solidFill>
          </w14:textFill>
        </w:rPr>
        <w:t>根本遵循，紧紧围绕地委、行署中心工作，立足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塔城</w:t>
      </w:r>
      <w:r>
        <w:rPr>
          <w:rFonts w:hint="eastAsia" w:ascii="仿宋_GB2312" w:hAnsi="仿宋_GB2312" w:eastAsia="仿宋_GB2312" w:cs="仿宋_GB2312"/>
          <w:color w:val="000000" w:themeColor="text1"/>
          <w:sz w:val="32"/>
          <w:szCs w:val="32"/>
          <w14:textFill>
            <w14:solidFill>
              <w14:schemeClr w14:val="tx1"/>
            </w14:solidFill>
          </w14:textFill>
        </w:rPr>
        <w:t>地区国有农用地资源禀赋和管理实际，着力构建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归属清晰、权责明确、保护严格、流转顺畅、监管有效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的国有农用地资源资产管理制度体系，实现资源效益、经济效益、社会效益与生态效益的有机统一，为筑牢粮食安全根基、推动农业高质量发展提供坚实保障。</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sz w:val="32"/>
          <w:szCs w:val="32"/>
        </w:rPr>
      </w:pPr>
      <w:r>
        <w:rPr>
          <w:rFonts w:hint="eastAsia" w:ascii="楷体_GB2312" w:hAnsi="楷体_GB2312" w:eastAsia="楷体_GB2312" w:cs="楷体_GB2312"/>
          <w:b/>
          <w:bCs/>
          <w:sz w:val="32"/>
          <w:szCs w:val="32"/>
        </w:rPr>
        <w:t>（二）工作目标。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完善国有农用地价格机制，规范价格核定与动态调整；依托统一发包主体与交易平台，规范交易行为；健全承包收入缴库和使用管理机制；提升资源配置效率与集约利用水平，基本化解历史遗留问题，建立健全国有农用地管理长效机制，</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加强国有农用地合同管理，强化村地县管机制落实，压实国有农用地县（市）主责。</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适用范围。</w:t>
      </w:r>
      <w:r>
        <w:rPr>
          <w:rFonts w:hint="eastAsia" w:ascii="仿宋_GB2312" w:hAnsi="仿宋_GB2312" w:eastAsia="仿宋_GB2312" w:cs="仿宋_GB2312"/>
          <w:sz w:val="32"/>
          <w:szCs w:val="32"/>
          <w:lang w:val="en-US" w:eastAsia="zh-CN"/>
        </w:rPr>
        <w:t>塔城地区行政区域内国有农用地（耕地、园地、林地、草地）管理遵循本办法，县（市）人民政府依据行业部门职责，明确国有农用地管理主体单位。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（一）全面规范承包经营管理</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1.实行统一</w:t>
      </w:r>
      <w:r>
        <w:rPr>
          <w:rFonts w:hint="eastAsia" w:ascii="仿宋_GB2312" w:hAnsi="仿宋_GB2312" w:eastAsia="仿宋_GB2312" w:cs="仿宋_GB2312"/>
          <w:b/>
          <w:bCs/>
          <w:sz w:val="32"/>
          <w:szCs w:val="32"/>
          <w:lang w:val="en-US" w:eastAsia="zh-CN"/>
        </w:rPr>
        <w:t>发包主体和</w:t>
      </w:r>
      <w:r>
        <w:rPr>
          <w:rFonts w:hint="eastAsia" w:ascii="仿宋_GB2312" w:hAnsi="仿宋_GB2312" w:eastAsia="仿宋_GB2312" w:cs="仿宋_GB2312"/>
          <w:b/>
          <w:bCs/>
          <w:sz w:val="32"/>
          <w:szCs w:val="32"/>
        </w:rPr>
        <w:t>平台公开交易。</w:t>
      </w:r>
      <w:r>
        <w:rPr>
          <w:rFonts w:hint="eastAsia" w:ascii="仿宋_GB2312" w:hAnsi="仿宋_GB2312" w:eastAsia="仿宋_GB2312" w:cs="仿宋_GB2312"/>
          <w:b w:val="0"/>
          <w:bCs w:val="0"/>
          <w:sz w:val="32"/>
          <w:szCs w:val="32"/>
          <w:lang w:val="en-US" w:eastAsia="zh-CN"/>
        </w:rPr>
        <w:t>各县（市）</w:t>
      </w:r>
      <w:r>
        <w:rPr>
          <w:rFonts w:hint="eastAsia" w:ascii="仿宋_GB2312" w:hAnsi="仿宋_GB2312" w:eastAsia="仿宋_GB2312" w:cs="仿宋_GB2312"/>
          <w:sz w:val="32"/>
          <w:szCs w:val="32"/>
        </w:rPr>
        <w:t>凡涉及国有农用地承包经营权的发包、流转等交易活动（法律、政策另有规定的除外），</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val="en-US" w:eastAsia="zh-CN"/>
        </w:rPr>
        <w:t>由县（市）人民政府按程序确定统一发包主体，</w:t>
      </w:r>
      <w:r>
        <w:rPr>
          <w:rFonts w:hint="eastAsia" w:ascii="仿宋_GB2312" w:hAnsi="仿宋_GB2312" w:eastAsia="仿宋_GB2312" w:cs="仿宋_GB2312"/>
          <w:sz w:val="32"/>
          <w:szCs w:val="32"/>
        </w:rPr>
        <w:t>进入</w:t>
      </w:r>
      <w:r>
        <w:rPr>
          <w:rFonts w:hint="eastAsia" w:ascii="仿宋_GB2312" w:hAnsi="仿宋_GB2312" w:eastAsia="仿宋_GB2312" w:cs="仿宋_GB2312"/>
          <w:sz w:val="32"/>
          <w:szCs w:val="32"/>
          <w:lang w:val="en-US" w:eastAsia="zh-CN"/>
        </w:rPr>
        <w:t>本级统一发包平台发包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val="en-US" w:eastAsia="zh-CN"/>
        </w:rPr>
        <w:t>不得进行</w:t>
      </w:r>
      <w:r>
        <w:rPr>
          <w:rFonts w:hint="eastAsia" w:ascii="仿宋_GB2312" w:hAnsi="仿宋_GB2312" w:eastAsia="仿宋_GB2312" w:cs="仿宋_GB2312"/>
          <w:sz w:val="32"/>
          <w:szCs w:val="32"/>
        </w:rPr>
        <w:t>场外交易、协议转让或私下操作。</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FF0000"/>
          <w:sz w:val="32"/>
          <w:szCs w:val="32"/>
          <w:highlight w:val="yellow"/>
          <w:lang w:val="en-US" w:eastAsia="zh-CN"/>
        </w:rPr>
      </w:pPr>
      <w:r>
        <w:rPr>
          <w:rFonts w:hint="eastAsia" w:ascii="仿宋_GB2312" w:hAnsi="仿宋_GB2312" w:eastAsia="仿宋_GB2312" w:cs="仿宋_GB2312"/>
          <w:b/>
          <w:bCs/>
          <w:sz w:val="32"/>
          <w:szCs w:val="32"/>
        </w:rPr>
        <w:t>2.明确发包权利性质。</w:t>
      </w:r>
      <w:r>
        <w:rPr>
          <w:rFonts w:hint="eastAsia" w:ascii="仿宋_GB2312" w:hAnsi="仿宋_GB2312" w:eastAsia="仿宋_GB2312" w:cs="仿宋_GB2312"/>
          <w:sz w:val="32"/>
          <w:szCs w:val="32"/>
        </w:rPr>
        <w:t>国有农用地发包的权利客体，应严格依法界定为一定期限内的土地承包经营权</w:t>
      </w:r>
      <w:r>
        <w:rPr>
          <w:rFonts w:hint="eastAsia" w:ascii="仿宋_GB2312" w:hAnsi="仿宋_GB2312" w:eastAsia="仿宋_GB2312" w:cs="仿宋_GB2312"/>
          <w:sz w:val="32"/>
          <w:szCs w:val="32"/>
          <w:lang w:eastAsia="zh-CN"/>
        </w:rPr>
        <w:t>（指承包方通过招标、拍卖、公开协商等方式取得的，经依法登记确认的国有农用地用益物权</w:t>
      </w:r>
      <w:r>
        <w:rPr>
          <w:rFonts w:hint="eastAsia" w:ascii="仿宋_GB2312" w:hAnsi="仿宋_GB2312" w:eastAsia="仿宋_GB2312" w:cs="仿宋_GB2312"/>
          <w:sz w:val="32"/>
          <w:szCs w:val="32"/>
          <w:lang w:val="en-US" w:eastAsia="zh-CN"/>
        </w:rPr>
        <w:t>）。除农垦企业改革改制中涉及的国有划拨农用地，严</w:t>
      </w:r>
      <w:r>
        <w:rPr>
          <w:rFonts w:hint="eastAsia" w:ascii="仿宋_GB2312" w:hAnsi="仿宋_GB2312" w:eastAsia="仿宋_GB2312" w:cs="仿宋_GB2312"/>
          <w:sz w:val="32"/>
          <w:szCs w:val="32"/>
        </w:rPr>
        <w:t>禁以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发包土地使用权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作价出资（入股）使用权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租赁土地使用权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或其他不规范名义进行交易，确保从法律源头上厘清权利边界，规范市场秩序，防范国有资产权益流失风险。</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3.统一国有农用地测量与面积核算技术标准。</w:t>
      </w:r>
      <w:r>
        <w:rPr>
          <w:rFonts w:hint="eastAsia" w:ascii="仿宋_GB2312" w:hAnsi="仿宋_GB2312" w:eastAsia="仿宋_GB2312" w:cs="仿宋_GB2312"/>
          <w:b w:val="0"/>
          <w:bCs w:val="0"/>
          <w:sz w:val="32"/>
          <w:szCs w:val="32"/>
          <w:highlight w:val="none"/>
          <w:lang w:val="en-US" w:eastAsia="zh-CN"/>
        </w:rPr>
        <w:t>勘测界定工作须委托具备相应测绘资质的专业机构，采用实地勘测与现代遥感技术相结合的方式开展。测量成果统一采用国家2000大地坐标系（CGCS2000），面积计算采用该坐标系下高斯—克吕格投影（或本地区标准投影）的平面坐标。配套设施用地面积计入发包和管理总面积，承包人可无偿使用，但不得改变用途、破坏设施，相关信息需在权属文件、合同及附图中载明。</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.严格规范承包期限管理。</w:t>
      </w:r>
      <w:r>
        <w:rPr>
          <w:rFonts w:hint="eastAsia" w:ascii="仿宋_GB2312" w:hAnsi="仿宋_GB2312" w:eastAsia="仿宋_GB2312" w:cs="仿宋_GB2312"/>
          <w:sz w:val="32"/>
          <w:szCs w:val="32"/>
          <w:highlight w:val="none"/>
        </w:rPr>
        <w:t>各县（市）人民政府</w:t>
      </w:r>
      <w:r>
        <w:rPr>
          <w:rFonts w:hint="eastAsia" w:ascii="仿宋_GB2312" w:hAnsi="仿宋_GB2312" w:eastAsia="仿宋_GB2312" w:cs="仿宋_GB2312"/>
          <w:sz w:val="32"/>
          <w:szCs w:val="32"/>
          <w:highlight w:val="none"/>
          <w:lang w:val="en-US" w:eastAsia="zh-CN"/>
        </w:rPr>
        <w:t>应遵循自治区指导意见和相关法律法规，</w:t>
      </w:r>
      <w:r>
        <w:rPr>
          <w:rFonts w:hint="eastAsia" w:ascii="仿宋_GB2312" w:hAnsi="仿宋_GB2312" w:eastAsia="仿宋_GB2312" w:cs="仿宋_GB2312"/>
          <w:sz w:val="32"/>
          <w:szCs w:val="32"/>
          <w:highlight w:val="none"/>
        </w:rPr>
        <w:t>结合土地</w:t>
      </w:r>
      <w:r>
        <w:rPr>
          <w:rFonts w:hint="eastAsia" w:ascii="仿宋_GB2312" w:hAnsi="仿宋_GB2312" w:eastAsia="仿宋_GB2312" w:cs="仿宋_GB2312"/>
          <w:sz w:val="32"/>
          <w:szCs w:val="32"/>
          <w:highlight w:val="none"/>
          <w:lang w:val="en-US" w:eastAsia="zh-CN"/>
        </w:rPr>
        <w:t>用途、开发熟化程度、基础设施配套程度、农作物生长周期以及国有农用地管理工作实际等情形，合理确定国有农用地承包经营的具体年限，耕地</w:t>
      </w:r>
      <w:r>
        <w:rPr>
          <w:rFonts w:hint="eastAsia" w:ascii="仿宋_GB2312" w:hAnsi="仿宋_GB2312" w:eastAsia="仿宋_GB2312" w:cs="仿宋_GB2312"/>
          <w:color w:val="auto"/>
          <w:sz w:val="32"/>
          <w:szCs w:val="32"/>
          <w:highlight w:val="none"/>
          <w:lang w:val="en-US" w:eastAsia="zh-CN"/>
        </w:rPr>
        <w:t>原则不超过5年，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园地原则不超过10年，林地30-70年年，草地30-50年</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承包经营年限</w:t>
      </w:r>
      <w:r>
        <w:rPr>
          <w:rFonts w:hint="eastAsia" w:ascii="仿宋_GB2312" w:hAnsi="仿宋_GB2312" w:eastAsia="仿宋_GB2312" w:cs="仿宋_GB2312"/>
          <w:b w:val="0"/>
          <w:bCs w:val="0"/>
          <w:color w:val="auto"/>
          <w:sz w:val="32"/>
          <w:szCs w:val="32"/>
          <w:highlight w:val="none"/>
          <w:lang w:val="en-US" w:eastAsia="zh-CN"/>
        </w:rPr>
        <w:t>不得突破法</w:t>
      </w:r>
      <w:r>
        <w:rPr>
          <w:rFonts w:hint="eastAsia" w:ascii="仿宋_GB2312" w:hAnsi="仿宋_GB2312" w:eastAsia="仿宋_GB2312" w:cs="仿宋_GB2312"/>
          <w:color w:val="auto"/>
          <w:sz w:val="32"/>
          <w:szCs w:val="32"/>
          <w:highlight w:val="none"/>
          <w:lang w:val="en-US" w:eastAsia="zh-CN"/>
        </w:rPr>
        <w:t>律、行政法规上限规定。</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highlight w:val="none"/>
          <w:u w:val="none"/>
        </w:rPr>
      </w:pPr>
      <w:r>
        <w:rPr>
          <w:rFonts w:hint="eastAsia" w:ascii="仿宋_GB2312" w:hAnsi="仿宋_GB2312" w:eastAsia="仿宋_GB2312" w:cs="仿宋_GB2312"/>
          <w:color w:val="auto"/>
          <w:sz w:val="32"/>
          <w:szCs w:val="32"/>
          <w:highlight w:val="none"/>
        </w:rPr>
        <w:t>承包合同的起始与终止时间，必须充分考虑当地主要农作物生长周期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坚决杜绝因合同到期日在生产季中而强行收回土地，损害承包人合法生产经营权益。</w:t>
      </w:r>
      <w:r>
        <w:rPr>
          <w:rFonts w:hint="eastAsia" w:ascii="仿宋_GB2312" w:hAnsi="仿宋_GB2312" w:eastAsia="仿宋_GB2312" w:cs="仿宋_GB2312"/>
          <w:color w:val="auto"/>
          <w:sz w:val="32"/>
          <w:szCs w:val="32"/>
          <w:highlight w:val="none"/>
          <w:u w:val="none"/>
          <w:lang w:eastAsia="zh-CN"/>
        </w:rPr>
        <w:t>因产业深加工超过</w:t>
      </w:r>
      <w:r>
        <w:rPr>
          <w:rFonts w:hint="eastAsia" w:ascii="仿宋_GB2312" w:hAnsi="仿宋_GB2312" w:eastAsia="仿宋_GB2312" w:cs="仿宋_GB2312"/>
          <w:color w:val="auto"/>
          <w:sz w:val="32"/>
          <w:szCs w:val="32"/>
          <w:highlight w:val="none"/>
          <w:u w:val="none"/>
          <w:lang w:val="en-US" w:eastAsia="zh-CN"/>
        </w:rPr>
        <w:t>5年的，需报地区审核。</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.保障原承包人优先承包权。</w:t>
      </w:r>
      <w:r>
        <w:rPr>
          <w:rFonts w:hint="eastAsia" w:ascii="仿宋_GB2312" w:hAnsi="仿宋_GB2312" w:eastAsia="仿宋_GB2312" w:cs="仿宋_GB2312"/>
          <w:b w:val="0"/>
          <w:bCs w:val="0"/>
          <w:sz w:val="32"/>
          <w:szCs w:val="32"/>
          <w:highlight w:val="none"/>
        </w:rPr>
        <w:t>承包合同期限届满启动重新公开发包程序时，应当依法依规保障原承包人在同等价款、同等期限、同等履约标准等同等条件下，行使优先承包权。</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6.严格规范国有农用地再次流转行为。</w:t>
      </w:r>
      <w:r>
        <w:rPr>
          <w:rFonts w:hint="eastAsia" w:ascii="仿宋_GB2312" w:hAnsi="仿宋_GB2312" w:eastAsia="仿宋_GB2312" w:cs="仿宋_GB2312"/>
          <w:b w:val="0"/>
          <w:bCs w:val="0"/>
          <w:sz w:val="32"/>
          <w:szCs w:val="32"/>
          <w:highlight w:val="none"/>
          <w:lang w:val="en-US" w:eastAsia="zh-CN"/>
        </w:rPr>
        <w:t>承包期内，承包人经发包方书面同意后，可依法流转国有农用地经营权（含转包、出租、入股等）。流转土地需严格用于农业生产，不得改变用途、破坏农业综合生产能力，流转期限不得超过承包合同剩余期限。流转原则上通过统一发包平台，确保公开透明；流转双方需签订规范书面合同，并在合同签订后15个工作日内报原发包方备案。</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sz w:val="32"/>
          <w:szCs w:val="32"/>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.规范对农民集体使用的土地管理。</w:t>
      </w:r>
      <w:r>
        <w:rPr>
          <w:rFonts w:hint="eastAsia" w:ascii="仿宋_GB2312" w:hAnsi="仿宋_GB2312" w:eastAsia="仿宋_GB2312" w:cs="仿宋_GB2312"/>
          <w:sz w:val="32"/>
          <w:szCs w:val="32"/>
        </w:rPr>
        <w:t>将国有农用地</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确定给农</w:t>
      </w:r>
      <w:r>
        <w:rPr>
          <w:rFonts w:hint="eastAsia" w:ascii="仿宋_GB2312" w:hAnsi="仿宋_GB2312" w:eastAsia="仿宋_GB2312" w:cs="仿宋_GB2312"/>
          <w:sz w:val="32"/>
          <w:szCs w:val="32"/>
          <w:lang w:val="en-US" w:eastAsia="zh-CN"/>
        </w:rPr>
        <w:t>民</w:t>
      </w:r>
      <w:r>
        <w:rPr>
          <w:rFonts w:hint="eastAsia" w:ascii="仿宋_GB2312" w:hAnsi="仿宋_GB2312" w:eastAsia="仿宋_GB2312" w:cs="仿宋_GB2312"/>
          <w:sz w:val="32"/>
          <w:szCs w:val="32"/>
        </w:rPr>
        <w:t>集体使用的，必须作为重大行政决策，严格履行《自治区重大行政决策程序规定》，经过风险评估、专家论证、集体讨论等程序，由县（市）人民政府确认，确保决策科学、程序合规、公平公正，切实维护国家和农民集体权益。</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（二）健全科学定价与收益分配机制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1.建立</w:t>
      </w:r>
      <w:r>
        <w:rPr>
          <w:rFonts w:hint="eastAsia" w:ascii="仿宋_GB2312" w:hAnsi="仿宋_GB2312" w:eastAsia="仿宋_GB2312" w:cs="仿宋_GB2312"/>
          <w:b/>
          <w:bCs/>
          <w:sz w:val="32"/>
          <w:szCs w:val="32"/>
          <w:highlight w:val="none"/>
          <w:lang w:val="en-US" w:eastAsia="zh-CN"/>
        </w:rPr>
        <w:t>完善</w:t>
      </w:r>
      <w:r>
        <w:rPr>
          <w:rFonts w:hint="eastAsia" w:ascii="仿宋_GB2312" w:hAnsi="仿宋_GB2312" w:eastAsia="仿宋_GB2312" w:cs="仿宋_GB2312"/>
          <w:b/>
          <w:bCs/>
          <w:sz w:val="32"/>
          <w:szCs w:val="32"/>
          <w:highlight w:val="none"/>
        </w:rPr>
        <w:t>国有农用地</w:t>
      </w:r>
      <w:r>
        <w:rPr>
          <w:rFonts w:hint="eastAsia" w:ascii="仿宋_GB2312" w:hAnsi="仿宋_GB2312" w:eastAsia="仿宋_GB2312" w:cs="仿宋_GB2312"/>
          <w:b/>
          <w:bCs/>
          <w:sz w:val="32"/>
          <w:szCs w:val="32"/>
          <w:highlight w:val="none"/>
          <w:lang w:val="en-US" w:eastAsia="zh-CN"/>
        </w:rPr>
        <w:t>承包价格动态调整机制</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rPr>
        <w:t>各县（市）人民政府是责任主体，</w:t>
      </w:r>
      <w:r>
        <w:rPr>
          <w:rFonts w:hint="eastAsia" w:ascii="仿宋_GB2312" w:hAnsi="仿宋_GB2312" w:eastAsia="仿宋_GB2312" w:cs="仿宋_GB2312"/>
          <w:sz w:val="32"/>
          <w:szCs w:val="32"/>
          <w:lang w:val="en-US" w:eastAsia="zh-CN"/>
        </w:rPr>
        <w:t>可以适时</w:t>
      </w:r>
      <w:r>
        <w:rPr>
          <w:rFonts w:hint="eastAsia" w:ascii="仿宋_GB2312" w:hAnsi="仿宋_GB2312" w:eastAsia="仿宋_GB2312" w:cs="仿宋_GB2312"/>
          <w:color w:val="000000"/>
          <w:kern w:val="0"/>
          <w:sz w:val="32"/>
          <w:szCs w:val="32"/>
          <w:lang w:val="en-US" w:eastAsia="zh-CN" w:bidi="ar"/>
        </w:rPr>
        <w:t>根据本县域内国有农用地的耕作条件、区位优势、开发熟化程度、基础设施配套程度、承包期限等，进行区域评估和等级划分，动态调整国有农用地承包价格，原则上每3年对国有农用地重新进行区域评估，更新承包价格。通过政府网站等渠道，定期公布承包价格及调整依据，接受社会监督。</w:t>
      </w:r>
    </w:p>
    <w:p>
      <w:pPr>
        <w:keepNext w:val="0"/>
        <w:keepLines w:val="0"/>
        <w:pageBreakBefore w:val="0"/>
        <w:widowControl w:val="0"/>
        <w:kinsoku/>
        <w:wordWrap/>
        <w:overflowPunct w:val="0"/>
        <w:topLinePunct w:val="0"/>
        <w:autoSpaceDE/>
        <w:autoSpaceDN/>
        <w:bidi w:val="0"/>
        <w:adjustRightInd/>
        <w:snapToGrid/>
        <w:spacing w:line="586" w:lineRule="exact"/>
        <w:ind w:right="0" w:rightChars="0" w:firstLine="643" w:firstLineChars="200"/>
        <w:textAlignment w:val="auto"/>
        <w:rPr>
          <w:rFonts w:ascii="Times New Roman" w:hAnsi="Times New Roman" w:eastAsia="方正仿宋_GBK" w:cs="Times New Roman"/>
          <w:color w:val="FF0000"/>
          <w:sz w:val="32"/>
          <w:szCs w:val="32"/>
          <w:highlight w:val="yellow"/>
        </w:rPr>
      </w:pPr>
      <w:r>
        <w:rPr>
          <w:rFonts w:hint="eastAsia" w:ascii="仿宋_GB2312" w:hAnsi="仿宋_GB2312" w:eastAsia="仿宋_GB2312" w:cs="仿宋_GB2312"/>
          <w:b/>
          <w:bCs/>
          <w:sz w:val="32"/>
          <w:szCs w:val="32"/>
          <w:highlight w:val="none"/>
          <w:lang w:val="en-US" w:eastAsia="zh-CN"/>
        </w:rPr>
        <w:t>2.规范承包收入管理与使用。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各县（市）人民政府</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要监督</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发包主体</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规范国有农用地承包费用的收缴工作，负责日常征收催缴、合同履约监管，实行“一年一缴”制度，确保承包费按期足额缴入地方国库对应科目，不得与国有建设用地出让收入混淆。承包费由县（市）财政部门统筹管理，并严格执行国库集中收缴相关制度。</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（三）强化资源保护与利用监管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sz w:val="32"/>
          <w:szCs w:val="32"/>
        </w:rPr>
        <w:t>1.落实最严格的耕地保护和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以水定地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制度。</w:t>
      </w:r>
      <w:r>
        <w:rPr>
          <w:rFonts w:hint="eastAsia" w:ascii="仿宋_GB2312" w:hAnsi="仿宋_GB2312" w:eastAsia="仿宋_GB2312" w:cs="仿宋_GB2312"/>
          <w:color w:val="000000"/>
          <w:kern w:val="0"/>
          <w:sz w:val="32"/>
          <w:szCs w:val="32"/>
          <w:lang w:val="en-US" w:eastAsia="zh-CN" w:bidi="ar"/>
        </w:rPr>
        <w:t>各县（市）人民政府将国有农用地中的耕地特别是优质耕地纳入最严格保护范围，严禁非法占用或改变用途。坚持“以水定地”原则，强化用水总量控制和定额管理。优先保障粮食生产合法用水，有序保障国有农用地用水需求，引导农业生产经营主体合理调整种植养殖结构和农业用水结构，推进农业节水增效。</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b/>
          <w:bCs/>
          <w:sz w:val="32"/>
          <w:szCs w:val="32"/>
          <w:highlight w:val="yellow"/>
        </w:rPr>
      </w:pPr>
      <w:r>
        <w:rPr>
          <w:rFonts w:hint="eastAsia" w:ascii="仿宋_GB2312" w:hAnsi="仿宋_GB2312" w:eastAsia="仿宋_GB2312" w:cs="仿宋_GB2312"/>
          <w:b/>
          <w:bCs/>
          <w:sz w:val="32"/>
          <w:szCs w:val="32"/>
        </w:rPr>
        <w:t>2.严禁</w:t>
      </w:r>
      <w:r>
        <w:rPr>
          <w:rFonts w:hint="eastAsia" w:ascii="仿宋_GB2312" w:hAnsi="仿宋_GB2312" w:eastAsia="仿宋_GB2312" w:cs="仿宋_GB2312"/>
          <w:b/>
          <w:bCs/>
          <w:sz w:val="32"/>
          <w:szCs w:val="32"/>
          <w:lang w:val="en-US" w:eastAsia="zh-CN"/>
        </w:rPr>
        <w:t>新增</w:t>
      </w:r>
      <w:r>
        <w:rPr>
          <w:rFonts w:hint="eastAsia" w:ascii="仿宋_GB2312" w:hAnsi="仿宋_GB2312" w:eastAsia="仿宋_GB2312" w:cs="仿宋_GB2312"/>
          <w:b/>
          <w:bCs/>
          <w:sz w:val="32"/>
          <w:szCs w:val="32"/>
        </w:rPr>
        <w:t>违法违规融资担保。</w:t>
      </w:r>
      <w:r>
        <w:rPr>
          <w:rFonts w:hint="eastAsia" w:ascii="仿宋_GB2312" w:hAnsi="仿宋_GB2312" w:eastAsia="仿宋_GB2312" w:cs="仿宋_GB2312"/>
          <w:color w:val="000000"/>
          <w:kern w:val="0"/>
          <w:sz w:val="32"/>
          <w:szCs w:val="32"/>
          <w:lang w:val="en-US" w:eastAsia="zh-CN" w:bidi="ar"/>
        </w:rPr>
        <w:t>严格政府债务管理，严禁各级人民政府及所属企事业单位违法违规通过抵押、担保国有农用地经营权等方式新增隐性债务，坚决制止各类违法违规融资担保行为。</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rPr>
        <w:t>（四）依法妥善化解历史遗留问题</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县(市)人民政府要按照“尊重历史、兼顾现实”的原则，依法依规妥善处理因原签订的合同不规范导致的历史遗留问题，避免引发新的矛盾纠纷。矛盾纠纷先在当地通过多元解纷机制进行多元化解，无法化解的到当地综治中心进行化解，再无法化解的引导矛盾双方到农村土地承包仲裁委员会进行仲裁，对仲裁结果不服的或不愿进行仲裁的，再通过诉讼渠道闭环化解。</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三、保障措施</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地区纪检监察、自然资源、农业农村、</w:t>
      </w:r>
      <w:r>
        <w:rPr>
          <w:rFonts w:hint="eastAsia" w:ascii="仿宋_GB2312" w:hAnsi="仿宋_GB2312" w:eastAsia="仿宋_GB2312" w:cs="仿宋_GB2312"/>
          <w:sz w:val="32"/>
          <w:szCs w:val="32"/>
          <w:u w:val="none"/>
          <w:lang w:eastAsia="zh-CN"/>
        </w:rPr>
        <w:t>司法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水利、林草、民政、审计等部门加强对各县（市）国有农用地管理工作的日常组织协调、督促指导和检查考核。各县（市）人民政府要对应建立强有力的工作机制，配齐配强工作队伍，细化任务，压实责任。</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（二）明确部门职责。</w:t>
      </w:r>
      <w:r>
        <w:rPr>
          <w:rFonts w:hint="eastAsia" w:ascii="仿宋_GB2312" w:hAnsi="仿宋_GB2312" w:eastAsia="仿宋_GB2312" w:cs="仿宋_GB2312"/>
          <w:sz w:val="32"/>
          <w:szCs w:val="32"/>
        </w:rPr>
        <w:t>各部门要牢固树立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一盘棋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思想，加强沟通，密切配合，形成监管合力。</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1.自然资源</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负责国有农用地统一管理监督，承担确权登记、权属管理、规划管控用途管制；组织国有耕地发包、合同监管与承包费收缴；动态监测利用状况、查处违法用地，调处权属纠纷，推进节约集约与耕地保护；定期上报价格调整请示并执行确定的价格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负责农用地管理平台国有耕地数据录入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更新。</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负责集体使用的国有农用地承包经营与合同管理，指导经营权流转；监督耕地质量与农业生产用途，查处农地农用违规行为；组织专项清理，调处承包纠纷，推进国有农用地农业高效利用。</w:t>
      </w:r>
    </w:p>
    <w:p>
      <w:pPr>
        <w:keepNext w:val="0"/>
        <w:keepLines w:val="0"/>
        <w:pageBreakBefore w:val="0"/>
        <w:widowControl w:val="0"/>
        <w:kinsoku/>
        <w:wordWrap/>
        <w:overflowPunct w:val="0"/>
        <w:topLinePunct w:val="0"/>
        <w:autoSpaceDE/>
        <w:autoSpaceDN/>
        <w:bidi w:val="0"/>
        <w:adjustRightInd/>
        <w:snapToGrid/>
        <w:spacing w:line="586"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.财政</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负责国有农用地资产收益管理，对相关收入实行“收支两条线”管理，统筹承包费、流转费收缴入库与预算管理；按规定安排耕地保护、土地整治等专项资金，并实施全过程绩效管理；严格执行相关财务管理制度，加强资金使用监督，防止国有资产流失。</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4.水利</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负责国有农用地灌溉用水管理，测算农业水价、计量收费并组织收缴入库、实施取水许可、定额管控与节水监管；按照《新疆维吾尔自治区农田水利条例》相关要求做好工程管护、制定水费收缴制度、监督费用使用，查处违规取水与欠费行为 。</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.林业和草原</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负责监督国有林地、草地类农用地发包与合同管理）；监督生态保护修复、用途合规与禁牧草畜平衡；动态监测资源，查处违法占用、破坏林草行为；调处权属纠纷，督促发包方收缴承包费并归档管理。</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u w:val="none"/>
          <w:lang w:val="en-US" w:eastAsia="zh-CN"/>
        </w:rPr>
        <w:t>6.</w:t>
      </w:r>
      <w:r>
        <w:rPr>
          <w:rFonts w:hint="eastAsia" w:ascii="仿宋_GB2312" w:hAnsi="仿宋_GB2312" w:eastAsia="仿宋_GB2312" w:cs="仿宋_GB2312"/>
          <w:b/>
          <w:bCs/>
          <w:sz w:val="32"/>
          <w:szCs w:val="32"/>
          <w:highlight w:val="none"/>
          <w:u w:val="none"/>
          <w:lang w:eastAsia="zh-CN"/>
        </w:rPr>
        <w:t>司法</w:t>
      </w:r>
      <w:r>
        <w:rPr>
          <w:rFonts w:hint="eastAsia" w:ascii="仿宋_GB2312" w:hAnsi="仿宋_GB2312" w:eastAsia="仿宋_GB2312" w:cs="仿宋_GB2312"/>
          <w:b/>
          <w:bCs/>
          <w:sz w:val="32"/>
          <w:szCs w:val="32"/>
          <w:highlight w:val="none"/>
          <w:u w:val="none"/>
          <w:lang w:val="en-US" w:eastAsia="zh-CN"/>
        </w:rPr>
        <w:t>部门</w:t>
      </w:r>
      <w:r>
        <w:rPr>
          <w:rFonts w:hint="eastAsia" w:ascii="仿宋_GB2312" w:hAnsi="仿宋_GB2312" w:eastAsia="仿宋_GB2312" w:cs="仿宋_GB2312"/>
          <w:b/>
          <w:bCs/>
          <w:sz w:val="32"/>
          <w:szCs w:val="32"/>
          <w:highlight w:val="none"/>
          <w:u w:val="none"/>
          <w:lang w:eastAsia="zh-CN"/>
        </w:rPr>
        <w:t>：</w:t>
      </w:r>
      <w:r>
        <w:rPr>
          <w:rFonts w:hint="eastAsia" w:ascii="仿宋_GB2312" w:hAnsi="仿宋_GB2312" w:eastAsia="仿宋_GB2312" w:cs="仿宋_GB2312"/>
          <w:sz w:val="32"/>
          <w:szCs w:val="32"/>
          <w:highlight w:val="none"/>
          <w:lang w:val="en-US" w:eastAsia="zh-CN"/>
        </w:rPr>
        <w:t>负责对国有农用地出让、承包、流转等合同开展合法性审查。</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.民政</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pacing w:val="-11"/>
          <w:sz w:val="32"/>
          <w:szCs w:val="32"/>
        </w:rPr>
        <w:t>负责行政界线管理，指导处理行政</w:t>
      </w:r>
      <w:r>
        <w:rPr>
          <w:rFonts w:hint="eastAsia" w:ascii="仿宋_GB2312" w:hAnsi="仿宋_GB2312" w:eastAsia="仿宋_GB2312" w:cs="仿宋_GB2312"/>
          <w:spacing w:val="-11"/>
          <w:sz w:val="32"/>
          <w:szCs w:val="32"/>
          <w:lang w:val="en-US" w:eastAsia="zh-CN"/>
        </w:rPr>
        <w:t>区划</w:t>
      </w:r>
      <w:r>
        <w:rPr>
          <w:rFonts w:hint="eastAsia" w:ascii="仿宋_GB2312" w:hAnsi="仿宋_GB2312" w:eastAsia="仿宋_GB2312" w:cs="仿宋_GB2312"/>
          <w:spacing w:val="-11"/>
          <w:sz w:val="32"/>
          <w:szCs w:val="32"/>
        </w:rPr>
        <w:t>边界争议。</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.审计</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负责在实施与国有农用地管理相关项目时，对承包收入征收、管理、使用情况进行审计监督。</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9.人民法院：</w:t>
      </w:r>
      <w:r>
        <w:rPr>
          <w:rFonts w:hint="eastAsia" w:ascii="仿宋_GB2312" w:hAnsi="仿宋_GB2312" w:eastAsia="仿宋_GB2312" w:cs="仿宋_GB2312"/>
          <w:b w:val="0"/>
          <w:bCs w:val="0"/>
          <w:color w:val="auto"/>
          <w:sz w:val="32"/>
          <w:szCs w:val="32"/>
          <w:highlight w:val="none"/>
          <w:lang w:val="en-US" w:eastAsia="zh-CN"/>
        </w:rPr>
        <w:t>依法受理合同纠纷诉讼，确认合同效力，打击合同违法违规行为，维护国有资产安全。</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.纪检监察机关：</w:t>
      </w:r>
      <w:r>
        <w:rPr>
          <w:rFonts w:hint="eastAsia" w:ascii="仿宋_GB2312" w:hAnsi="仿宋_GB2312" w:eastAsia="仿宋_GB2312" w:cs="仿宋_GB2312"/>
          <w:color w:val="auto"/>
          <w:sz w:val="32"/>
          <w:szCs w:val="32"/>
        </w:rPr>
        <w:t>负责对</w:t>
      </w:r>
      <w:r>
        <w:rPr>
          <w:rFonts w:hint="eastAsia" w:ascii="仿宋_GB2312" w:hAnsi="仿宋_GB2312" w:eastAsia="仿宋_GB2312" w:cs="仿宋_GB2312"/>
          <w:color w:val="auto"/>
          <w:sz w:val="32"/>
          <w:szCs w:val="32"/>
          <w:lang w:val="en-US" w:eastAsia="zh-CN"/>
        </w:rPr>
        <w:t>国有农用地管理</w:t>
      </w:r>
      <w:r>
        <w:rPr>
          <w:rFonts w:hint="eastAsia" w:ascii="仿宋_GB2312" w:hAnsi="仿宋_GB2312" w:eastAsia="仿宋_GB2312" w:cs="仿宋_GB2312"/>
          <w:color w:val="auto"/>
          <w:sz w:val="32"/>
          <w:szCs w:val="32"/>
        </w:rPr>
        <w:t>工作中失职渎职、违规违纪行为进行监督执纪问责。</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Times New Roman" w:hAnsi="Times New Roman" w:eastAsia="方正仿宋_GBK" w:cs="Times New Roman"/>
          <w:sz w:val="32"/>
          <w:szCs w:val="32"/>
        </w:rPr>
      </w:pPr>
      <w:r>
        <w:rPr>
          <w:rFonts w:hint="eastAsia" w:ascii="楷体_GB2312" w:hAnsi="楷体_GB2312" w:eastAsia="楷体_GB2312" w:cs="楷体_GB2312"/>
          <w:b/>
          <w:bCs/>
          <w:sz w:val="32"/>
          <w:szCs w:val="32"/>
        </w:rPr>
        <w:t>（三）强化监督考核。</w:t>
      </w:r>
      <w:r>
        <w:rPr>
          <w:rFonts w:hint="eastAsia" w:ascii="仿宋_GB2312" w:hAnsi="仿宋_GB2312" w:eastAsia="仿宋_GB2312" w:cs="仿宋_GB2312"/>
          <w:sz w:val="32"/>
          <w:szCs w:val="32"/>
          <w:highlight w:val="none"/>
        </w:rPr>
        <w:t>将国有农用地规范管理工作纳入对各县（市）人民政府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地区相关部门</w:t>
      </w:r>
      <w:r>
        <w:rPr>
          <w:rFonts w:hint="eastAsia" w:ascii="仿宋_GB2312" w:hAnsi="仿宋_GB2312" w:eastAsia="仿宋_GB2312" w:cs="仿宋_GB2312"/>
          <w:sz w:val="32"/>
          <w:szCs w:val="32"/>
          <w:highlight w:val="none"/>
        </w:rPr>
        <w:t>年度绩效考核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地区相关部门</w:t>
      </w:r>
      <w:r>
        <w:rPr>
          <w:rFonts w:hint="eastAsia" w:ascii="仿宋_GB2312" w:hAnsi="仿宋_GB2312" w:eastAsia="仿宋_GB2312" w:cs="仿宋_GB2312"/>
          <w:sz w:val="32"/>
          <w:szCs w:val="32"/>
          <w:lang w:val="en-US" w:eastAsia="zh-CN"/>
        </w:rPr>
        <w:t>加强协调联动，</w:t>
      </w:r>
      <w:r>
        <w:rPr>
          <w:rFonts w:hint="eastAsia" w:ascii="仿宋_GB2312" w:hAnsi="仿宋_GB2312" w:eastAsia="仿宋_GB2312" w:cs="仿宋_GB2312"/>
          <w:sz w:val="32"/>
          <w:szCs w:val="32"/>
        </w:rPr>
        <w:t>定期</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导检查县（市）</w:t>
      </w:r>
      <w:r>
        <w:rPr>
          <w:rFonts w:hint="eastAsia" w:ascii="仿宋_GB2312" w:hAnsi="仿宋_GB2312" w:eastAsia="仿宋_GB2312" w:cs="仿宋_GB2312"/>
          <w:sz w:val="32"/>
          <w:szCs w:val="32"/>
          <w:lang w:val="en-US" w:eastAsia="zh-CN"/>
        </w:rPr>
        <w:t>国有农用地管理工作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对工作推进不力、问题整改不到位的县（市）和部门，严肃追究相关责任。</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四、附则</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自印发之日起施行。此前地区行署及相关部门发布的文件与本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不一致的，以本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为准。各县（市）人民政府应结合本地实际，制定具体实施细则或方案，并报行署备案</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重要情况及时</w:t>
      </w:r>
      <w:r>
        <w:rPr>
          <w:rFonts w:hint="eastAsia" w:ascii="仿宋_GB2312" w:hAnsi="仿宋_GB2312" w:eastAsia="仿宋_GB2312" w:cs="仿宋_GB2312"/>
          <w:sz w:val="32"/>
          <w:szCs w:val="32"/>
          <w:lang w:val="en-US" w:eastAsia="zh-CN"/>
        </w:rPr>
        <w:t>按程序向行署请示</w:t>
      </w:r>
      <w:r>
        <w:rPr>
          <w:rFonts w:hint="eastAsia" w:ascii="仿宋_GB2312" w:hAnsi="仿宋_GB2312" w:eastAsia="仿宋_GB2312" w:cs="仿宋_GB2312"/>
          <w:sz w:val="32"/>
          <w:szCs w:val="32"/>
        </w:rPr>
        <w:t>报告。</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sectPr>
      <w:headerReference r:id="rId4" w:type="first"/>
      <w:footerReference r:id="rId7" w:type="first"/>
      <w:footerReference r:id="rId5" w:type="default"/>
      <w:headerReference r:id="rId3" w:type="even"/>
      <w:footerReference r:id="rId6" w:type="even"/>
      <w:pgSz w:w="11906" w:h="16838"/>
      <w:pgMar w:top="2098" w:right="1474"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720"/>
                            <w:docPartObj>
                              <w:docPartGallery w:val="autotext"/>
                            </w:docPartObj>
                          </w:sdtPr>
                          <w:sdtEndPr>
                            <w:rPr>
                              <w:rFonts w:ascii="宋体" w:hAnsi="宋体" w:eastAsia="宋体"/>
                              <w:sz w:val="28"/>
                              <w:szCs w:val="28"/>
                            </w:rPr>
                          </w:sdtEndPr>
                          <w:sdtContent>
                            <w:p>
                              <w:pPr>
                                <w:pStyle w:val="11"/>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2720"/>
                      <w:docPartObj>
                        <w:docPartGallery w:val="autotext"/>
                      </w:docPartObj>
                    </w:sdtPr>
                    <w:sdtEndPr>
                      <w:rPr>
                        <w:rFonts w:ascii="宋体" w:hAnsi="宋体" w:eastAsia="宋体"/>
                        <w:sz w:val="28"/>
                        <w:szCs w:val="28"/>
                      </w:rPr>
                    </w:sdtEndPr>
                    <w:sdtContent>
                      <w:p>
                        <w:pPr>
                          <w:pStyle w:val="11"/>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p>
                    <w:pPr>
                      <w:rPr>
                        <w:rFonts w:ascii="宋体" w:hAnsi="宋体" w:eastAsia="宋体"/>
                        <w:sz w:val="28"/>
                        <w:szCs w:val="28"/>
                      </w:rPr>
                    </w:pPr>
                  </w:p>
                </w:txbxContent>
              </v:textbox>
            </v:shape>
          </w:pict>
        </mc:Fallback>
      </mc:AlternateContent>
    </w:r>
  </w:p>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62"/>
    <w:rsid w:val="000D30C7"/>
    <w:rsid w:val="001D4422"/>
    <w:rsid w:val="00200875"/>
    <w:rsid w:val="00256DDF"/>
    <w:rsid w:val="002A6177"/>
    <w:rsid w:val="002D3711"/>
    <w:rsid w:val="004241E6"/>
    <w:rsid w:val="004608A9"/>
    <w:rsid w:val="00555C5A"/>
    <w:rsid w:val="00563E65"/>
    <w:rsid w:val="00584B3B"/>
    <w:rsid w:val="00615055"/>
    <w:rsid w:val="00633AAB"/>
    <w:rsid w:val="006359AF"/>
    <w:rsid w:val="00690A98"/>
    <w:rsid w:val="00745B30"/>
    <w:rsid w:val="00896A66"/>
    <w:rsid w:val="00916701"/>
    <w:rsid w:val="00953AC4"/>
    <w:rsid w:val="009D19EA"/>
    <w:rsid w:val="00A5411D"/>
    <w:rsid w:val="00A647D0"/>
    <w:rsid w:val="00A82704"/>
    <w:rsid w:val="00AD5706"/>
    <w:rsid w:val="00AD57B8"/>
    <w:rsid w:val="00B33A2D"/>
    <w:rsid w:val="00B74904"/>
    <w:rsid w:val="00BD41B4"/>
    <w:rsid w:val="00C46137"/>
    <w:rsid w:val="00C65782"/>
    <w:rsid w:val="00C7123D"/>
    <w:rsid w:val="00C86DCF"/>
    <w:rsid w:val="00C909B8"/>
    <w:rsid w:val="00CA3338"/>
    <w:rsid w:val="00CA60DB"/>
    <w:rsid w:val="00D9038C"/>
    <w:rsid w:val="00E432AA"/>
    <w:rsid w:val="00EA19E7"/>
    <w:rsid w:val="00EC0C5A"/>
    <w:rsid w:val="00EE7762"/>
    <w:rsid w:val="00F10D55"/>
    <w:rsid w:val="00F873BD"/>
    <w:rsid w:val="01EB56B7"/>
    <w:rsid w:val="02DD68AE"/>
    <w:rsid w:val="03F2097B"/>
    <w:rsid w:val="04244178"/>
    <w:rsid w:val="04615820"/>
    <w:rsid w:val="04FA2D68"/>
    <w:rsid w:val="05E53FBB"/>
    <w:rsid w:val="06262AF5"/>
    <w:rsid w:val="06562220"/>
    <w:rsid w:val="06C65AD7"/>
    <w:rsid w:val="080A1514"/>
    <w:rsid w:val="080F0A19"/>
    <w:rsid w:val="08220060"/>
    <w:rsid w:val="085E21C0"/>
    <w:rsid w:val="0951426A"/>
    <w:rsid w:val="09BB4313"/>
    <w:rsid w:val="09D03C74"/>
    <w:rsid w:val="0A0E779D"/>
    <w:rsid w:val="0AF41DD6"/>
    <w:rsid w:val="0B1F329D"/>
    <w:rsid w:val="0C10430F"/>
    <w:rsid w:val="0CF322E7"/>
    <w:rsid w:val="0D950B12"/>
    <w:rsid w:val="0E626106"/>
    <w:rsid w:val="0EC82A4F"/>
    <w:rsid w:val="0FE022A1"/>
    <w:rsid w:val="10B71B0D"/>
    <w:rsid w:val="113E3458"/>
    <w:rsid w:val="11A12970"/>
    <w:rsid w:val="11BF2AAD"/>
    <w:rsid w:val="12437483"/>
    <w:rsid w:val="12954647"/>
    <w:rsid w:val="12B714BB"/>
    <w:rsid w:val="12CD13A2"/>
    <w:rsid w:val="14641447"/>
    <w:rsid w:val="146C3610"/>
    <w:rsid w:val="14931E6A"/>
    <w:rsid w:val="156C5731"/>
    <w:rsid w:val="16B6197E"/>
    <w:rsid w:val="171D097B"/>
    <w:rsid w:val="17427B36"/>
    <w:rsid w:val="17D932AC"/>
    <w:rsid w:val="187D188E"/>
    <w:rsid w:val="195A2E4C"/>
    <w:rsid w:val="1982571D"/>
    <w:rsid w:val="19BF2D03"/>
    <w:rsid w:val="1A327743"/>
    <w:rsid w:val="1C04625B"/>
    <w:rsid w:val="1C433C9B"/>
    <w:rsid w:val="1C6567A1"/>
    <w:rsid w:val="1DCC2E2A"/>
    <w:rsid w:val="1E5D44FE"/>
    <w:rsid w:val="1E7F053E"/>
    <w:rsid w:val="1ED7735A"/>
    <w:rsid w:val="1F46711F"/>
    <w:rsid w:val="203F24E4"/>
    <w:rsid w:val="20AF0147"/>
    <w:rsid w:val="20B8113C"/>
    <w:rsid w:val="227E35D8"/>
    <w:rsid w:val="22EB3ED1"/>
    <w:rsid w:val="248A49BE"/>
    <w:rsid w:val="266251F3"/>
    <w:rsid w:val="286A0FDD"/>
    <w:rsid w:val="287A7AF8"/>
    <w:rsid w:val="28FB0F6A"/>
    <w:rsid w:val="29803DF0"/>
    <w:rsid w:val="2A9C5BA4"/>
    <w:rsid w:val="2A9F24B8"/>
    <w:rsid w:val="2AE83766"/>
    <w:rsid w:val="2B3D07C7"/>
    <w:rsid w:val="2BAB03D3"/>
    <w:rsid w:val="2BCA219A"/>
    <w:rsid w:val="2C0828CF"/>
    <w:rsid w:val="2C210C19"/>
    <w:rsid w:val="2C775F10"/>
    <w:rsid w:val="2C8B0C8C"/>
    <w:rsid w:val="2DF8593D"/>
    <w:rsid w:val="2E843D1D"/>
    <w:rsid w:val="2ECD6916"/>
    <w:rsid w:val="2F2F1E09"/>
    <w:rsid w:val="2F5C3715"/>
    <w:rsid w:val="2F9A3429"/>
    <w:rsid w:val="2FC60765"/>
    <w:rsid w:val="304231C2"/>
    <w:rsid w:val="304F702C"/>
    <w:rsid w:val="316E2FA4"/>
    <w:rsid w:val="320A2633"/>
    <w:rsid w:val="32B64511"/>
    <w:rsid w:val="33272EB3"/>
    <w:rsid w:val="34345677"/>
    <w:rsid w:val="345573FF"/>
    <w:rsid w:val="35542DF4"/>
    <w:rsid w:val="35F03248"/>
    <w:rsid w:val="3618394C"/>
    <w:rsid w:val="36460F99"/>
    <w:rsid w:val="377D4444"/>
    <w:rsid w:val="38064E93"/>
    <w:rsid w:val="3C1F11A2"/>
    <w:rsid w:val="3C21310B"/>
    <w:rsid w:val="3CA01197"/>
    <w:rsid w:val="3CA847D3"/>
    <w:rsid w:val="3CDB01B0"/>
    <w:rsid w:val="3D54384A"/>
    <w:rsid w:val="3DC448E2"/>
    <w:rsid w:val="3EA074DC"/>
    <w:rsid w:val="3ED54682"/>
    <w:rsid w:val="400A4A04"/>
    <w:rsid w:val="41197AF6"/>
    <w:rsid w:val="417B5244"/>
    <w:rsid w:val="41F33743"/>
    <w:rsid w:val="423076EB"/>
    <w:rsid w:val="432D410C"/>
    <w:rsid w:val="43BF5EB2"/>
    <w:rsid w:val="45CD423D"/>
    <w:rsid w:val="46B03CA8"/>
    <w:rsid w:val="47A436BC"/>
    <w:rsid w:val="47BD61E7"/>
    <w:rsid w:val="47E87C6A"/>
    <w:rsid w:val="48CB01FD"/>
    <w:rsid w:val="493053D9"/>
    <w:rsid w:val="49781705"/>
    <w:rsid w:val="4A81727B"/>
    <w:rsid w:val="4B406347"/>
    <w:rsid w:val="4B4166CE"/>
    <w:rsid w:val="4BB73783"/>
    <w:rsid w:val="4BD43AEF"/>
    <w:rsid w:val="4C6F0F12"/>
    <w:rsid w:val="4DB2164B"/>
    <w:rsid w:val="4EFD45B3"/>
    <w:rsid w:val="4FF71335"/>
    <w:rsid w:val="520C2908"/>
    <w:rsid w:val="52314CA0"/>
    <w:rsid w:val="525C7843"/>
    <w:rsid w:val="536F5CA7"/>
    <w:rsid w:val="55484E3E"/>
    <w:rsid w:val="558F360F"/>
    <w:rsid w:val="559B0682"/>
    <w:rsid w:val="579026C0"/>
    <w:rsid w:val="58C83D92"/>
    <w:rsid w:val="597B0E88"/>
    <w:rsid w:val="599C3E33"/>
    <w:rsid w:val="59DB2F3F"/>
    <w:rsid w:val="59DE6E7E"/>
    <w:rsid w:val="5BDE63C8"/>
    <w:rsid w:val="5CB92357"/>
    <w:rsid w:val="5D5E0D6D"/>
    <w:rsid w:val="5E171F67"/>
    <w:rsid w:val="5EBC54FC"/>
    <w:rsid w:val="5FA9720B"/>
    <w:rsid w:val="60A66E0B"/>
    <w:rsid w:val="612A5643"/>
    <w:rsid w:val="625E3626"/>
    <w:rsid w:val="62704BA8"/>
    <w:rsid w:val="631A422A"/>
    <w:rsid w:val="638B2606"/>
    <w:rsid w:val="63CD7AF7"/>
    <w:rsid w:val="63E87692"/>
    <w:rsid w:val="6679530A"/>
    <w:rsid w:val="67547521"/>
    <w:rsid w:val="679D39A1"/>
    <w:rsid w:val="67D92B9B"/>
    <w:rsid w:val="692105FE"/>
    <w:rsid w:val="6A4A7620"/>
    <w:rsid w:val="6AAD6F18"/>
    <w:rsid w:val="6AFF2240"/>
    <w:rsid w:val="6B010706"/>
    <w:rsid w:val="6E466A01"/>
    <w:rsid w:val="6E872008"/>
    <w:rsid w:val="6F516C6E"/>
    <w:rsid w:val="6FD13196"/>
    <w:rsid w:val="706B0009"/>
    <w:rsid w:val="70CC3945"/>
    <w:rsid w:val="72A9042B"/>
    <w:rsid w:val="72AA028C"/>
    <w:rsid w:val="73B50113"/>
    <w:rsid w:val="76F7637A"/>
    <w:rsid w:val="77864C28"/>
    <w:rsid w:val="77E43002"/>
    <w:rsid w:val="791522D9"/>
    <w:rsid w:val="79C6605A"/>
    <w:rsid w:val="7BAC1193"/>
    <w:rsid w:val="7D366D5F"/>
    <w:rsid w:val="7E461D5B"/>
    <w:rsid w:val="7F6B4681"/>
    <w:rsid w:val="EFBF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szCs w:val="22"/>
      <w14:ligatures w14:val="standardContextual"/>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14:ligatures w14:val="none"/>
    </w:rPr>
  </w:style>
  <w:style w:type="character" w:customStyle="1" w:styleId="36">
    <w:name w:val="页脚 字符"/>
    <w:basedOn w:val="16"/>
    <w:link w:val="11"/>
    <w:qFormat/>
    <w:uiPriority w:val="99"/>
    <w:rPr>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3577</Words>
  <Characters>3612</Characters>
  <Lines>12</Lines>
  <Paragraphs>123</Paragraphs>
  <TotalTime>13</TotalTime>
  <ScaleCrop>false</ScaleCrop>
  <LinksUpToDate>false</LinksUpToDate>
  <CharactersWithSpaces>3614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2025-12-20T17:38:00Z</dcterms:created>
  <dc:creator>卡米 kamaljan</dc:creator>
  <cp:lastModifiedBy>Administrator</cp:lastModifiedBy>
  <cp:lastPrinted>2026-06-07T10:18:00Z</cp:lastPrinted>
  <dcterms:modified xsi:type="dcterms:W3CDTF">2026-06-23T04:23:16Z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E362AFE27B214A5F88BEB166A24E32B9_13</vt:lpwstr>
  </property>
  <property fmtid="{D5CDD505-2E9C-101B-9397-08002B2CF9AE}" pid="4" name="KSOTemplateDocerSaveRecord">
    <vt:lpwstr>eyJoZGlkIjoiODE0YWM0YTE4MzFmYTYxODUzM2FjZmZmMmI1YzY4N2IiLCJ1c2VySWQiOiIxNjY4NjUxMDQifQ==</vt:lpwstr>
  </property>
</Properties>
</file>