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6D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关于强化动物防疫体系建设 严格调运闭环监管的工作措施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val="en-US" w:eastAsia="zh-CN"/>
        </w:rPr>
        <w:t>（征求意见稿）</w:t>
      </w:r>
    </w:p>
    <w:p w14:paraId="40534F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45AAD48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为进一步筑牢塔城地区畜牧业安全发展屏障，有效防范化解重大动物疫情输入和传播风险，堵塞动物卫生监督漏洞，补齐基层防疫体系短板，保障畜牧业高质量健康发展和公共卫生安全，地区农业农村局深入复盘分析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动物疫病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防控中存在的问题，结合地区实际，制定本工作措施。</w:t>
      </w:r>
    </w:p>
    <w:p w14:paraId="38B333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一、工作目标</w:t>
      </w:r>
    </w:p>
    <w:p w14:paraId="552EE2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auto"/>
          <w:lang w:val="en-US" w:eastAsia="zh-CN"/>
        </w:rPr>
        <w:t>一是体系建设显著提升。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构建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县级统筹、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eastAsia="zh-CN"/>
        </w:rPr>
        <w:t>乡（镇）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覆盖、屠宰场驻场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的全域官方兽医网格化派驻体系，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  <w:t>配齐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  <w:t>配强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eastAsia="zh-CN"/>
        </w:rPr>
        <w:t>官方兽医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满足产地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eastAsia="zh-CN"/>
        </w:rPr>
        <w:t>检疫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、屠宰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eastAsia="zh-CN"/>
        </w:rPr>
        <w:t>检疫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eastAsia="zh-CN"/>
        </w:rPr>
        <w:t>落地监管等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全流程需求；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  <w:t>当年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建成标准化、规范化动物检疫申报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val="en-US" w:eastAsia="zh-CN"/>
        </w:rPr>
        <w:t>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，逐步达到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西部地区每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eastAsia="zh-CN"/>
        </w:rPr>
        <w:t>乡（镇）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不少于3个申报点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</w:rPr>
        <w:t>的国家规范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auto"/>
          <w:lang w:eastAsia="zh-CN"/>
        </w:rPr>
        <w:t>要求。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二是防疫基础全面夯实。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强制免疫社会化服务体系健全，各县（市）均培育至少1个社会化服务组织承接免疫任务；基层防疫力量配备达标，并通过强化待遇保障，稳固基层防疫队伍。防疫成效显著，重大动物疫病强制免疫密度常年保持90%以上，抗体合格率达到70%以上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三是健全动物全流程监管闭环。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重新启用禾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角克州际公路消毒检查站，强化动物调运全程监管，严防输入性疫情风险，坚决守牢不发生区域性重大动物疫情的安全底线。</w:t>
      </w:r>
    </w:p>
    <w:p w14:paraId="5B7F26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二、具体落实措施</w:t>
      </w:r>
    </w:p>
    <w:p w14:paraId="24DB24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（一）强化队伍建设，夯实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基层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防疫基础</w:t>
      </w:r>
    </w:p>
    <w:p w14:paraId="6E203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1.选优配强队伍，筑牢防疫根基。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加强与组织、编办等部门协调，通过公开招录、人才引进及系统内部调剂等方式，按照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年屠宰15万头以上大型屠宰场配备不少于10名、2-15万头中型屠宰场配备不少于5名，2万头以下小型屠宰场配备不少于2名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标准，配齐配强官方兽医。</w:t>
      </w:r>
    </w:p>
    <w:p w14:paraId="161E4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统筹资金保障，筑牢履职根基。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严格执行人社部发〔2015〕99号文件，对直接接触畜禽、人畜共患病及消毒药剂的官方兽医，分类落实畜牧兽医有毒有害岗位津贴，实行财政全额保障、按月发放，严禁截留克扣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。从公用经费中统筹安排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动物检疫监督、设备购置、人员培训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等费用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，建立经费动态增长机制；统筹涉农与动物防疫专项资金，简化审批流程，保障申报点新建及改扩建项目顺利实施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县级以上人民政府在组织重大动物疫病紧急免疫、疫情应急处置期间，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积极向上级部门争取专项补助资金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，切实提高待遇保障，稳定基层防疫队伍。</w:t>
      </w:r>
    </w:p>
    <w:p w14:paraId="439ED7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3.统筹培训考核，规范持证上岗。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健全官方兽医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兽医实验室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检测人员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屠宰企业兽医卫生检验人员常态化培训制度，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由本级财政专项安排培训经费，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全年确保至少开展两次线下集中培训。培训内容覆盖法律法规、检疫规程、电子出证及疫病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监测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等核心板块。推行考核机制，对考核不合格者坚决暂停出证权限，实行“补考合格、恢复上岗”的动态管理，倒逼业务能力提升。</w:t>
      </w:r>
    </w:p>
    <w:p w14:paraId="0575C4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（二）深化综合防控，筑牢疫病安全屏障</w:t>
      </w:r>
    </w:p>
    <w:p w14:paraId="3248EBA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强化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实验室建设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，提高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疫情监测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能力。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积极争取项目建设资金，重点推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沙湾市二级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生物安全兽医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实验室建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统筹推进其他县（市）实验室改造升级，确保具备病原学检测能力，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显著提升区域监测预警能力。</w:t>
      </w:r>
    </w:p>
    <w:p w14:paraId="4178776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强化联防联控，落实扑杀净化。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针对布病、包虫病等重点人畜共患病实施免疫分类指导，健全联防联控机制。加强常态化监测，严格执行患病及阳性畜扑杀净化措施，压实属地管理责任。县级以上人民政府依法依规及时组织扑杀并无害化处理，扑杀经费纳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当地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财政预算。</w:t>
      </w:r>
    </w:p>
    <w:p w14:paraId="5E2A49A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.完善冷链储运体系，夯实应急物资保障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完善地、县、乡三级疫苗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全程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冷链储运体系，确保重大动物疫病疫苗效价；建立地区及县级应急物资储备库动态盘点与更新机制，定期补充防护服、消毒药、封锁设施等应急物资，保障突发疫情处置需要。</w:t>
      </w:r>
    </w:p>
    <w:p w14:paraId="76C179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）严格闭环监管，阻断调运传播风险</w:t>
      </w:r>
    </w:p>
    <w:p w14:paraId="0274B76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FFFFFF" w:fill="D9D9D9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1.优化查验放行，严守进疆通道。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协调自治区规范指定通道放行标准，执行“采样等候结果、合格方可通行”机制，坚决杜绝“先通行、后报告”引发疫情扩散风险；对外省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进疆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车辆实施动态追踪，严厉打击绕道避检、私自调入等违法违规行为。</w:t>
      </w:r>
    </w:p>
    <w:p w14:paraId="36890F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FFFFFF" w:fill="D9D9D9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启用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公路消毒检查站，筑牢防疫关口。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积极向上级申请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公路检查站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维运经费，重新启用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禾角克州际公路检查站，配强官方兽医及执法人员，细化“查证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验物、消毒、登记”监管职责。规范过境车辆查验流程，严格核查检疫证明及流向信息，实施车辆、畜禽及器具全覆盖消毒。健全联合执法机制，联动交通、公安严查逃避检查、无证调运等违法行为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有效防范输入性疫情风险。</w:t>
      </w:r>
    </w:p>
    <w:p w14:paraId="443844E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3.升级信息预警，精准拦截风险。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建议自治区优化动物检疫电子出证及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无纸化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防疫系统，增设“无动物检疫合格证明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信息即录入无纸化防疫系统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”智能拦截功能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同步完善地区农业信息化大数据平台预警机制，构建技术防控网。压实社会化服务组织信息审核与异常上报责任，落实村级治保主任属地巡查责任，严防违规调入牲畜录入系统或申报检疫。</w:t>
      </w:r>
    </w:p>
    <w:p w14:paraId="78EE7C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4.升级牲畜标识管理，实现“一畜一码”。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以大畜为突破口，探索“一畜一码”管理机制，将传统耳标升级为芯片式电子耳标，实现牲畜唯一数字身份终身绑定，实现从出生养殖、免疫诊疗、跨区域调运、定点检疫、屠宰加工、无害化处置全生命周期数据自动归集，同步对接无纸化防疫、检疫出证、品种改良、畜牧保险平台，实现涉疫畜禽瞬时溯源、风险区域精准划定，构建全程数字化、可核验、防篡改的畜禽安全监管体系。</w:t>
      </w:r>
    </w:p>
    <w:p w14:paraId="2DC3857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.建设无害化处理场，闭环处置病死畜禽。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坚持“政府引导、市场运作”原则，引进专业运营企业，高标准规划建设病死畜禽无害化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集中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处理场所。建立健全收集处理体系，严格落实病死畜禽“统一收集、集中处置、全程监管”闭环管理模式，实现收集、运输、处理全链条可追溯，从源头阻断病死动物传播疫病隐患，保障生态环境与公共卫生安全。</w:t>
      </w:r>
    </w:p>
    <w:p w14:paraId="61611A0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、组织保障</w:t>
      </w:r>
    </w:p>
    <w:p w14:paraId="2EB06C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1.强化组织领导，压实属地责任。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各县（市）要严格落实动物防疫地方政府负总责的要求，将动物防疫和卫生监督工作纳入政府重要议事日程。主要领导亲自抓、分管领导具体抓，及时协调解决编制核定、经费保障、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实验室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建设等重大问题，确保各项措施落地见效。</w:t>
      </w:r>
    </w:p>
    <w:p w14:paraId="48CE7B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2.强化部门协同，形成共治合力。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农业农村部门发挥牵头抓总作用，部门各司其职、密切配合。建立健全跨部门联席会议、信息共享、联合执法机制，打破信息孤岛，形成全链条、无死角的监管闭环。</w:t>
      </w:r>
    </w:p>
    <w:p w14:paraId="30CA47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3.强化资金投入，保障工作开展。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重点保障官方兽医津贴、动物报检点建设、无纸化系统运维、疫苗冷链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运输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等资金需求。</w:t>
      </w:r>
    </w:p>
    <w:p w14:paraId="62D8B8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75E49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C2E230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C2E230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F3C770"/>
    <w:multiLevelType w:val="multilevel"/>
    <w:tmpl w:val="21F3C770"/>
    <w:lvl w:ilvl="0" w:tentative="0">
      <w:start w:val="1"/>
      <w:numFmt w:val="chineseCountingThousand"/>
      <w:suff w:val="nothing"/>
      <w:lvlText w:val="%1、"/>
      <w:lvlJc w:val="center"/>
      <w:pPr>
        <w:ind w:left="0" w:firstLine="0"/>
      </w:pPr>
      <w:rPr>
        <w:rFonts w:hint="eastAsia"/>
      </w:rPr>
    </w:lvl>
    <w:lvl w:ilvl="1" w:tentative="0">
      <w:start w:val="1"/>
      <w:numFmt w:val="chineseCountingThousand"/>
      <w:suff w:val="nothing"/>
      <w:lvlText w:val="（%2）"/>
      <w:lvlJc w:val="center"/>
      <w:pPr>
        <w:ind w:left="397" w:firstLine="0"/>
      </w:pPr>
      <w:rPr>
        <w:rFonts w:hint="eastAsia"/>
      </w:rPr>
    </w:lvl>
    <w:lvl w:ilvl="2" w:tentative="0">
      <w:start w:val="1"/>
      <w:numFmt w:val="decimal"/>
      <w:pStyle w:val="2"/>
      <w:suff w:val="nothing"/>
      <w:lvlText w:val="%3."/>
      <w:lvlJc w:val="left"/>
      <w:pPr>
        <w:ind w:left="794" w:firstLine="0"/>
      </w:pPr>
      <w:rPr>
        <w:rFonts w:hint="default" w:ascii="Times New Roman" w:hAnsi="Times New Roman" w:eastAsia="宋体" w:cs="Times New Roman"/>
      </w:rPr>
    </w:lvl>
    <w:lvl w:ilvl="3" w:tentative="0">
      <w:start w:val="1"/>
      <w:numFmt w:val="decimal"/>
      <w:suff w:val="nothing"/>
      <w:lvlText w:val="（%4）"/>
      <w:lvlJc w:val="left"/>
      <w:pPr>
        <w:ind w:left="1191" w:firstLine="0"/>
      </w:pPr>
      <w:rPr>
        <w:rFonts w:hint="default" w:ascii="Times New Roman" w:hAnsi="Times New Roman" w:cs="Times New Roman"/>
      </w:rPr>
    </w:lvl>
    <w:lvl w:ilvl="4" w:tentative="0">
      <w:start w:val="1"/>
      <w:numFmt w:val="decimal"/>
      <w:lvlText w:val="%1.%2.%3.%4.%5"/>
      <w:lvlJc w:val="left"/>
      <w:pPr>
        <w:ind w:left="1588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985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2382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2779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3176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B1058"/>
    <w:rsid w:val="07C87214"/>
    <w:rsid w:val="08597DA5"/>
    <w:rsid w:val="0D352B8F"/>
    <w:rsid w:val="110F1949"/>
    <w:rsid w:val="11D54BC1"/>
    <w:rsid w:val="21217E4C"/>
    <w:rsid w:val="2DE0049D"/>
    <w:rsid w:val="30067657"/>
    <w:rsid w:val="327F4765"/>
    <w:rsid w:val="33CF48BE"/>
    <w:rsid w:val="388365F5"/>
    <w:rsid w:val="3D6E7062"/>
    <w:rsid w:val="40CA24CE"/>
    <w:rsid w:val="44DF2E05"/>
    <w:rsid w:val="474D1456"/>
    <w:rsid w:val="4F2E098E"/>
    <w:rsid w:val="578A4E52"/>
    <w:rsid w:val="579D69D7"/>
    <w:rsid w:val="5A024B69"/>
    <w:rsid w:val="5A1667A4"/>
    <w:rsid w:val="5B6553FD"/>
    <w:rsid w:val="5BC76675"/>
    <w:rsid w:val="5D4C5882"/>
    <w:rsid w:val="5F306F6F"/>
    <w:rsid w:val="5F584264"/>
    <w:rsid w:val="6B4D1FC7"/>
    <w:rsid w:val="6BDA1AB7"/>
    <w:rsid w:val="6D02766C"/>
    <w:rsid w:val="6D7108F7"/>
    <w:rsid w:val="70AC59E2"/>
    <w:rsid w:val="74A215D5"/>
    <w:rsid w:val="74B35591"/>
    <w:rsid w:val="77F3032A"/>
    <w:rsid w:val="7C6FD319"/>
    <w:rsid w:val="F5FEBE16"/>
    <w:rsid w:val="FFFB7938"/>
    <w:rsid w:val="FFFD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1"/>
    <w:pPr>
      <w:keepNext/>
      <w:keepLines/>
      <w:numPr>
        <w:ilvl w:val="2"/>
        <w:numId w:val="1"/>
      </w:numPr>
      <w:tabs>
        <w:tab w:val="left" w:pos="0"/>
      </w:tabs>
      <w:adjustRightInd w:val="0"/>
      <w:snapToGrid w:val="0"/>
      <w:spacing w:before="219" w:beforeLines="50" w:after="219" w:afterLines="50" w:line="240" w:lineRule="auto"/>
      <w:ind w:left="0" w:firstLine="643"/>
      <w:outlineLvl w:val="2"/>
    </w:pPr>
    <w:rPr>
      <w:rFonts w:ascii="楷体_GB2312" w:eastAsia="楷体_GB2312" w:cs="Times New Roman"/>
      <w:b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2489</Words>
  <Characters>2516</Characters>
  <Lines>0</Lines>
  <Paragraphs>0</Paragraphs>
  <TotalTime>20</TotalTime>
  <ScaleCrop>false</ScaleCrop>
  <LinksUpToDate>false</LinksUpToDate>
  <CharactersWithSpaces>2517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2026-05-11T16:51:00Z</dcterms:created>
  <dc:creator>王常童</dc:creator>
  <cp:lastModifiedBy>周成宇</cp:lastModifiedBy>
  <dcterms:modified xsi:type="dcterms:W3CDTF">2026-07-30T04:37:52Z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eyJoZGlkIjoiMzEwNTM5NzYwMDRjMzkwZTVkZjY2ODkwMGIxNGU0OTUiLCJ1c2VySWQiOiIzMDY4MTk4ODUifQ==</vt:lpwstr>
  </property>
  <property fmtid="{D5CDD505-2E9C-101B-9397-08002B2CF9AE}" pid="4" name="ICV">
    <vt:lpwstr>C8153D4E921846EBBA5AEECB58733B62_12</vt:lpwstr>
  </property>
</Properties>
</file>