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（本文有删减）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center"/>
        <w:rPr>
          <w:rFonts w:hint="eastAsia" w:ascii="微软雅黑" w:hAnsi="微软雅黑" w:eastAsia="微软雅黑" w:cs="微软雅黑"/>
          <w:i w:val="0"/>
          <w:caps w:val="0"/>
          <w:color w:val="333333"/>
          <w:spacing w:val="0"/>
          <w:sz w:val="24"/>
          <w:szCs w:val="24"/>
        </w:rPr>
      </w:pPr>
      <w:r>
        <w:rPr>
          <w:rStyle w:val="5"/>
          <w:rFonts w:hint="eastAsia" w:ascii="微软雅黑" w:hAnsi="微软雅黑" w:eastAsia="微软雅黑" w:cs="微软雅黑"/>
          <w:b/>
          <w:i w:val="0"/>
          <w:caps w:val="0"/>
          <w:color w:val="333333"/>
          <w:spacing w:val="0"/>
          <w:sz w:val="24"/>
          <w:szCs w:val="24"/>
          <w:bdr w:val="none" w:color="auto" w:sz="0" w:space="0"/>
          <w:shd w:val="clear" w:fill="FFFFFF"/>
        </w:rPr>
        <w:t>塔城地区“十五五”卫生健康事业发展规划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center"/>
        <w:rPr>
          <w:rFonts w:hint="eastAsia" w:ascii="微软雅黑" w:hAnsi="微软雅黑" w:eastAsia="微软雅黑" w:cs="微软雅黑"/>
          <w:i w:val="0"/>
          <w:caps w:val="0"/>
          <w:color w:val="333333"/>
          <w:spacing w:val="0"/>
          <w:sz w:val="24"/>
          <w:szCs w:val="24"/>
        </w:rPr>
      </w:pPr>
      <w:r>
        <w:rPr>
          <w:rStyle w:val="5"/>
          <w:rFonts w:hint="eastAsia" w:ascii="微软雅黑" w:hAnsi="微软雅黑" w:eastAsia="微软雅黑" w:cs="微软雅黑"/>
          <w:b/>
          <w:i w:val="0"/>
          <w:caps w:val="0"/>
          <w:color w:val="333333"/>
          <w:spacing w:val="0"/>
          <w:sz w:val="24"/>
          <w:szCs w:val="24"/>
          <w:bdr w:val="none" w:color="auto" w:sz="0" w:space="0"/>
          <w:shd w:val="clear" w:fill="FFFFFF"/>
        </w:rPr>
        <w:t>（征求意见稿）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为深入贯彻落实《“健康新疆2030”规划纲要》《新疆维吾尔自治区“十五五”卫生健康事业发展规划》要求，推进地区卫生健康事业全面、协调、可持续发展，不断满足各族群众日益增长的多元化健康需求，结合塔城地区实际，制定本规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一、总体要求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坚持以习近平新时代中国特色社会主义思想为指导，深入贯彻党的二十大和二十届历次全会精神，深刻领悟习近平总书记关于卫生健康工作的重要论述和关于新疆工作的重要讲话重要指示批示精神，完整准确全面贯彻新发展理念和新时代党的治疆方略，牢牢扭住社会稳定和长治久安总目标，坚持以铸牢中华民族共同体意识为主线，锚定党中央赋予新疆的“五大战略定位”，坚持新时代党的卫生与健康工作方针，深入推进“健康中国”“健康新疆”建设，全面落实“健康塔城”建设各项任务，坚持以人民健康为中心，以“强基、稳二、控三”为目标，以深化医药卫生体制改革为动力，以医疗卫生人才队伍建设为支撑，推动卫生健康事业发展模式从以治病为中心向以健康为中心根本转变，服务体系从数量增长向质量效益提升全面跃升，健康管理方式从被动就医向主动健康转变，不断提升人民群众健康获得感、幸福感、安全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到2030年，“健康塔城”建设深入推进，居民健康素养水平稳步提升，主动健康意识初步形成。公共卫生体系更加健全，传染病防控能力显著增强，突发公共卫生事件应急处置能力不断提升。医疗服务体系持续优化，“强基、稳二、控三”目标得到落实，优质医疗资源扩容下沉和区域均衡布局取得明显成效。基本医疗保障成果持续巩固，医药卫生体制改革向纵深推进，群众就医更加便捷高效。“一老一小”等重点人群健康保障更加有力。援疆育才机制日趋完善，医疗卫生人才队伍结构更加优化。信息化水平不断提升，智慧健康塔城建设取得明显成效。药品和医保保障更加完善，群众用药可及性显著提高。中医药与民族医药融合发展，特色优势充分发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570" w:beforeAutospacing="0" w:after="285" w:afterAutospacing="0" w:line="570" w:lineRule="atLeast"/>
        <w:ind w:left="0" w:right="0" w:firstLine="0"/>
        <w:jc w:val="left"/>
        <w:rPr>
          <w:rFonts w:hint="eastAsia" w:ascii="微软雅黑" w:hAnsi="微软雅黑" w:eastAsia="微软雅黑" w:cs="微软雅黑"/>
          <w:b/>
          <w:i w:val="0"/>
          <w:caps w:val="0"/>
          <w:color w:val="333333"/>
          <w:spacing w:val="0"/>
          <w:sz w:val="42"/>
          <w:szCs w:val="42"/>
        </w:rPr>
      </w:pPr>
      <w:r>
        <w:rPr>
          <w:rFonts w:hint="eastAsia" w:ascii="微软雅黑" w:hAnsi="微软雅黑" w:eastAsia="微软雅黑" w:cs="微软雅黑"/>
          <w:b/>
          <w:i w:val="0"/>
          <w:caps w:val="0"/>
          <w:color w:val="333333"/>
          <w:spacing w:val="0"/>
          <w:sz w:val="42"/>
          <w:szCs w:val="42"/>
          <w:bdr w:val="none" w:color="auto" w:sz="0" w:space="0"/>
          <w:shd w:val="clear" w:fill="FFFFFF"/>
        </w:rPr>
        <w:t>二、重点任务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（一）深化健康塔城建设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1.推进健康促进行动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构建“党委领导、政府负责、部门协同、社会参与”的健康治理格局。深入推进“三减三健”行动，全面普及健康生活方式。做实家庭医生签约服务，全面推行“4+4+N”（全天4小时在岗+全天4小时入户+N项提质行动）工作模式，不断提升全民健康素养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2.实施健康知识普及行动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以《中国公民健康素养—66条》为核心，加强健康科普和健康生活方式宣传。丰富健康教育形式，重点面向农牧区推广义诊周、宣传月、健康巡讲等做法。实施分级分类健康素养提升行动，持续提高高血压、糖尿病等慢性病规范管理率与控制率。实施控烟专项行动，深入开展控烟宣传教育，推进社区控烟干预，逐步实现室内公共场所全面禁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3.深入开展爱国卫生运动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深化“爱国卫生月”活动，推动爱国卫生运动常态化长效化。充分发挥村（居）民委员会公共卫生委员会和基层社会网格的功能作用，动员社会广泛参与。全面推进健康城镇建设，持续加强各县（市）爱国卫生运动委员会组织体系和能力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（二）提升医疗服务能力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1.促进医疗资源均衡布局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按照“强基、稳二、控三”要求，优化医疗机构功能定位和结构，原则上全地区不再增加二级医疗机构。持续推进综合医院、中医医院和妇幼保健院标准化建设，公立中医类医院床位数按照每千人口1张配置。支持塔城市、乌苏市、沙湾市提升区域医疗中心功能，裕民县、和布克赛尔县应因地制宜统筹整合政府办医疗卫生机构资源。引导社会办医向康复、护理、安宁疗护、儿科、老年医学等紧缺领域规范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2.提升三级医院危急重症救治能力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地区人民医院应聚焦危急重症、疑难复杂疾病救治，逐步压缩常见病复诊和稳定期慢性病普通门诊。支持地区人民医院打造优势学科群。鼓励开展涉外医疗、跨境医疗服务。围绕重点病种和急需紧缺专科，实施病房改造提升工程，补齐设施设备和救治能力短板。建设突发事件紧急救援中心，提升紧急医学救援能力，强化康复早期介入和急性期康复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3.提升二级医院常见病诊疗能力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二级医院应巩固常见病诊疗能力，大力拓展康复、护理、安宁疗护及医养结合服务。加快实施医疗卫生强基工程项目，推动县域五大资源共享中心提标扩能，实现统一管理、集中诊断、结果互认。健全县域急诊急救五大中心，完善急危重症救治体系。加强心脑血管、重症医学等重点学科建设，强化儿科、精神科、康复等薄弱学科建设。加快标准化心理门诊、睡眠门诊布局，规范开展“互联网+护理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4.提升基层医疗机构服务能力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强化政府办医责任，坚持公益属性，筑牢基层医疗机构健康“网底”，推进基层医疗机构标准化、规范化建设。实施基层服务能力五年提升行动，加强门诊、住院、手术、护理能力建设，配置移动诊疗设备，补齐偏远地区医疗服务短板，持续提升医疗质量。加快社区卫生服务中心与乡镇卫生院功能升级，合理配置康复护理床位，增强老年、慢病服务承载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5.加强医疗卫生安全、急救、血液管理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严格落实安全生产责任制，筑牢医疗质量安全防线，完善重点场景应急预案，提升舆情预警和正面引导能力。严格规范生物实验室全流程监管，守牢生物安全底线。提质升级院前急救服务体系，推进120急救指挥智能化升级，提升应急救援处置效能。严格落实采供血全流程管理制度，保障临床用血安全。实施无偿献血“三免”优待政策，简化血费减免、优先用血等便民流程，健全献血者权益保障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6.提升卫生健康法治化水平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深入推进法治医院建设，强化依法执业和法制审核，落实“谁执法谁普法”责任制，开展医务人员法治素养提升行动，全面提升卫生健康法治化水平。健全卫生健康监督执法体系，补齐县（市）监督执法力量短板，深化“双随机、一公开”监督检查，严厉打击非法行医、违规执业等侵害群众健康权益的违法行为。依托“扫码入企”机制，将“塔通办”扫码检查融入卫生健康监督执法全流程</w:t>
      </w:r>
      <w:r>
        <w:rPr>
          <w:rFonts w:hint="eastAsia" w:ascii="微软雅黑" w:hAnsi="微软雅黑" w:eastAsia="微软雅黑" w:cs="微软雅黑"/>
          <w:i w:val="0"/>
          <w:caps w:val="0"/>
          <w:color w:val="0000FF"/>
          <w:spacing w:val="0"/>
          <w:sz w:val="24"/>
          <w:szCs w:val="24"/>
          <w:u w:val="single"/>
          <w:bdr w:val="none" w:color="auto" w:sz="0" w:space="0"/>
          <w:shd w:val="clear" w:fill="FFFFFF"/>
        </w:rPr>
        <w:fldChar w:fldCharType="begin"/>
      </w:r>
      <w:r>
        <w:rPr>
          <w:rFonts w:hint="eastAsia" w:ascii="微软雅黑" w:hAnsi="微软雅黑" w:eastAsia="微软雅黑" w:cs="微软雅黑"/>
          <w:i w:val="0"/>
          <w:caps w:val="0"/>
          <w:color w:val="0000FF"/>
          <w:spacing w:val="0"/>
          <w:sz w:val="24"/>
          <w:szCs w:val="24"/>
          <w:u w:val="single"/>
          <w:bdr w:val="none" w:color="auto" w:sz="0" w:space="0"/>
          <w:shd w:val="clear" w:fill="FFFFFF"/>
        </w:rPr>
        <w:instrText xml:space="preserve"> HYPERLINK "https://www.xjtc.gov.cn/ywdt/tzgg/zhgg/content_58881" </w:instrText>
      </w:r>
      <w:r>
        <w:rPr>
          <w:rFonts w:hint="eastAsia" w:ascii="微软雅黑" w:hAnsi="微软雅黑" w:eastAsia="微软雅黑" w:cs="微软雅黑"/>
          <w:i w:val="0"/>
          <w:caps w:val="0"/>
          <w:color w:val="0000FF"/>
          <w:spacing w:val="0"/>
          <w:sz w:val="24"/>
          <w:szCs w:val="24"/>
          <w:u w:val="single"/>
          <w:bdr w:val="none" w:color="auto" w:sz="0" w:space="0"/>
          <w:shd w:val="clear" w:fill="FFFFFF"/>
        </w:rPr>
        <w:fldChar w:fldCharType="separate"/>
      </w:r>
      <w:r>
        <w:rPr>
          <w:rFonts w:hint="eastAsia" w:ascii="微软雅黑" w:hAnsi="微软雅黑" w:eastAsia="微软雅黑" w:cs="微软雅黑"/>
          <w:i w:val="0"/>
          <w:caps w:val="0"/>
          <w:color w:val="0000FF"/>
          <w:spacing w:val="0"/>
          <w:sz w:val="24"/>
          <w:szCs w:val="24"/>
          <w:u w:val="single"/>
          <w:bdr w:val="none" w:color="auto" w:sz="0" w:space="0"/>
          <w:shd w:val="clear" w:fill="FFFFFF"/>
        </w:rPr>
        <w:fldChar w:fldCharType="end"/>
      </w:r>
      <w:r>
        <w:rPr>
          <w:rFonts w:hint="eastAsia" w:ascii="微软雅黑" w:hAnsi="微软雅黑" w:eastAsia="微软雅黑" w:cs="微软雅黑"/>
          <w:i w:val="0"/>
          <w:caps w:val="0"/>
          <w:color w:val="0000FF"/>
          <w:spacing w:val="0"/>
          <w:sz w:val="24"/>
          <w:szCs w:val="24"/>
          <w:u w:val="single"/>
          <w:bdr w:val="none" w:color="auto" w:sz="0" w:space="0"/>
          <w:shd w:val="clear" w:fill="FFFFFF"/>
        </w:rPr>
        <w:fldChar w:fldCharType="begin"/>
      </w:r>
      <w:r>
        <w:rPr>
          <w:rFonts w:hint="eastAsia" w:ascii="微软雅黑" w:hAnsi="微软雅黑" w:eastAsia="微软雅黑" w:cs="微软雅黑"/>
          <w:i w:val="0"/>
          <w:caps w:val="0"/>
          <w:color w:val="0000FF"/>
          <w:spacing w:val="0"/>
          <w:sz w:val="24"/>
          <w:szCs w:val="24"/>
          <w:u w:val="single"/>
          <w:bdr w:val="none" w:color="auto" w:sz="0" w:space="0"/>
          <w:shd w:val="clear" w:fill="FFFFFF"/>
        </w:rPr>
        <w:instrText xml:space="preserve"> HYPERLINK "https://xjtc.gov.cn/zzb/zfwj__zfxxgk/qwfb/zfgw1/content_59584" </w:instrText>
      </w:r>
      <w:r>
        <w:rPr>
          <w:rFonts w:hint="eastAsia" w:ascii="微软雅黑" w:hAnsi="微软雅黑" w:eastAsia="微软雅黑" w:cs="微软雅黑"/>
          <w:i w:val="0"/>
          <w:caps w:val="0"/>
          <w:color w:val="0000FF"/>
          <w:spacing w:val="0"/>
          <w:sz w:val="24"/>
          <w:szCs w:val="24"/>
          <w:u w:val="single"/>
          <w:bdr w:val="none" w:color="auto" w:sz="0" w:space="0"/>
          <w:shd w:val="clear" w:fill="FFFFFF"/>
        </w:rPr>
        <w:fldChar w:fldCharType="separate"/>
      </w:r>
      <w:r>
        <w:rPr>
          <w:rFonts w:hint="eastAsia" w:ascii="微软雅黑" w:hAnsi="微软雅黑" w:eastAsia="微软雅黑" w:cs="微软雅黑"/>
          <w:i w:val="0"/>
          <w:caps w:val="0"/>
          <w:color w:val="0000FF"/>
          <w:spacing w:val="0"/>
          <w:sz w:val="24"/>
          <w:szCs w:val="24"/>
          <w:u w:val="single"/>
          <w:bdr w:val="none" w:color="auto" w:sz="0" w:space="0"/>
          <w:shd w:val="clear" w:fill="FFFFFF"/>
        </w:rPr>
        <w:fldChar w:fldCharType="end"/>
      </w:r>
      <w:r>
        <w:rPr>
          <w:rFonts w:hint="eastAsia" w:ascii="微软雅黑" w:hAnsi="微软雅黑" w:eastAsia="微软雅黑" w:cs="微软雅黑"/>
          <w:i w:val="0"/>
          <w:caps w:val="0"/>
          <w:color w:val="333333"/>
          <w:spacing w:val="0"/>
          <w:sz w:val="24"/>
          <w:szCs w:val="24"/>
          <w:bdr w:val="none" w:color="auto" w:sz="0" w:space="0"/>
          <w:shd w:val="clear" w:fill="FFFFFF"/>
        </w:rPr>
        <w:t>，健全跨部门联合监管与执法联动机制，以数字化赋能推动卫生健康监管提质增效。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（三）完善公共卫生体系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1.健全疾病预防控制体系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推进地、县两级疾控中心（卫生监督所）规范化建设。实施疾控领域强基工程，重点推进地区疾控中心提标扩能和边境县市疾控机构升级改造。加快推动疾控机构融入紧密型县域医共体建设，全面推进医共体公共卫生一体化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2.强化重点传染病综合防控</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全面实施国家免疫规划，加大数字化接种门诊建设力度，加强艾滋病检测、抗病毒治疗和随访管理。建立完善结核病防治综合服务体系，落实“主动发现+营养早餐集中服药”防治模式。补齐乌苏市、沙湾市移动监测平台、监测无人机等现代化装备。消除和控制碘缺乏病、氟砷中毒等重点地方病。加强布鲁氏菌病、包虫病等人兽共患病防控，做好人群筛查与规范救治。强化健康危险因素监测评估与公共卫生干预。</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3.提高突发公共卫生事件应急处置能力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加快智慧化、信息化多点触发监测预警体系建设，提升疾控机构多病原联合检测鉴定能力。持续做好跨境传染病防控工作，完善多部门协同联动机制。健全紧急医学救援体系，构建覆盖全地区的紧急医学救援网络。加强卫生应急队伍能力建设，常态化开展应急演练。建设地区卫生应急物资储备库，强化卫生应急物资储备保障。加强健康科普宣教，提升群众健康意识和自我防护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4.加强心理健康和精神卫生服务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健全“地、县、乡、村”四级精神卫生服务网络。支持地区人民医院加强精神卫生中心建设，带动辐射周边县市。推动乌苏市、沙湾市人民医院建设标准化心理门诊、睡眠门诊和精神科（含住院床位）。培养专业咨询人员，提升12356全国心理援助热线服务质量。定期组织心理健康和精神卫生主题义诊，常态化开展筛查评估，加强严重精神障碍患者随访管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5.实施职业健康保护行动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持续推进重点行业职业病危害专项治理，建立多部门数据共享机制，压实用人单位职业病防治主体责任。加强职业健康技术服务机构管理，提升职业病诊断和救治能力，完善职业病救治保障与康复服务衔接机制。常态化开展职业健康宣传教育，提升劳动者职业健康素养和自我防护能力。实施分类监督执法，构建风险闭环管控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6.筑牢食品与饮用水安全防线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全面落实国家食品安全各项标准要求，健全风险监测网络，持续提升风险早期识别、预警研判与应急处置能力。完善食源性疾病监测报告与溯源机制，加强食源性疾病暴发事件应急处置。常态化开展城乡生活饮用水水质监测工作，持续提升疾控机构水质检测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（四）深化医药卫生体制改革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1.深化医疗、医保、医药协同治理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落实党委、政府主要负责同志亲自抓医改的工作机制，明确一名党委常委同志负责联系医改工作，一名政府负责同志统一分管医疗、医保、医药工作。稳步推进地、县卫生健康党工委规范化建设。持续深化“学三明、抓医改”工作，明确政府主导责任和医疗、医保、医药部门职责分工，强化“三医”联动领导机制和决策协调机制，构建以健康需求为导向的“三医”协同治理模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2.加快紧密型医联体建设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因地制宜构建“党委、政府主导，多部门协作，卫生健康行政部门统筹”的医联体管理体制。地区层面，由地区人民医院牵头，联合地区中医医院、地区妇幼保健院、塔城市医共体总医院组建城市医疗集团，推动资源整合、优势互补。县（市）层面，将中医医院、疾控中心、妇幼保健院、乡镇卫生院（社区卫生服务中心）等医疗卫生机构深度融入医共体建设，推进县域五大资源共享中心建设，建成布局合理、人财物统一管理、权责清晰、运行高效、分工协作、服务连续、信息共享的紧密型县域医共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3.深化分级诊疗体系建设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明确各级医疗机构功能定位，加快提升基层医疗卫生服务能力，推动形成基层首诊、双向转诊、急慢分治、上下联动的分级诊疗制度。提升地、县、乡三级转诊会诊服务中心功能，健全转诊指导目录，畅通区域内医疗机构转诊协作通道。推进优质资源下沉，全面推行“县聘乡用、乡聘村用”人才管理模式，推动基层医疗卫生机构名医工作室全覆盖，服务人口5000人以上的基层医疗卫生机构实现上级医院长期派驻中高级医师全覆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4.提升药品供应保障能力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坚持国家基本药物制度，分级分类落实基本药物配备使用比例。完善药品保障链条，推进县域医共体中心药房一体化建设，实行统一管理、统一用药目录、统一采购配送。完善基层药品管理制度，规范麻醉药品和精神药品管理，强化短缺药品监测预警和应急处置。建立审方中心，提供远程药学服务，加大处方抽查和评价力度。探索设立药师门诊，提供社区药物治疗评估、药物使用管理、用药依从性咨询等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5.深化公立医院绩效考核和薪酬制度改革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制定出台符合医疗行业特点、体现以知识价值为导向的公立医院薪酬制度改革政策，推动落地见效。健全分层分类绩效考核体系，完善多元评价与分配机制，合理确定并动态调整公立医院绩效工资总量。全面落实公立医院主要负责人及总会计师年薪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6.提升卫生健康科技创新能力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鼓励塔城地区人民医院等有条件的医疗机构建设医学研究平台。围绕地区多发病、常见病和地方病防治需求，开展临床应用研究和适宜技术推广。深化与疆内外高等院校、科研院所和三级医院的科研合作，积极引进先进技术和科研成果。加大科研投入力度，健全科研激励机制和经费保障机制，将科研工作纳入医院绩效考核和学科建设评价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（五）完善全生命周期健康服务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1.完善生育支持政策与普惠托育服务体系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健全人口监测体系，强化人口形势研判。支持各县（市）出台配套支持措施，积极应对人口自然负增长，促进人口长期均衡发展。大力发展社区嵌入式托育、托幼一体化、社会力量办托。落实地区托育服务支持方案，规范普惠托育服务收费，扩大普惠托育供给。全面落实育儿补贴、婚假、产假、育儿假等政策，减轻家庭生育养育负担，推进生育友好型社会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2.实施妇幼健康促进行动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完善地、县、乡三级妇幼健康服务网络，规划新增至少1家二级甲等妇幼保健机构。推动中医药与妇幼健康深度融合，全地区创建1—2家标准化妇孺国医堂，推广中医妇幼适宜技术。严格落实“母婴安全五项制度”，健全危重孕产妇、危重新生儿转诊与救治体系。扩大“两癌”筛查覆盖面，完善青春期、更年期保健、乳腺疾病防治等女性全生命周期专科服务体系。巩固消除艾滋病、梅毒、乙肝母婴传播国家级评估成果，持续保持消除状态。优化出生缺陷综合防治体系，落实婚前、孕前优生健康检查和新生儿疾病筛查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3.实施老年健康促进行动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积极应对人口老龄化，加快推进医养结合发展，支持有条件的二级医院转型为康复医疗机构和护理院（护理中心）。二级及以上公立综合医院全部规范设置老年医学科，鼓励有条件的基层医疗卫生机构提供老年医疗服务，支持开展家庭病床、上门巡诊等延伸服务。实施老年健康知识普及和营养改善行动，为65岁及以上居家失能老年人提供健康评估与健康服务。积极创建申报全国医养结合示范县（市、区）及全国医养结合示范机构。持续推进老年友善医疗机构建设，改善就医环境，弥合“数字鸿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4.实施中小学健康促进行动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完善青少年健康管理机制，推进学校健康教育课程及校医体系建设。加快建设儿童孤独症门诊，配备专业团队，构建早筛查、早干预、早康复全链条服务。强化6—18岁学生健康监测，提升体检数据利用效能。支持医疗卫生人员担任中小学和幼儿园“健康副校（园）长”，推动儿童青少年“五健”行动落地见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5.加强特殊人群健康服务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落实国家及自治区计生特殊家庭扶助政策，全面落实“三个全覆盖”，加大对困难家庭倾斜力度，持续强化保险保障。完善养老服务，扩大居家照护覆盖面，为失能、独居等老年人提供定期上门护理服务。健全残疾人及失能人群康复体系，推动康复服务向社区和家庭延伸，推广居家康复与护理模式。加强残疾儿童康复救助。推动长期护理保险与医疗救助、养老服务等政策衔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（六）推动中医药传承发展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1.健全中医药服务体系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实施中医药服务能力提升行动，推进中医医院康复中心建设。支持乌苏市中医医院建成区域中医药诊疗中心。鼓励塔城地区中医医院、托里县哈萨克医医院开展涉外医疗服务，“十五五”期间创成二级甲等中医医院。依托地、县两级中医医院，建设中医药实训基地。建设名老中医药（含基层）专家传承工作室，组织开展西学中培训。常态化开展巡回医疗、中医药文化“六进”等活动。培育一支中医药监督执法队伍。持续加强综合医院、妇幼保健机构中医临床科室和中药房建设。提升中医馆、中医阁服务质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2.推动中医药产业融合发展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推进裕民县红花种植基地国家中医药健康旅游示范基地建设。加强红花、甘草、连翘等中药材种植培育，支持“定制药园”“GAP基地”申报建设。依托巴克图口岸、沙湾市鹿角湾、和布克赛尔蒙古自治县热气泉等资源，发展中医药健康旅游、养生保健等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（七）加强人才队伍建设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立足塔城“5+2”现代化产业需求，精准引进卫生健康高层次人才。鼓励医务人员参与科研项目、发表学术论文、申报科技成果，培养学科带头人和青年骨干。实施“好院长”培育工程，选任院长（主任）助理，建立“师带徒”跟踪培养机制。深化与中国医科大学、辽宁中医药大学、锦州医科大学等院校合作，推进订单定向医学生免费培养和大学生乡村医生专项计划。完善住院医师规培、转岗培训和继续医学教育制度。实施“卫生健康银龄人才”特聘专家项目，鼓励退休医务人员返聘开展工作。加强乡村医生国培项目集中培训，推动乡村医生向执业（助理）医师转化。推进二级以上医疗机构专家定期坐诊、远程带教和会诊，形成“以城带乡、以乡带村”帮带格局。开展技能竞赛和评奖活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（八）加快全民健康数智化建设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依托“数字塔城”建设，健全信息化标准规范体系，推动各级医疗机构基础设施达标改造。加快建设覆盖医疗、公卫、医保等领域的全民健康信息平台，纵向贯通地县乡三级、横向覆盖各类机构，强化数据共享共用。依托紧密型县域医共体信息化建设，推动医共体内部信息互联互通，实现医疗数据的集中管理。加快乌苏市中医医院、沙湾市人民医院“互联网医院”建设。促进“人工智能+医疗卫生”应用发展，推进医学影像智能辅助诊断、临床诊疗智能辅助决策等人工智能技术在各医疗机构的普遍部署应用，探索人工智能在精准医疗、健康管理、养老陪护等场景的应用。强化网络安全防护，确保患者隐私和数据安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（九）健全对口支援长效机制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持续开展“组团式”帮扶工作，深化“以校包院+以院包科”帮扶模式，推动援疆专家全面嵌入受援医院管理、临床和关键岗位。积极争取辽宁中医药大学柔性帮扶塔城地区中医医院。持续推进三级医院对口帮扶工作，依托疆内外三级医院对边境县（市）医疗卫生机构进行帮扶。推动援疆医疗队常态化下沉基层，开展巡诊带教和健康宣教。深化兵地融合发展，建立兵地卫生健康联合协商机制，探索推行“兵地双聘”人才交流模式，加强兵地信息平台互联互通，推动兵地医疗卫生服务同质化、一体化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三、组织实施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4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各县（市）要将本规划确定的主要目标和指标纳入当地国民经济和社会发展计划，明确职责任务，认真组织落实各项重点工作。卫健部门要以本规划为依据，对医疗卫生资源配置实施宏观调控，实行属地化管理，加强规划实施和监控，科学配置医疗资源，巩固公立医疗机构主导地位，严格控制不合理的医疗资源投入。各县（市）要进一步强化政府在提供公共卫生和基本医疗服务中的主导责任，加大政府投入力度，保障各族群众基本需求。坚持正确舆论导向，加强正面宣传和典型宣传，增强社会对卫生健康工作的普遍认知，争取各方面支持。建立规划监督评价机制，完善规划中期和末期评估制度，强化对规划实施情况的检查督导，及时发现并研究解决工作中存在的突出问题，确保规划顺利实施、取得实效。</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326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2026-10-19T12:36:43Z</dcterms:created>
  <dc:creator>Administrator</dc:creator>
  <cp:lastModifiedBy>泛微软件工程师</cp:lastModifiedBy>
  <dcterms:modified xsi:type="dcterms:W3CDTF">2026-10-19T12:36:57Z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