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tiff" ContentType="image/tif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0"/>
        <w:pageBreakBefore w:val="0"/>
        <w:wordWrap/>
        <w:bidi w:val="0"/>
        <w:adjustRightInd w:val="0"/>
        <w:ind w:left="880" w:leftChars="0" w:right="0" w:rightChars="0"/>
        <w:jc w:val="center"/>
        <w:rPr>
          <w:rFonts w:hint="default" w:ascii="Times New Roman" w:hAnsi="Times New Roman" w:eastAsia="方正小标宋简体" w:cs="Times New Roman"/>
          <w:color w:val="auto"/>
          <w:sz w:val="44"/>
          <w:szCs w:val="44"/>
          <w:highlight w:val="yellow"/>
          <w:lang w:val="zh-CN" w:eastAsia="zh-CN"/>
        </w:rPr>
      </w:pPr>
    </w:p>
    <w:p>
      <w:pPr>
        <w:pStyle w:val="30"/>
        <w:pageBreakBefore w:val="0"/>
        <w:wordWrap/>
        <w:bidi w:val="0"/>
        <w:adjustRightInd w:val="0"/>
        <w:ind w:left="883" w:leftChars="0" w:right="0" w:rightChars="0"/>
        <w:jc w:val="center"/>
        <w:rPr>
          <w:rFonts w:hint="default" w:ascii="Times New Roman" w:hAnsi="Times New Roman" w:eastAsia="宋体" w:cs="Times New Roman"/>
          <w:b/>
          <w:bCs/>
          <w:color w:val="auto"/>
          <w:sz w:val="44"/>
          <w:szCs w:val="44"/>
          <w:highlight w:val="none"/>
          <w:lang w:val="zh-CN" w:eastAsia="zh-CN"/>
        </w:rPr>
      </w:pPr>
    </w:p>
    <w:p>
      <w:pPr>
        <w:pageBreakBefore w:val="0"/>
        <w:wordWrap/>
        <w:bidi w:val="0"/>
        <w:adjustRightInd w:val="0"/>
        <w:ind w:left="0" w:leftChars="0" w:right="0" w:rightChars="0"/>
        <w:rPr>
          <w:rFonts w:hint="default" w:ascii="Times New Roman" w:hAnsi="Times New Roman" w:eastAsia="宋体" w:cs="Times New Roman"/>
          <w:b/>
          <w:bCs/>
          <w:color w:val="auto"/>
          <w:highlight w:val="none"/>
          <w:lang w:val="zh-CN" w:eastAsia="zh-CN"/>
        </w:rPr>
      </w:pPr>
    </w:p>
    <w:p>
      <w:pPr>
        <w:pStyle w:val="30"/>
        <w:keepNext w:val="0"/>
        <w:keepLines w:val="0"/>
        <w:pageBreakBefore w:val="0"/>
        <w:widowControl w:val="0"/>
        <w:kinsoku/>
        <w:wordWrap/>
        <w:overflowPunct/>
        <w:topLinePunct w:val="0"/>
        <w:autoSpaceDE/>
        <w:autoSpaceDN/>
        <w:bidi w:val="0"/>
        <w:adjustRightInd w:val="0"/>
        <w:snapToGrid w:val="0"/>
        <w:ind w:left="964" w:leftChars="0" w:right="0" w:rightChars="0"/>
        <w:jc w:val="center"/>
        <w:textAlignment w:val="auto"/>
        <w:outlineLvl w:val="9"/>
        <w:rPr>
          <w:rFonts w:hint="default" w:ascii="Times New Roman" w:hAnsi="Times New Roman" w:cs="Times New Roman"/>
          <w:b/>
          <w:bCs/>
          <w:color w:val="auto"/>
          <w:sz w:val="48"/>
          <w:szCs w:val="48"/>
          <w:highlight w:val="none"/>
          <w:lang w:val="zh-CN" w:eastAsia="zh-CN"/>
        </w:rPr>
      </w:pPr>
      <w:bookmarkStart w:id="0" w:name="_Toc21285"/>
      <w:bookmarkStart w:id="1" w:name="_Toc16412"/>
      <w:r>
        <w:rPr>
          <w:rFonts w:hint="default" w:ascii="Times New Roman" w:hAnsi="Times New Roman" w:cs="Times New Roman"/>
          <w:b/>
          <w:bCs/>
          <w:color w:val="auto"/>
          <w:sz w:val="48"/>
          <w:szCs w:val="48"/>
          <w:highlight w:val="none"/>
          <w:lang w:val="zh-CN" w:eastAsia="zh-CN"/>
        </w:rPr>
        <w:t>塔城奶牛现代化养殖基地建设项目</w:t>
      </w:r>
    </w:p>
    <w:p>
      <w:pPr>
        <w:pStyle w:val="30"/>
        <w:keepNext w:val="0"/>
        <w:keepLines w:val="0"/>
        <w:pageBreakBefore w:val="0"/>
        <w:widowControl w:val="0"/>
        <w:kinsoku/>
        <w:wordWrap/>
        <w:overflowPunct/>
        <w:topLinePunct w:val="0"/>
        <w:autoSpaceDE/>
        <w:autoSpaceDN/>
        <w:bidi w:val="0"/>
        <w:adjustRightInd w:val="0"/>
        <w:snapToGrid w:val="0"/>
        <w:ind w:left="964" w:leftChars="0" w:right="0" w:rightChars="0"/>
        <w:jc w:val="center"/>
        <w:textAlignment w:val="auto"/>
        <w:outlineLvl w:val="9"/>
        <w:rPr>
          <w:rFonts w:hint="default" w:ascii="Times New Roman" w:hAnsi="Times New Roman" w:cs="Times New Roman"/>
          <w:b/>
          <w:bCs/>
          <w:color w:val="auto"/>
          <w:sz w:val="48"/>
          <w:szCs w:val="48"/>
          <w:highlight w:val="none"/>
          <w:lang w:val="zh-CN" w:eastAsia="zh-CN"/>
        </w:rPr>
      </w:pPr>
      <w:r>
        <w:rPr>
          <w:rFonts w:hint="default" w:ascii="Times New Roman" w:hAnsi="Times New Roman" w:cs="Times New Roman"/>
          <w:b/>
          <w:bCs/>
          <w:color w:val="auto"/>
          <w:sz w:val="48"/>
          <w:szCs w:val="48"/>
          <w:highlight w:val="none"/>
          <w:lang w:val="zh-CN" w:eastAsia="zh-CN"/>
        </w:rPr>
        <w:t>环境影响报告书</w:t>
      </w:r>
      <w:bookmarkEnd w:id="0"/>
      <w:bookmarkEnd w:id="1"/>
    </w:p>
    <w:p>
      <w:pPr>
        <w:pageBreakBefore w:val="0"/>
        <w:wordWrap/>
        <w:bidi w:val="0"/>
        <w:adjustRightInd w:val="0"/>
        <w:ind w:left="0" w:leftChars="0" w:right="0" w:rightChars="0"/>
        <w:rPr>
          <w:rFonts w:hint="default" w:ascii="Times New Roman" w:hAnsi="Times New Roman" w:cs="Times New Roman"/>
          <w:color w:val="auto"/>
          <w:highlight w:val="none"/>
          <w:lang w:val="en-US" w:eastAsia="zh-CN"/>
        </w:rPr>
      </w:pPr>
    </w:p>
    <w:p>
      <w:pPr>
        <w:pStyle w:val="30"/>
        <w:pageBreakBefore w:val="0"/>
        <w:wordWrap/>
        <w:bidi w:val="0"/>
        <w:adjustRightInd w:val="0"/>
        <w:ind w:left="964" w:leftChars="0" w:right="0" w:rightChars="0"/>
        <w:jc w:val="center"/>
        <w:rPr>
          <w:rFonts w:hint="default" w:ascii="Times New Roman" w:hAnsi="Times New Roman" w:eastAsia="宋体" w:cs="Times New Roman"/>
          <w:b/>
          <w:bCs/>
          <w:color w:val="auto"/>
          <w:sz w:val="48"/>
          <w:szCs w:val="48"/>
          <w:highlight w:val="none"/>
          <w:lang w:val="en-US" w:eastAsia="zh-CN"/>
        </w:rPr>
      </w:pPr>
    </w:p>
    <w:p>
      <w:pPr>
        <w:pStyle w:val="30"/>
        <w:pageBreakBefore w:val="0"/>
        <w:wordWrap/>
        <w:bidi w:val="0"/>
        <w:adjustRightInd w:val="0"/>
        <w:ind w:left="964" w:leftChars="0" w:right="0" w:rightChars="0"/>
        <w:jc w:val="center"/>
        <w:rPr>
          <w:rFonts w:hint="default" w:ascii="Times New Roman" w:hAnsi="Times New Roman" w:eastAsia="宋体" w:cs="Times New Roman"/>
          <w:b/>
          <w:bCs/>
          <w:color w:val="auto"/>
          <w:sz w:val="48"/>
          <w:szCs w:val="48"/>
          <w:highlight w:val="none"/>
          <w:lang w:val="en-US" w:eastAsia="zh-CN"/>
        </w:rPr>
      </w:pPr>
    </w:p>
    <w:p>
      <w:pPr>
        <w:pStyle w:val="30"/>
        <w:pageBreakBefore w:val="0"/>
        <w:wordWrap/>
        <w:bidi w:val="0"/>
        <w:adjustRightInd w:val="0"/>
        <w:ind w:left="964" w:leftChars="0" w:right="0" w:rightChars="0"/>
        <w:jc w:val="center"/>
        <w:rPr>
          <w:rFonts w:hint="default" w:ascii="Times New Roman" w:hAnsi="Times New Roman" w:eastAsia="宋体" w:cs="Times New Roman"/>
          <w:b/>
          <w:bCs/>
          <w:color w:val="auto"/>
          <w:sz w:val="48"/>
          <w:szCs w:val="48"/>
          <w:highlight w:val="none"/>
          <w:lang w:val="en-US" w:eastAsia="zh-CN"/>
        </w:rPr>
      </w:pPr>
    </w:p>
    <w:p>
      <w:pPr>
        <w:pageBreakBefore w:val="0"/>
        <w:wordWrap/>
        <w:bidi w:val="0"/>
        <w:adjustRightInd w:val="0"/>
        <w:ind w:left="0" w:leftChars="0" w:right="0" w:rightChars="0"/>
        <w:rPr>
          <w:rFonts w:hint="default" w:ascii="Times New Roman" w:hAnsi="Times New Roman" w:eastAsia="宋体" w:cs="Times New Roman"/>
          <w:b/>
          <w:bCs/>
          <w:color w:val="auto"/>
          <w:sz w:val="48"/>
          <w:szCs w:val="48"/>
          <w:highlight w:val="none"/>
          <w:lang w:val="en-US" w:eastAsia="zh-CN"/>
        </w:rPr>
      </w:pPr>
    </w:p>
    <w:p>
      <w:pPr>
        <w:pStyle w:val="47"/>
        <w:pageBreakBefore w:val="0"/>
        <w:wordWrap/>
        <w:bidi w:val="0"/>
        <w:adjustRightInd w:val="0"/>
        <w:ind w:left="0" w:leftChars="0" w:right="0" w:rightChars="0"/>
        <w:rPr>
          <w:rFonts w:hint="default" w:ascii="Times New Roman" w:hAnsi="Times New Roman" w:cs="Times New Roman"/>
          <w:color w:val="auto"/>
          <w:highlight w:val="none"/>
          <w:lang w:val="en-US" w:eastAsia="zh-CN"/>
        </w:rPr>
      </w:pPr>
    </w:p>
    <w:p>
      <w:pPr>
        <w:pStyle w:val="30"/>
        <w:pageBreakBefore w:val="0"/>
        <w:wordWrap/>
        <w:bidi w:val="0"/>
        <w:adjustRightInd w:val="0"/>
        <w:ind w:left="964" w:leftChars="0" w:right="0" w:rightChars="0"/>
        <w:jc w:val="center"/>
        <w:rPr>
          <w:rFonts w:hint="default" w:ascii="Times New Roman" w:hAnsi="Times New Roman" w:eastAsia="宋体" w:cs="Times New Roman"/>
          <w:b/>
          <w:bCs/>
          <w:color w:val="auto"/>
          <w:sz w:val="48"/>
          <w:szCs w:val="48"/>
          <w:highlight w:val="none"/>
          <w:lang w:val="en-US" w:eastAsia="zh-CN"/>
        </w:rPr>
      </w:pPr>
    </w:p>
    <w:p>
      <w:pPr>
        <w:pStyle w:val="30"/>
        <w:pageBreakBefore w:val="0"/>
        <w:wordWrap/>
        <w:bidi w:val="0"/>
        <w:adjustRightInd w:val="0"/>
        <w:ind w:left="964" w:leftChars="0" w:right="0" w:rightChars="0"/>
        <w:jc w:val="center"/>
        <w:rPr>
          <w:rFonts w:hint="default" w:ascii="Times New Roman" w:hAnsi="Times New Roman" w:eastAsia="宋体" w:cs="Times New Roman"/>
          <w:b/>
          <w:bCs/>
          <w:color w:val="auto"/>
          <w:sz w:val="48"/>
          <w:szCs w:val="48"/>
          <w:highlight w:val="none"/>
          <w:lang w:val="en-US" w:eastAsia="zh-CN"/>
        </w:rPr>
      </w:pPr>
    </w:p>
    <w:p>
      <w:pPr>
        <w:pStyle w:val="30"/>
        <w:pageBreakBefore w:val="0"/>
        <w:wordWrap/>
        <w:bidi w:val="0"/>
        <w:adjustRightInd w:val="0"/>
        <w:ind w:left="964" w:leftChars="0" w:right="0" w:rightChars="0"/>
        <w:jc w:val="center"/>
        <w:rPr>
          <w:rFonts w:hint="default" w:ascii="Times New Roman" w:hAnsi="Times New Roman" w:eastAsia="宋体" w:cs="Times New Roman"/>
          <w:b/>
          <w:bCs/>
          <w:color w:val="auto"/>
          <w:sz w:val="48"/>
          <w:szCs w:val="48"/>
          <w:highlight w:val="none"/>
          <w:lang w:val="en-US" w:eastAsia="zh-CN"/>
        </w:rPr>
      </w:pPr>
    </w:p>
    <w:p>
      <w:pPr>
        <w:pStyle w:val="30"/>
        <w:keepNext w:val="0"/>
        <w:keepLines w:val="0"/>
        <w:pageBreakBefore w:val="0"/>
        <w:widowControl w:val="0"/>
        <w:kinsoku/>
        <w:wordWrap/>
        <w:overflowPunct/>
        <w:topLinePunct w:val="0"/>
        <w:autoSpaceDE/>
        <w:autoSpaceDN/>
        <w:bidi w:val="0"/>
        <w:adjustRightInd w:val="0"/>
        <w:snapToGrid w:val="0"/>
        <w:ind w:left="643" w:leftChars="0" w:right="0" w:rightChars="0"/>
        <w:jc w:val="center"/>
        <w:textAlignment w:val="auto"/>
        <w:outlineLvl w:val="9"/>
        <w:rPr>
          <w:rFonts w:hint="default" w:ascii="Times New Roman" w:hAnsi="Times New Roman" w:eastAsia="宋体" w:cs="Times New Roman"/>
          <w:b/>
          <w:bCs/>
          <w:color w:val="auto"/>
          <w:sz w:val="32"/>
          <w:szCs w:val="32"/>
          <w:highlight w:val="none"/>
          <w:lang w:eastAsia="zh-CN"/>
        </w:rPr>
      </w:pPr>
      <w:bookmarkStart w:id="2" w:name="_Toc15668"/>
      <w:bookmarkStart w:id="3" w:name="_Toc30688"/>
      <w:bookmarkStart w:id="4" w:name="_Toc23267"/>
      <w:bookmarkStart w:id="5" w:name="_Toc5338"/>
      <w:bookmarkStart w:id="6" w:name="_Toc26366"/>
      <w:bookmarkStart w:id="7" w:name="_Toc8907"/>
      <w:r>
        <w:rPr>
          <w:rFonts w:hint="default" w:ascii="Times New Roman" w:hAnsi="Times New Roman" w:eastAsia="宋体" w:cs="Times New Roman"/>
          <w:b/>
          <w:bCs/>
          <w:color w:val="auto"/>
          <w:sz w:val="32"/>
          <w:szCs w:val="32"/>
          <w:highlight w:val="none"/>
        </w:rPr>
        <w:t>建设单位：</w:t>
      </w:r>
      <w:bookmarkEnd w:id="2"/>
      <w:bookmarkEnd w:id="3"/>
      <w:bookmarkEnd w:id="4"/>
      <w:bookmarkEnd w:id="5"/>
      <w:bookmarkEnd w:id="6"/>
      <w:bookmarkEnd w:id="7"/>
      <w:r>
        <w:rPr>
          <w:rFonts w:hint="eastAsia" w:cs="Times New Roman"/>
          <w:b/>
          <w:bCs/>
          <w:color w:val="auto"/>
          <w:sz w:val="32"/>
          <w:szCs w:val="32"/>
          <w:highlight w:val="none"/>
          <w:lang w:val="en-US" w:eastAsia="zh-CN"/>
        </w:rPr>
        <w:t>伊犁哈萨克自治州塔城地区畜牧兽医局</w:t>
      </w:r>
    </w:p>
    <w:p>
      <w:pPr>
        <w:pStyle w:val="30"/>
        <w:keepNext w:val="0"/>
        <w:keepLines w:val="0"/>
        <w:pageBreakBefore w:val="0"/>
        <w:widowControl w:val="0"/>
        <w:kinsoku/>
        <w:wordWrap/>
        <w:overflowPunct/>
        <w:topLinePunct w:val="0"/>
        <w:autoSpaceDE/>
        <w:autoSpaceDN/>
        <w:bidi w:val="0"/>
        <w:adjustRightInd w:val="0"/>
        <w:snapToGrid w:val="0"/>
        <w:ind w:left="643" w:leftChars="0" w:right="0" w:rightChars="0"/>
        <w:jc w:val="center"/>
        <w:textAlignment w:val="auto"/>
        <w:outlineLvl w:val="9"/>
        <w:rPr>
          <w:rFonts w:hint="default" w:ascii="Times New Roman" w:hAnsi="Times New Roman" w:eastAsia="宋体" w:cs="Times New Roman"/>
          <w:b/>
          <w:bCs/>
          <w:color w:val="auto"/>
          <w:sz w:val="32"/>
          <w:szCs w:val="32"/>
          <w:highlight w:val="none"/>
        </w:rPr>
      </w:pPr>
      <w:bookmarkStart w:id="8" w:name="_Toc3108"/>
      <w:bookmarkStart w:id="9" w:name="_Toc7627"/>
      <w:bookmarkStart w:id="10" w:name="_Toc10301"/>
      <w:bookmarkStart w:id="11" w:name="_Toc20436"/>
      <w:bookmarkStart w:id="12" w:name="_Toc18681"/>
      <w:bookmarkStart w:id="13" w:name="_Toc18872"/>
      <w:r>
        <w:rPr>
          <w:rFonts w:hint="default" w:ascii="Times New Roman" w:hAnsi="Times New Roman" w:eastAsia="宋体" w:cs="Times New Roman"/>
          <w:b/>
          <w:bCs/>
          <w:color w:val="auto"/>
          <w:sz w:val="32"/>
          <w:szCs w:val="32"/>
          <w:highlight w:val="none"/>
        </w:rPr>
        <w:t>编制单位：乌鲁木齐湘永丽景环保科技有限公司</w:t>
      </w:r>
      <w:bookmarkEnd w:id="8"/>
      <w:bookmarkEnd w:id="9"/>
      <w:bookmarkEnd w:id="10"/>
      <w:bookmarkEnd w:id="11"/>
      <w:bookmarkEnd w:id="12"/>
      <w:bookmarkEnd w:id="13"/>
    </w:p>
    <w:p>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outlineLvl w:val="9"/>
        <w:rPr>
          <w:rFonts w:hint="default" w:ascii="Times New Roman" w:hAnsi="Times New Roman" w:eastAsia="宋体" w:cs="Times New Roman"/>
          <w:b/>
          <w:bCs/>
          <w:color w:val="auto"/>
          <w:sz w:val="32"/>
          <w:szCs w:val="32"/>
          <w:highlight w:val="none"/>
          <w:lang w:val="en-US" w:eastAsia="zh-CN"/>
        </w:rPr>
        <w:sectPr>
          <w:pgSz w:w="11906" w:h="16838"/>
          <w:pgMar w:top="1191" w:right="1928" w:bottom="1191" w:left="1928" w:header="851" w:footer="992" w:gutter="0"/>
          <w:pgBorders>
            <w:top w:val="none" w:sz="0" w:space="0"/>
            <w:left w:val="none" w:sz="0" w:space="0"/>
            <w:bottom w:val="none" w:sz="0" w:space="0"/>
            <w:right w:val="none" w:sz="0" w:space="0"/>
          </w:pgBorders>
          <w:pgNumType w:start="1"/>
          <w:cols w:space="720" w:num="1"/>
          <w:docGrid w:type="lines" w:linePitch="312" w:charSpace="0"/>
        </w:sectPr>
      </w:pPr>
      <w:r>
        <w:rPr>
          <w:rFonts w:hint="default" w:ascii="Times New Roman" w:hAnsi="Times New Roman" w:eastAsia="宋体" w:cs="Times New Roman"/>
          <w:b/>
          <w:bCs/>
          <w:color w:val="auto"/>
          <w:sz w:val="32"/>
          <w:szCs w:val="32"/>
          <w:highlight w:val="none"/>
          <w:lang w:val="en-US" w:eastAsia="zh-CN"/>
        </w:rPr>
        <w:t>202</w:t>
      </w:r>
      <w:r>
        <w:rPr>
          <w:rFonts w:hint="default" w:ascii="Times New Roman" w:hAnsi="Times New Roman" w:cs="Times New Roman"/>
          <w:b/>
          <w:bCs/>
          <w:color w:val="auto"/>
          <w:sz w:val="32"/>
          <w:szCs w:val="32"/>
          <w:highlight w:val="none"/>
          <w:lang w:val="en-US" w:eastAsia="zh-CN"/>
        </w:rPr>
        <w:t>3</w:t>
      </w:r>
      <w:r>
        <w:rPr>
          <w:rFonts w:hint="default" w:ascii="Times New Roman" w:hAnsi="Times New Roman" w:eastAsia="宋体" w:cs="Times New Roman"/>
          <w:b/>
          <w:bCs/>
          <w:color w:val="auto"/>
          <w:sz w:val="32"/>
          <w:szCs w:val="32"/>
          <w:highlight w:val="none"/>
          <w:lang w:val="en-US" w:eastAsia="zh-CN"/>
        </w:rPr>
        <w:t>年</w:t>
      </w:r>
      <w:r>
        <w:rPr>
          <w:rFonts w:hint="eastAsia" w:cs="Times New Roman"/>
          <w:b/>
          <w:bCs/>
          <w:color w:val="auto"/>
          <w:sz w:val="32"/>
          <w:szCs w:val="32"/>
          <w:highlight w:val="none"/>
          <w:lang w:val="en-US" w:eastAsia="zh-CN"/>
        </w:rPr>
        <w:t>9</w:t>
      </w:r>
      <w:r>
        <w:rPr>
          <w:rFonts w:hint="default" w:ascii="Times New Roman" w:hAnsi="Times New Roman" w:eastAsia="宋体" w:cs="Times New Roman"/>
          <w:b/>
          <w:bCs/>
          <w:color w:val="auto"/>
          <w:sz w:val="32"/>
          <w:szCs w:val="32"/>
          <w:highlight w:val="none"/>
          <w:lang w:val="en-US" w:eastAsia="zh-CN"/>
        </w:rPr>
        <w:t>月</w:t>
      </w:r>
    </w:p>
    <w:sdt>
      <w:sdtPr>
        <w:rPr>
          <w:rFonts w:hint="default" w:ascii="Times New Roman" w:hAnsi="Times New Roman" w:eastAsia="宋体" w:cs="Times New Roman"/>
          <w:b/>
          <w:bCs/>
          <w:caps/>
          <w:color w:val="auto"/>
          <w:kern w:val="2"/>
          <w:sz w:val="28"/>
          <w:szCs w:val="20"/>
          <w:highlight w:val="none"/>
          <w:lang w:val="en-US" w:eastAsia="zh-CN" w:bidi="ar-SA"/>
        </w:rPr>
        <w:id w:val="147483181"/>
        <w15:color w:val="DBDBDB"/>
        <w:docPartObj>
          <w:docPartGallery w:val="Table of Contents"/>
          <w:docPartUnique/>
        </w:docPartObj>
      </w:sdtPr>
      <w:sdtEndPr>
        <w:rPr>
          <w:rFonts w:hint="default" w:ascii="Times New Roman" w:hAnsi="Times New Roman" w:eastAsia="宋体" w:cs="Times New Roman"/>
          <w:b/>
          <w:bCs/>
          <w:caps/>
          <w:color w:val="auto"/>
          <w:kern w:val="2"/>
          <w:sz w:val="28"/>
          <w:szCs w:val="20"/>
          <w:highlight w:val="yellow"/>
          <w:lang w:val="en-US" w:eastAsia="zh-CN" w:bidi="ar-SA"/>
        </w:rPr>
      </w:sdtEndPr>
      <w:sdtContent>
        <w:p>
          <w:pPr>
            <w:pageBreakBefore w:val="0"/>
            <w:wordWrap/>
            <w:bidi w:val="0"/>
            <w:adjustRightInd w:val="0"/>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caps/>
              <w:color w:val="auto"/>
              <w:kern w:val="2"/>
              <w:sz w:val="28"/>
              <w:szCs w:val="20"/>
              <w:highlight w:val="none"/>
              <w:lang w:val="en-US" w:eastAsia="zh-CN" w:bidi="ar-SA"/>
            </w:rPr>
          </w:pPr>
          <w:r>
            <w:rPr>
              <w:rFonts w:hint="default" w:ascii="Times New Roman" w:hAnsi="Times New Roman" w:eastAsia="宋体" w:cs="Times New Roman"/>
              <w:b/>
              <w:bCs/>
              <w:caps/>
              <w:color w:val="auto"/>
              <w:kern w:val="2"/>
              <w:sz w:val="28"/>
              <w:szCs w:val="20"/>
              <w:highlight w:val="none"/>
              <w:lang w:val="en-US" w:eastAsia="zh-CN" w:bidi="ar-SA"/>
            </w:rPr>
            <w:t>目录</w:t>
          </w:r>
        </w:p>
        <w:p>
          <w:pPr>
            <w:pStyle w:val="27"/>
            <w:tabs>
              <w:tab w:val="right" w:leader="dot" w:pos="8578"/>
            </w:tabs>
            <w:rPr>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TOC \o "1-2" \h \u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_Toc3116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rPr>
            <w:t xml:space="preserve">1. </w:t>
          </w:r>
          <w:r>
            <w:rPr>
              <w:rFonts w:hint="default" w:ascii="Times New Roman" w:hAnsi="Times New Roman" w:cs="Times New Roman"/>
              <w:color w:val="auto"/>
              <w:highlight w:val="none"/>
            </w:rPr>
            <w:t>概述</w:t>
          </w:r>
          <w:r>
            <w:rPr>
              <w:color w:val="auto"/>
            </w:rPr>
            <w:tab/>
          </w:r>
          <w:r>
            <w:rPr>
              <w:color w:val="auto"/>
            </w:rPr>
            <w:fldChar w:fldCharType="begin"/>
          </w:r>
          <w:r>
            <w:rPr>
              <w:color w:val="auto"/>
            </w:rPr>
            <w:instrText xml:space="preserve"> PAGEREF _Toc3116 \h </w:instrText>
          </w:r>
          <w:r>
            <w:rPr>
              <w:color w:val="auto"/>
            </w:rPr>
            <w:fldChar w:fldCharType="separate"/>
          </w:r>
          <w:r>
            <w:rPr>
              <w:color w:val="auto"/>
            </w:rPr>
            <w:t>1</w:t>
          </w:r>
          <w:r>
            <w:rPr>
              <w:color w:val="auto"/>
            </w:rPr>
            <w:fldChar w:fldCharType="end"/>
          </w:r>
          <w:r>
            <w:rPr>
              <w:rFonts w:hint="default" w:ascii="Times New Roman" w:hAnsi="Times New Roman" w:cs="Times New Roman"/>
              <w:color w:val="auto"/>
              <w:highlight w:val="yellow"/>
            </w:rPr>
            <w:fldChar w:fldCharType="end"/>
          </w:r>
        </w:p>
        <w:p>
          <w:pPr>
            <w:pStyle w:val="32"/>
            <w:tabs>
              <w:tab w:val="right" w:leader="dot" w:pos="8578"/>
              <w:tab w:val="clear" w:pos="840"/>
              <w:tab w:val="clear" w:pos="8568"/>
            </w:tabs>
            <w:rPr>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_Toc22309 </w:instrText>
          </w:r>
          <w:r>
            <w:rPr>
              <w:rFonts w:hint="default" w:ascii="Times New Roman" w:hAnsi="Times New Roman" w:cs="Times New Roman"/>
              <w:color w:val="auto"/>
              <w:highlight w:val="yellow"/>
            </w:rPr>
            <w:fldChar w:fldCharType="separate"/>
          </w:r>
          <w:r>
            <w:rPr>
              <w:rFonts w:hint="default" w:ascii="Times New Roman" w:hAnsi="Times New Roman" w:eastAsia="宋体" w:cs="Times New Roman"/>
              <w:color w:val="auto"/>
              <w:szCs w:val="32"/>
            </w:rPr>
            <w:t xml:space="preserve">1.1. </w:t>
          </w:r>
          <w:r>
            <w:rPr>
              <w:rFonts w:hint="default" w:ascii="Times New Roman" w:hAnsi="Times New Roman" w:eastAsia="宋体" w:cs="Times New Roman"/>
              <w:color w:val="auto"/>
              <w:highlight w:val="none"/>
            </w:rPr>
            <w:t>项目建设背景及特点</w:t>
          </w:r>
          <w:r>
            <w:rPr>
              <w:color w:val="auto"/>
            </w:rPr>
            <w:tab/>
          </w:r>
          <w:r>
            <w:rPr>
              <w:color w:val="auto"/>
            </w:rPr>
            <w:fldChar w:fldCharType="begin"/>
          </w:r>
          <w:r>
            <w:rPr>
              <w:color w:val="auto"/>
            </w:rPr>
            <w:instrText xml:space="preserve"> PAGEREF _Toc22309 \h </w:instrText>
          </w:r>
          <w:r>
            <w:rPr>
              <w:color w:val="auto"/>
            </w:rPr>
            <w:fldChar w:fldCharType="separate"/>
          </w:r>
          <w:r>
            <w:rPr>
              <w:color w:val="auto"/>
            </w:rPr>
            <w:t>1</w:t>
          </w:r>
          <w:r>
            <w:rPr>
              <w:color w:val="auto"/>
            </w:rPr>
            <w:fldChar w:fldCharType="end"/>
          </w:r>
          <w:r>
            <w:rPr>
              <w:rFonts w:hint="default" w:ascii="Times New Roman" w:hAnsi="Times New Roman" w:cs="Times New Roman"/>
              <w:color w:val="auto"/>
              <w:highlight w:val="yellow"/>
            </w:rPr>
            <w:fldChar w:fldCharType="end"/>
          </w:r>
        </w:p>
        <w:p>
          <w:pPr>
            <w:pStyle w:val="32"/>
            <w:tabs>
              <w:tab w:val="right" w:leader="dot" w:pos="8578"/>
              <w:tab w:val="clear" w:pos="840"/>
              <w:tab w:val="clear" w:pos="8568"/>
            </w:tabs>
            <w:rPr>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_Toc32703 </w:instrText>
          </w:r>
          <w:r>
            <w:rPr>
              <w:rFonts w:hint="default" w:ascii="Times New Roman" w:hAnsi="Times New Roman" w:cs="Times New Roman"/>
              <w:color w:val="auto"/>
              <w:highlight w:val="yellow"/>
            </w:rPr>
            <w:fldChar w:fldCharType="separate"/>
          </w:r>
          <w:r>
            <w:rPr>
              <w:rFonts w:hint="default" w:ascii="Times New Roman" w:hAnsi="Times New Roman" w:eastAsia="宋体" w:cs="Times New Roman"/>
              <w:color w:val="auto"/>
              <w:szCs w:val="32"/>
            </w:rPr>
            <w:t xml:space="preserve">1.2. </w:t>
          </w:r>
          <w:r>
            <w:rPr>
              <w:rFonts w:hint="default" w:ascii="Times New Roman" w:hAnsi="Times New Roman" w:eastAsia="宋体" w:cs="Times New Roman"/>
              <w:color w:val="auto"/>
              <w:highlight w:val="none"/>
            </w:rPr>
            <w:t>环评工作</w:t>
          </w:r>
          <w:r>
            <w:rPr>
              <w:rFonts w:hint="default" w:ascii="Times New Roman" w:hAnsi="Times New Roman" w:eastAsia="宋体" w:cs="Times New Roman"/>
              <w:color w:val="auto"/>
              <w:highlight w:val="none"/>
              <w:lang w:val="zh-CN"/>
            </w:rPr>
            <w:t>过程</w:t>
          </w:r>
          <w:r>
            <w:rPr>
              <w:color w:val="auto"/>
            </w:rPr>
            <w:tab/>
          </w:r>
          <w:r>
            <w:rPr>
              <w:color w:val="auto"/>
            </w:rPr>
            <w:fldChar w:fldCharType="begin"/>
          </w:r>
          <w:r>
            <w:rPr>
              <w:color w:val="auto"/>
            </w:rPr>
            <w:instrText xml:space="preserve"> PAGEREF _Toc32703 \h </w:instrText>
          </w:r>
          <w:r>
            <w:rPr>
              <w:color w:val="auto"/>
            </w:rPr>
            <w:fldChar w:fldCharType="separate"/>
          </w:r>
          <w:r>
            <w:rPr>
              <w:color w:val="auto"/>
            </w:rPr>
            <w:t>2</w:t>
          </w:r>
          <w:r>
            <w:rPr>
              <w:color w:val="auto"/>
            </w:rPr>
            <w:fldChar w:fldCharType="end"/>
          </w:r>
          <w:r>
            <w:rPr>
              <w:rFonts w:hint="default" w:ascii="Times New Roman" w:hAnsi="Times New Roman" w:cs="Times New Roman"/>
              <w:color w:val="auto"/>
              <w:highlight w:val="yellow"/>
            </w:rPr>
            <w:fldChar w:fldCharType="end"/>
          </w:r>
        </w:p>
        <w:p>
          <w:pPr>
            <w:pStyle w:val="32"/>
            <w:tabs>
              <w:tab w:val="right" w:leader="dot" w:pos="8578"/>
              <w:tab w:val="clear" w:pos="840"/>
              <w:tab w:val="clear" w:pos="8568"/>
            </w:tabs>
            <w:rPr>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_Toc28433 </w:instrText>
          </w:r>
          <w:r>
            <w:rPr>
              <w:rFonts w:hint="default" w:ascii="Times New Roman" w:hAnsi="Times New Roman" w:cs="Times New Roman"/>
              <w:color w:val="auto"/>
              <w:highlight w:val="yellow"/>
            </w:rPr>
            <w:fldChar w:fldCharType="separate"/>
          </w:r>
          <w:r>
            <w:rPr>
              <w:rFonts w:hint="default" w:ascii="Times New Roman" w:hAnsi="Times New Roman" w:eastAsia="宋体" w:cs="Times New Roman"/>
              <w:color w:val="auto"/>
              <w:szCs w:val="32"/>
            </w:rPr>
            <w:t xml:space="preserve">1.3. </w:t>
          </w:r>
          <w:r>
            <w:rPr>
              <w:rFonts w:hint="default" w:ascii="Times New Roman" w:hAnsi="Times New Roman" w:eastAsia="宋体" w:cs="Times New Roman"/>
              <w:color w:val="auto"/>
              <w:highlight w:val="none"/>
            </w:rPr>
            <w:t>分析判定相关情况</w:t>
          </w:r>
          <w:r>
            <w:rPr>
              <w:color w:val="auto"/>
            </w:rPr>
            <w:tab/>
          </w:r>
          <w:r>
            <w:rPr>
              <w:color w:val="auto"/>
            </w:rPr>
            <w:fldChar w:fldCharType="begin"/>
          </w:r>
          <w:r>
            <w:rPr>
              <w:color w:val="auto"/>
            </w:rPr>
            <w:instrText xml:space="preserve"> PAGEREF _Toc28433 \h </w:instrText>
          </w:r>
          <w:r>
            <w:rPr>
              <w:color w:val="auto"/>
            </w:rPr>
            <w:fldChar w:fldCharType="separate"/>
          </w:r>
          <w:r>
            <w:rPr>
              <w:color w:val="auto"/>
            </w:rPr>
            <w:t>5</w:t>
          </w:r>
          <w:r>
            <w:rPr>
              <w:color w:val="auto"/>
            </w:rPr>
            <w:fldChar w:fldCharType="end"/>
          </w:r>
          <w:r>
            <w:rPr>
              <w:rFonts w:hint="default" w:ascii="Times New Roman" w:hAnsi="Times New Roman" w:cs="Times New Roman"/>
              <w:color w:val="auto"/>
              <w:highlight w:val="yellow"/>
            </w:rPr>
            <w:fldChar w:fldCharType="end"/>
          </w:r>
        </w:p>
        <w:p>
          <w:pPr>
            <w:pStyle w:val="32"/>
            <w:tabs>
              <w:tab w:val="right" w:leader="dot" w:pos="8578"/>
              <w:tab w:val="clear" w:pos="840"/>
              <w:tab w:val="clear" w:pos="8568"/>
            </w:tabs>
            <w:rPr>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_Toc5292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szCs w:val="32"/>
            </w:rPr>
            <w:t xml:space="preserve">1.4. </w:t>
          </w:r>
          <w:r>
            <w:rPr>
              <w:rFonts w:hint="default" w:ascii="Times New Roman" w:hAnsi="Times New Roman" w:cs="Times New Roman"/>
              <w:color w:val="auto"/>
              <w:highlight w:val="none"/>
            </w:rPr>
            <w:t>“三线一单”符合性分析</w:t>
          </w:r>
          <w:r>
            <w:rPr>
              <w:color w:val="auto"/>
            </w:rPr>
            <w:tab/>
          </w:r>
          <w:r>
            <w:rPr>
              <w:color w:val="auto"/>
            </w:rPr>
            <w:fldChar w:fldCharType="begin"/>
          </w:r>
          <w:r>
            <w:rPr>
              <w:color w:val="auto"/>
            </w:rPr>
            <w:instrText xml:space="preserve"> PAGEREF _Toc5292 \h </w:instrText>
          </w:r>
          <w:r>
            <w:rPr>
              <w:color w:val="auto"/>
            </w:rPr>
            <w:fldChar w:fldCharType="separate"/>
          </w:r>
          <w:r>
            <w:rPr>
              <w:color w:val="auto"/>
            </w:rPr>
            <w:t>20</w:t>
          </w:r>
          <w:r>
            <w:rPr>
              <w:color w:val="auto"/>
            </w:rPr>
            <w:fldChar w:fldCharType="end"/>
          </w:r>
          <w:r>
            <w:rPr>
              <w:rFonts w:hint="default" w:ascii="Times New Roman" w:hAnsi="Times New Roman" w:cs="Times New Roman"/>
              <w:color w:val="auto"/>
              <w:highlight w:val="yellow"/>
            </w:rPr>
            <w:fldChar w:fldCharType="end"/>
          </w:r>
        </w:p>
        <w:p>
          <w:pPr>
            <w:pStyle w:val="32"/>
            <w:tabs>
              <w:tab w:val="right" w:leader="dot" w:pos="8578"/>
              <w:tab w:val="clear" w:pos="840"/>
              <w:tab w:val="clear" w:pos="8568"/>
            </w:tabs>
            <w:rPr>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_Toc31827 </w:instrText>
          </w:r>
          <w:r>
            <w:rPr>
              <w:rFonts w:hint="default" w:ascii="Times New Roman" w:hAnsi="Times New Roman" w:cs="Times New Roman"/>
              <w:color w:val="auto"/>
              <w:highlight w:val="yellow"/>
            </w:rPr>
            <w:fldChar w:fldCharType="separate"/>
          </w:r>
          <w:r>
            <w:rPr>
              <w:rFonts w:hint="default" w:ascii="Times New Roman" w:hAnsi="Times New Roman" w:eastAsia="宋体" w:cs="Times New Roman"/>
              <w:color w:val="auto"/>
              <w:szCs w:val="32"/>
            </w:rPr>
            <w:t xml:space="preserve">1.5. </w:t>
          </w:r>
          <w:r>
            <w:rPr>
              <w:rFonts w:hint="default" w:ascii="Times New Roman" w:hAnsi="Times New Roman" w:eastAsia="宋体" w:cs="Times New Roman"/>
              <w:color w:val="auto"/>
              <w:highlight w:val="none"/>
            </w:rPr>
            <w:t>选址合理性分析</w:t>
          </w:r>
          <w:r>
            <w:rPr>
              <w:color w:val="auto"/>
            </w:rPr>
            <w:tab/>
          </w:r>
          <w:r>
            <w:rPr>
              <w:color w:val="auto"/>
            </w:rPr>
            <w:fldChar w:fldCharType="begin"/>
          </w:r>
          <w:r>
            <w:rPr>
              <w:color w:val="auto"/>
            </w:rPr>
            <w:instrText xml:space="preserve"> PAGEREF _Toc31827 \h </w:instrText>
          </w:r>
          <w:r>
            <w:rPr>
              <w:color w:val="auto"/>
            </w:rPr>
            <w:fldChar w:fldCharType="separate"/>
          </w:r>
          <w:r>
            <w:rPr>
              <w:color w:val="auto"/>
            </w:rPr>
            <w:t>25</w:t>
          </w:r>
          <w:r>
            <w:rPr>
              <w:color w:val="auto"/>
            </w:rPr>
            <w:fldChar w:fldCharType="end"/>
          </w:r>
          <w:r>
            <w:rPr>
              <w:rFonts w:hint="default" w:ascii="Times New Roman" w:hAnsi="Times New Roman" w:cs="Times New Roman"/>
              <w:color w:val="auto"/>
              <w:highlight w:val="yellow"/>
            </w:rPr>
            <w:fldChar w:fldCharType="end"/>
          </w:r>
        </w:p>
        <w:p>
          <w:pPr>
            <w:pStyle w:val="32"/>
            <w:tabs>
              <w:tab w:val="right" w:leader="dot" w:pos="8578"/>
              <w:tab w:val="clear" w:pos="840"/>
              <w:tab w:val="clear" w:pos="8568"/>
            </w:tabs>
            <w:rPr>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_Toc25193 </w:instrText>
          </w:r>
          <w:r>
            <w:rPr>
              <w:rFonts w:hint="default" w:ascii="Times New Roman" w:hAnsi="Times New Roman" w:cs="Times New Roman"/>
              <w:color w:val="auto"/>
              <w:highlight w:val="yellow"/>
            </w:rPr>
            <w:fldChar w:fldCharType="separate"/>
          </w:r>
          <w:r>
            <w:rPr>
              <w:rFonts w:hint="default" w:ascii="Times New Roman" w:hAnsi="Times New Roman" w:eastAsia="宋体" w:cs="Times New Roman"/>
              <w:color w:val="auto"/>
              <w:szCs w:val="32"/>
            </w:rPr>
            <w:t xml:space="preserve">1.6. </w:t>
          </w:r>
          <w:r>
            <w:rPr>
              <w:rFonts w:hint="default" w:ascii="Times New Roman" w:hAnsi="Times New Roman" w:eastAsia="宋体" w:cs="Times New Roman"/>
              <w:color w:val="auto"/>
              <w:highlight w:val="none"/>
            </w:rPr>
            <w:t>关注的主要环境问题及环境影响</w:t>
          </w:r>
          <w:r>
            <w:rPr>
              <w:color w:val="auto"/>
            </w:rPr>
            <w:tab/>
          </w:r>
          <w:r>
            <w:rPr>
              <w:color w:val="auto"/>
            </w:rPr>
            <w:fldChar w:fldCharType="begin"/>
          </w:r>
          <w:r>
            <w:rPr>
              <w:color w:val="auto"/>
            </w:rPr>
            <w:instrText xml:space="preserve"> PAGEREF _Toc25193 \h </w:instrText>
          </w:r>
          <w:r>
            <w:rPr>
              <w:color w:val="auto"/>
            </w:rPr>
            <w:fldChar w:fldCharType="separate"/>
          </w:r>
          <w:r>
            <w:rPr>
              <w:color w:val="auto"/>
            </w:rPr>
            <w:t>27</w:t>
          </w:r>
          <w:r>
            <w:rPr>
              <w:color w:val="auto"/>
            </w:rPr>
            <w:fldChar w:fldCharType="end"/>
          </w:r>
          <w:r>
            <w:rPr>
              <w:rFonts w:hint="default" w:ascii="Times New Roman" w:hAnsi="Times New Roman" w:cs="Times New Roman"/>
              <w:color w:val="auto"/>
              <w:highlight w:val="yellow"/>
            </w:rPr>
            <w:fldChar w:fldCharType="end"/>
          </w:r>
        </w:p>
        <w:p>
          <w:pPr>
            <w:pStyle w:val="32"/>
            <w:tabs>
              <w:tab w:val="right" w:leader="dot" w:pos="8578"/>
              <w:tab w:val="clear" w:pos="840"/>
              <w:tab w:val="clear" w:pos="8568"/>
            </w:tabs>
            <w:rPr>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_Toc9652 </w:instrText>
          </w:r>
          <w:r>
            <w:rPr>
              <w:rFonts w:hint="default" w:ascii="Times New Roman" w:hAnsi="Times New Roman" w:cs="Times New Roman"/>
              <w:color w:val="auto"/>
              <w:highlight w:val="yellow"/>
            </w:rPr>
            <w:fldChar w:fldCharType="separate"/>
          </w:r>
          <w:r>
            <w:rPr>
              <w:rFonts w:hint="default" w:ascii="Times New Roman" w:hAnsi="Times New Roman" w:eastAsia="宋体" w:cs="Times New Roman"/>
              <w:color w:val="auto"/>
              <w:szCs w:val="32"/>
              <w:lang w:val="zh-CN"/>
            </w:rPr>
            <w:t xml:space="preserve">1.7. </w:t>
          </w:r>
          <w:r>
            <w:rPr>
              <w:rFonts w:hint="default" w:ascii="Times New Roman" w:hAnsi="Times New Roman" w:eastAsia="宋体" w:cs="Times New Roman"/>
              <w:color w:val="auto"/>
              <w:highlight w:val="none"/>
              <w:lang w:val="zh-CN"/>
            </w:rPr>
            <w:t>环境影响报告书的主要结论</w:t>
          </w:r>
          <w:r>
            <w:rPr>
              <w:color w:val="auto"/>
            </w:rPr>
            <w:tab/>
          </w:r>
          <w:r>
            <w:rPr>
              <w:color w:val="auto"/>
            </w:rPr>
            <w:fldChar w:fldCharType="begin"/>
          </w:r>
          <w:r>
            <w:rPr>
              <w:color w:val="auto"/>
            </w:rPr>
            <w:instrText xml:space="preserve"> PAGEREF _Toc9652 \h </w:instrText>
          </w:r>
          <w:r>
            <w:rPr>
              <w:color w:val="auto"/>
            </w:rPr>
            <w:fldChar w:fldCharType="separate"/>
          </w:r>
          <w:r>
            <w:rPr>
              <w:color w:val="auto"/>
            </w:rPr>
            <w:t>28</w:t>
          </w:r>
          <w:r>
            <w:rPr>
              <w:color w:val="auto"/>
            </w:rPr>
            <w:fldChar w:fldCharType="end"/>
          </w:r>
          <w:r>
            <w:rPr>
              <w:rFonts w:hint="default" w:ascii="Times New Roman" w:hAnsi="Times New Roman" w:cs="Times New Roman"/>
              <w:color w:val="auto"/>
              <w:highlight w:val="yellow"/>
            </w:rPr>
            <w:fldChar w:fldCharType="end"/>
          </w:r>
        </w:p>
        <w:p>
          <w:pPr>
            <w:pStyle w:val="27"/>
            <w:tabs>
              <w:tab w:val="right" w:leader="dot" w:pos="8578"/>
            </w:tabs>
            <w:rPr>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_Toc21786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rPr>
            <w:t xml:space="preserve">2. </w:t>
          </w:r>
          <w:r>
            <w:rPr>
              <w:rFonts w:hint="default" w:ascii="Times New Roman" w:hAnsi="Times New Roman" w:cs="Times New Roman"/>
              <w:color w:val="auto"/>
              <w:highlight w:val="none"/>
            </w:rPr>
            <w:t>总则</w:t>
          </w:r>
          <w:r>
            <w:rPr>
              <w:color w:val="auto"/>
            </w:rPr>
            <w:tab/>
          </w:r>
          <w:r>
            <w:rPr>
              <w:color w:val="auto"/>
            </w:rPr>
            <w:fldChar w:fldCharType="begin"/>
          </w:r>
          <w:r>
            <w:rPr>
              <w:color w:val="auto"/>
            </w:rPr>
            <w:instrText xml:space="preserve"> PAGEREF _Toc21786 \h </w:instrText>
          </w:r>
          <w:r>
            <w:rPr>
              <w:color w:val="auto"/>
            </w:rPr>
            <w:fldChar w:fldCharType="separate"/>
          </w:r>
          <w:r>
            <w:rPr>
              <w:color w:val="auto"/>
            </w:rPr>
            <w:t>29</w:t>
          </w:r>
          <w:r>
            <w:rPr>
              <w:color w:val="auto"/>
            </w:rPr>
            <w:fldChar w:fldCharType="end"/>
          </w:r>
          <w:r>
            <w:rPr>
              <w:rFonts w:hint="default" w:ascii="Times New Roman" w:hAnsi="Times New Roman" w:cs="Times New Roman"/>
              <w:color w:val="auto"/>
              <w:highlight w:val="yellow"/>
            </w:rPr>
            <w:fldChar w:fldCharType="end"/>
          </w:r>
        </w:p>
        <w:p>
          <w:pPr>
            <w:pStyle w:val="32"/>
            <w:tabs>
              <w:tab w:val="right" w:leader="dot" w:pos="8578"/>
              <w:tab w:val="clear" w:pos="840"/>
              <w:tab w:val="clear" w:pos="8568"/>
            </w:tabs>
            <w:rPr>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_Toc3397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szCs w:val="32"/>
            </w:rPr>
            <w:t xml:space="preserve">2.1. </w:t>
          </w:r>
          <w:r>
            <w:rPr>
              <w:rFonts w:hint="default" w:ascii="Times New Roman" w:hAnsi="Times New Roman" w:cs="Times New Roman"/>
              <w:color w:val="auto"/>
              <w:highlight w:val="none"/>
            </w:rPr>
            <w:t>编制依据</w:t>
          </w:r>
          <w:r>
            <w:rPr>
              <w:color w:val="auto"/>
            </w:rPr>
            <w:tab/>
          </w:r>
          <w:r>
            <w:rPr>
              <w:color w:val="auto"/>
            </w:rPr>
            <w:fldChar w:fldCharType="begin"/>
          </w:r>
          <w:r>
            <w:rPr>
              <w:color w:val="auto"/>
            </w:rPr>
            <w:instrText xml:space="preserve"> PAGEREF _Toc3397 \h </w:instrText>
          </w:r>
          <w:r>
            <w:rPr>
              <w:color w:val="auto"/>
            </w:rPr>
            <w:fldChar w:fldCharType="separate"/>
          </w:r>
          <w:r>
            <w:rPr>
              <w:color w:val="auto"/>
            </w:rPr>
            <w:t>29</w:t>
          </w:r>
          <w:r>
            <w:rPr>
              <w:color w:val="auto"/>
            </w:rPr>
            <w:fldChar w:fldCharType="end"/>
          </w:r>
          <w:r>
            <w:rPr>
              <w:rFonts w:hint="default" w:ascii="Times New Roman" w:hAnsi="Times New Roman" w:cs="Times New Roman"/>
              <w:color w:val="auto"/>
              <w:highlight w:val="yellow"/>
            </w:rPr>
            <w:fldChar w:fldCharType="end"/>
          </w:r>
        </w:p>
        <w:p>
          <w:pPr>
            <w:pStyle w:val="32"/>
            <w:tabs>
              <w:tab w:val="right" w:leader="dot" w:pos="8578"/>
              <w:tab w:val="clear" w:pos="840"/>
              <w:tab w:val="clear" w:pos="8568"/>
            </w:tabs>
            <w:rPr>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_Toc15135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szCs w:val="32"/>
            </w:rPr>
            <w:t xml:space="preserve">2.2. </w:t>
          </w:r>
          <w:r>
            <w:rPr>
              <w:rFonts w:hint="default" w:ascii="Times New Roman" w:hAnsi="Times New Roman" w:cs="Times New Roman"/>
              <w:color w:val="auto"/>
              <w:highlight w:val="none"/>
            </w:rPr>
            <w:t>评价原则和编制目的</w:t>
          </w:r>
          <w:r>
            <w:rPr>
              <w:color w:val="auto"/>
            </w:rPr>
            <w:tab/>
          </w:r>
          <w:r>
            <w:rPr>
              <w:color w:val="auto"/>
            </w:rPr>
            <w:fldChar w:fldCharType="begin"/>
          </w:r>
          <w:r>
            <w:rPr>
              <w:color w:val="auto"/>
            </w:rPr>
            <w:instrText xml:space="preserve"> PAGEREF _Toc15135 \h </w:instrText>
          </w:r>
          <w:r>
            <w:rPr>
              <w:color w:val="auto"/>
            </w:rPr>
            <w:fldChar w:fldCharType="separate"/>
          </w:r>
          <w:r>
            <w:rPr>
              <w:color w:val="auto"/>
            </w:rPr>
            <w:t>37</w:t>
          </w:r>
          <w:r>
            <w:rPr>
              <w:color w:val="auto"/>
            </w:rPr>
            <w:fldChar w:fldCharType="end"/>
          </w:r>
          <w:r>
            <w:rPr>
              <w:rFonts w:hint="default" w:ascii="Times New Roman" w:hAnsi="Times New Roman" w:cs="Times New Roman"/>
              <w:color w:val="auto"/>
              <w:highlight w:val="yellow"/>
            </w:rPr>
            <w:fldChar w:fldCharType="end"/>
          </w:r>
        </w:p>
        <w:p>
          <w:pPr>
            <w:pStyle w:val="32"/>
            <w:tabs>
              <w:tab w:val="right" w:leader="dot" w:pos="8578"/>
              <w:tab w:val="clear" w:pos="840"/>
              <w:tab w:val="clear" w:pos="8568"/>
            </w:tabs>
            <w:rPr>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_Toc29226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szCs w:val="32"/>
            </w:rPr>
            <w:t xml:space="preserve">2.3. </w:t>
          </w:r>
          <w:r>
            <w:rPr>
              <w:rFonts w:hint="eastAsia" w:ascii="Times New Roman" w:hAnsi="Times New Roman" w:cs="Times New Roman"/>
              <w:color w:val="auto"/>
              <w:highlight w:val="none"/>
              <w:lang w:val="en-US" w:eastAsia="zh-CN"/>
            </w:rPr>
            <w:t>环境影响因素识别</w:t>
          </w:r>
          <w:r>
            <w:rPr>
              <w:rFonts w:hint="default" w:ascii="Times New Roman" w:hAnsi="Times New Roman" w:cs="Times New Roman"/>
              <w:color w:val="auto"/>
              <w:highlight w:val="none"/>
            </w:rPr>
            <w:t>和评价</w:t>
          </w:r>
          <w:r>
            <w:rPr>
              <w:rFonts w:hint="eastAsia" w:ascii="Times New Roman" w:hAnsi="Times New Roman" w:cs="Times New Roman"/>
              <w:color w:val="auto"/>
              <w:highlight w:val="none"/>
              <w:lang w:val="en-US" w:eastAsia="zh-CN"/>
            </w:rPr>
            <w:t>因子筛选</w:t>
          </w:r>
          <w:r>
            <w:rPr>
              <w:color w:val="auto"/>
            </w:rPr>
            <w:tab/>
          </w:r>
          <w:r>
            <w:rPr>
              <w:color w:val="auto"/>
            </w:rPr>
            <w:fldChar w:fldCharType="begin"/>
          </w:r>
          <w:r>
            <w:rPr>
              <w:color w:val="auto"/>
            </w:rPr>
            <w:instrText xml:space="preserve"> PAGEREF _Toc29226 \h </w:instrText>
          </w:r>
          <w:r>
            <w:rPr>
              <w:color w:val="auto"/>
            </w:rPr>
            <w:fldChar w:fldCharType="separate"/>
          </w:r>
          <w:r>
            <w:rPr>
              <w:color w:val="auto"/>
            </w:rPr>
            <w:t>38</w:t>
          </w:r>
          <w:r>
            <w:rPr>
              <w:color w:val="auto"/>
            </w:rPr>
            <w:fldChar w:fldCharType="end"/>
          </w:r>
          <w:r>
            <w:rPr>
              <w:rFonts w:hint="default" w:ascii="Times New Roman" w:hAnsi="Times New Roman" w:cs="Times New Roman"/>
              <w:color w:val="auto"/>
              <w:highlight w:val="yellow"/>
            </w:rPr>
            <w:fldChar w:fldCharType="end"/>
          </w:r>
        </w:p>
        <w:p>
          <w:pPr>
            <w:pStyle w:val="32"/>
            <w:tabs>
              <w:tab w:val="right" w:leader="dot" w:pos="8578"/>
              <w:tab w:val="clear" w:pos="840"/>
              <w:tab w:val="clear" w:pos="8568"/>
            </w:tabs>
            <w:rPr>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_Toc49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szCs w:val="32"/>
            </w:rPr>
            <w:t xml:space="preserve">2.4. </w:t>
          </w:r>
          <w:r>
            <w:rPr>
              <w:rFonts w:hint="default" w:ascii="Times New Roman" w:hAnsi="Times New Roman" w:cs="Times New Roman"/>
              <w:color w:val="auto"/>
              <w:highlight w:val="none"/>
            </w:rPr>
            <w:t>环境功能区划和评价标准</w:t>
          </w:r>
          <w:r>
            <w:rPr>
              <w:color w:val="auto"/>
            </w:rPr>
            <w:tab/>
          </w:r>
          <w:r>
            <w:rPr>
              <w:color w:val="auto"/>
            </w:rPr>
            <w:fldChar w:fldCharType="begin"/>
          </w:r>
          <w:r>
            <w:rPr>
              <w:color w:val="auto"/>
            </w:rPr>
            <w:instrText xml:space="preserve"> PAGEREF _Toc49 \h </w:instrText>
          </w:r>
          <w:r>
            <w:rPr>
              <w:color w:val="auto"/>
            </w:rPr>
            <w:fldChar w:fldCharType="separate"/>
          </w:r>
          <w:r>
            <w:rPr>
              <w:color w:val="auto"/>
            </w:rPr>
            <w:t>39</w:t>
          </w:r>
          <w:r>
            <w:rPr>
              <w:color w:val="auto"/>
            </w:rPr>
            <w:fldChar w:fldCharType="end"/>
          </w:r>
          <w:r>
            <w:rPr>
              <w:rFonts w:hint="default" w:ascii="Times New Roman" w:hAnsi="Times New Roman" w:cs="Times New Roman"/>
              <w:color w:val="auto"/>
              <w:highlight w:val="yellow"/>
            </w:rPr>
            <w:fldChar w:fldCharType="end"/>
          </w:r>
        </w:p>
        <w:p>
          <w:pPr>
            <w:pStyle w:val="32"/>
            <w:tabs>
              <w:tab w:val="right" w:leader="dot" w:pos="8578"/>
              <w:tab w:val="clear" w:pos="840"/>
              <w:tab w:val="clear" w:pos="8568"/>
            </w:tabs>
            <w:rPr>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_Toc7641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szCs w:val="32"/>
            </w:rPr>
            <w:t xml:space="preserve">2.5. </w:t>
          </w:r>
          <w:r>
            <w:rPr>
              <w:rFonts w:hint="default" w:ascii="Times New Roman" w:hAnsi="Times New Roman" w:cs="Times New Roman"/>
              <w:color w:val="auto"/>
              <w:highlight w:val="none"/>
            </w:rPr>
            <w:t>评价工作等级</w:t>
          </w:r>
          <w:r>
            <w:rPr>
              <w:color w:val="auto"/>
            </w:rPr>
            <w:tab/>
          </w:r>
          <w:r>
            <w:rPr>
              <w:color w:val="auto"/>
            </w:rPr>
            <w:fldChar w:fldCharType="begin"/>
          </w:r>
          <w:r>
            <w:rPr>
              <w:color w:val="auto"/>
            </w:rPr>
            <w:instrText xml:space="preserve"> PAGEREF _Toc7641 \h </w:instrText>
          </w:r>
          <w:r>
            <w:rPr>
              <w:color w:val="auto"/>
            </w:rPr>
            <w:fldChar w:fldCharType="separate"/>
          </w:r>
          <w:r>
            <w:rPr>
              <w:color w:val="auto"/>
            </w:rPr>
            <w:t>44</w:t>
          </w:r>
          <w:r>
            <w:rPr>
              <w:color w:val="auto"/>
            </w:rPr>
            <w:fldChar w:fldCharType="end"/>
          </w:r>
          <w:r>
            <w:rPr>
              <w:rFonts w:hint="default" w:ascii="Times New Roman" w:hAnsi="Times New Roman" w:cs="Times New Roman"/>
              <w:color w:val="auto"/>
              <w:highlight w:val="yellow"/>
            </w:rPr>
            <w:fldChar w:fldCharType="end"/>
          </w:r>
        </w:p>
        <w:p>
          <w:pPr>
            <w:pStyle w:val="32"/>
            <w:tabs>
              <w:tab w:val="right" w:leader="dot" w:pos="8578"/>
              <w:tab w:val="clear" w:pos="840"/>
              <w:tab w:val="clear" w:pos="8568"/>
            </w:tabs>
            <w:rPr>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_Toc2587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szCs w:val="32"/>
            </w:rPr>
            <w:t xml:space="preserve">2.6. </w:t>
          </w:r>
          <w:r>
            <w:rPr>
              <w:rFonts w:hint="default" w:ascii="Times New Roman" w:hAnsi="Times New Roman" w:cs="Times New Roman"/>
              <w:color w:val="auto"/>
              <w:highlight w:val="none"/>
            </w:rPr>
            <w:t>评价范围</w:t>
          </w:r>
          <w:r>
            <w:rPr>
              <w:color w:val="auto"/>
            </w:rPr>
            <w:tab/>
          </w:r>
          <w:r>
            <w:rPr>
              <w:color w:val="auto"/>
            </w:rPr>
            <w:fldChar w:fldCharType="begin"/>
          </w:r>
          <w:r>
            <w:rPr>
              <w:color w:val="auto"/>
            </w:rPr>
            <w:instrText xml:space="preserve"> PAGEREF _Toc2587 \h </w:instrText>
          </w:r>
          <w:r>
            <w:rPr>
              <w:color w:val="auto"/>
            </w:rPr>
            <w:fldChar w:fldCharType="separate"/>
          </w:r>
          <w:r>
            <w:rPr>
              <w:color w:val="auto"/>
            </w:rPr>
            <w:t>48</w:t>
          </w:r>
          <w:r>
            <w:rPr>
              <w:color w:val="auto"/>
            </w:rPr>
            <w:fldChar w:fldCharType="end"/>
          </w:r>
          <w:r>
            <w:rPr>
              <w:rFonts w:hint="default" w:ascii="Times New Roman" w:hAnsi="Times New Roman" w:cs="Times New Roman"/>
              <w:color w:val="auto"/>
              <w:highlight w:val="yellow"/>
            </w:rPr>
            <w:fldChar w:fldCharType="end"/>
          </w:r>
        </w:p>
        <w:p>
          <w:pPr>
            <w:pStyle w:val="32"/>
            <w:tabs>
              <w:tab w:val="right" w:leader="dot" w:pos="8578"/>
              <w:tab w:val="clear" w:pos="840"/>
              <w:tab w:val="clear" w:pos="8568"/>
            </w:tabs>
            <w:rPr>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_Toc24661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szCs w:val="32"/>
            </w:rPr>
            <w:t xml:space="preserve">2.7. </w:t>
          </w:r>
          <w:r>
            <w:rPr>
              <w:rFonts w:hint="default" w:ascii="Times New Roman" w:hAnsi="Times New Roman" w:cs="Times New Roman"/>
              <w:color w:val="auto"/>
              <w:highlight w:val="none"/>
            </w:rPr>
            <w:t>主要环境保护目标</w:t>
          </w:r>
          <w:r>
            <w:rPr>
              <w:color w:val="auto"/>
            </w:rPr>
            <w:tab/>
          </w:r>
          <w:r>
            <w:rPr>
              <w:color w:val="auto"/>
            </w:rPr>
            <w:fldChar w:fldCharType="begin"/>
          </w:r>
          <w:r>
            <w:rPr>
              <w:color w:val="auto"/>
            </w:rPr>
            <w:instrText xml:space="preserve"> PAGEREF _Toc24661 \h </w:instrText>
          </w:r>
          <w:r>
            <w:rPr>
              <w:color w:val="auto"/>
            </w:rPr>
            <w:fldChar w:fldCharType="separate"/>
          </w:r>
          <w:r>
            <w:rPr>
              <w:color w:val="auto"/>
            </w:rPr>
            <w:t>49</w:t>
          </w:r>
          <w:r>
            <w:rPr>
              <w:color w:val="auto"/>
            </w:rPr>
            <w:fldChar w:fldCharType="end"/>
          </w:r>
          <w:r>
            <w:rPr>
              <w:rFonts w:hint="default" w:ascii="Times New Roman" w:hAnsi="Times New Roman" w:cs="Times New Roman"/>
              <w:color w:val="auto"/>
              <w:highlight w:val="yellow"/>
            </w:rPr>
            <w:fldChar w:fldCharType="end"/>
          </w:r>
        </w:p>
        <w:p>
          <w:pPr>
            <w:pStyle w:val="27"/>
            <w:tabs>
              <w:tab w:val="right" w:leader="dot" w:pos="8578"/>
            </w:tabs>
            <w:rPr>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_Toc3226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rPr>
            <w:t xml:space="preserve">3. </w:t>
          </w:r>
          <w:r>
            <w:rPr>
              <w:rFonts w:hint="default" w:ascii="Times New Roman" w:hAnsi="Times New Roman" w:cs="Times New Roman"/>
              <w:color w:val="auto"/>
              <w:highlight w:val="none"/>
            </w:rPr>
            <w:t>建设项目工程分析</w:t>
          </w:r>
          <w:r>
            <w:rPr>
              <w:color w:val="auto"/>
            </w:rPr>
            <w:tab/>
          </w:r>
          <w:r>
            <w:rPr>
              <w:color w:val="auto"/>
            </w:rPr>
            <w:fldChar w:fldCharType="begin"/>
          </w:r>
          <w:r>
            <w:rPr>
              <w:color w:val="auto"/>
            </w:rPr>
            <w:instrText xml:space="preserve"> PAGEREF _Toc3226 \h </w:instrText>
          </w:r>
          <w:r>
            <w:rPr>
              <w:color w:val="auto"/>
            </w:rPr>
            <w:fldChar w:fldCharType="separate"/>
          </w:r>
          <w:r>
            <w:rPr>
              <w:color w:val="auto"/>
            </w:rPr>
            <w:t>52</w:t>
          </w:r>
          <w:r>
            <w:rPr>
              <w:color w:val="auto"/>
            </w:rPr>
            <w:fldChar w:fldCharType="end"/>
          </w:r>
          <w:r>
            <w:rPr>
              <w:rFonts w:hint="default" w:ascii="Times New Roman" w:hAnsi="Times New Roman" w:cs="Times New Roman"/>
              <w:color w:val="auto"/>
              <w:highlight w:val="yellow"/>
            </w:rPr>
            <w:fldChar w:fldCharType="end"/>
          </w:r>
        </w:p>
        <w:p>
          <w:pPr>
            <w:pStyle w:val="32"/>
            <w:tabs>
              <w:tab w:val="right" w:leader="dot" w:pos="8578"/>
              <w:tab w:val="clear" w:pos="840"/>
              <w:tab w:val="clear" w:pos="8568"/>
            </w:tabs>
            <w:rPr>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_Toc15139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szCs w:val="32"/>
            </w:rPr>
            <w:t xml:space="preserve">3.1. </w:t>
          </w:r>
          <w:r>
            <w:rPr>
              <w:rFonts w:hint="default" w:ascii="Times New Roman" w:hAnsi="Times New Roman" w:cs="Times New Roman"/>
              <w:color w:val="auto"/>
              <w:highlight w:val="none"/>
              <w:lang w:val="en-US" w:eastAsia="zh-CN"/>
            </w:rPr>
            <w:t>本</w:t>
          </w:r>
          <w:r>
            <w:rPr>
              <w:rFonts w:hint="default" w:ascii="Times New Roman" w:hAnsi="Times New Roman" w:cs="Times New Roman"/>
              <w:color w:val="auto"/>
              <w:highlight w:val="none"/>
            </w:rPr>
            <w:t>项目概况</w:t>
          </w:r>
          <w:r>
            <w:rPr>
              <w:color w:val="auto"/>
            </w:rPr>
            <w:tab/>
          </w:r>
          <w:r>
            <w:rPr>
              <w:color w:val="auto"/>
            </w:rPr>
            <w:fldChar w:fldCharType="begin"/>
          </w:r>
          <w:r>
            <w:rPr>
              <w:color w:val="auto"/>
            </w:rPr>
            <w:instrText xml:space="preserve"> PAGEREF _Toc15139 \h </w:instrText>
          </w:r>
          <w:r>
            <w:rPr>
              <w:color w:val="auto"/>
            </w:rPr>
            <w:fldChar w:fldCharType="separate"/>
          </w:r>
          <w:r>
            <w:rPr>
              <w:color w:val="auto"/>
            </w:rPr>
            <w:t>52</w:t>
          </w:r>
          <w:r>
            <w:rPr>
              <w:color w:val="auto"/>
            </w:rPr>
            <w:fldChar w:fldCharType="end"/>
          </w:r>
          <w:r>
            <w:rPr>
              <w:rFonts w:hint="default" w:ascii="Times New Roman" w:hAnsi="Times New Roman" w:cs="Times New Roman"/>
              <w:color w:val="auto"/>
              <w:highlight w:val="yellow"/>
            </w:rPr>
            <w:fldChar w:fldCharType="end"/>
          </w:r>
        </w:p>
        <w:p>
          <w:pPr>
            <w:pStyle w:val="32"/>
            <w:tabs>
              <w:tab w:val="right" w:leader="dot" w:pos="8578"/>
              <w:tab w:val="clear" w:pos="840"/>
              <w:tab w:val="clear" w:pos="8568"/>
            </w:tabs>
            <w:rPr>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_Toc5357 </w:instrText>
          </w:r>
          <w:r>
            <w:rPr>
              <w:rFonts w:hint="default" w:ascii="Times New Roman" w:hAnsi="Times New Roman" w:cs="Times New Roman"/>
              <w:color w:val="auto"/>
              <w:highlight w:val="yellow"/>
            </w:rPr>
            <w:fldChar w:fldCharType="separate"/>
          </w:r>
          <w:r>
            <w:rPr>
              <w:rFonts w:hint="default" w:ascii="Times New Roman" w:hAnsi="Times New Roman" w:eastAsia="宋体" w:cs="Times New Roman"/>
              <w:color w:val="auto"/>
              <w:szCs w:val="32"/>
              <w:lang w:val="en-US" w:eastAsia="zh-CN"/>
            </w:rPr>
            <w:t xml:space="preserve">3.2. </w:t>
          </w:r>
          <w:r>
            <w:rPr>
              <w:rFonts w:hint="default" w:ascii="Times New Roman" w:hAnsi="Times New Roman" w:eastAsia="宋体" w:cs="Times New Roman"/>
              <w:color w:val="auto"/>
              <w:highlight w:val="none"/>
              <w:lang w:val="en-US" w:eastAsia="zh-CN"/>
            </w:rPr>
            <w:t>工艺流程分析</w:t>
          </w:r>
          <w:r>
            <w:rPr>
              <w:color w:val="auto"/>
            </w:rPr>
            <w:tab/>
          </w:r>
          <w:r>
            <w:rPr>
              <w:color w:val="auto"/>
            </w:rPr>
            <w:fldChar w:fldCharType="begin"/>
          </w:r>
          <w:r>
            <w:rPr>
              <w:color w:val="auto"/>
            </w:rPr>
            <w:instrText xml:space="preserve"> PAGEREF _Toc5357 \h </w:instrText>
          </w:r>
          <w:r>
            <w:rPr>
              <w:color w:val="auto"/>
            </w:rPr>
            <w:fldChar w:fldCharType="separate"/>
          </w:r>
          <w:r>
            <w:rPr>
              <w:color w:val="auto"/>
            </w:rPr>
            <w:t>59</w:t>
          </w:r>
          <w:r>
            <w:rPr>
              <w:color w:val="auto"/>
            </w:rPr>
            <w:fldChar w:fldCharType="end"/>
          </w:r>
          <w:r>
            <w:rPr>
              <w:rFonts w:hint="default" w:ascii="Times New Roman" w:hAnsi="Times New Roman" w:cs="Times New Roman"/>
              <w:color w:val="auto"/>
              <w:highlight w:val="yellow"/>
            </w:rPr>
            <w:fldChar w:fldCharType="end"/>
          </w:r>
        </w:p>
        <w:p>
          <w:pPr>
            <w:pStyle w:val="32"/>
            <w:tabs>
              <w:tab w:val="right" w:leader="dot" w:pos="8578"/>
              <w:tab w:val="clear" w:pos="840"/>
              <w:tab w:val="clear" w:pos="8568"/>
            </w:tabs>
            <w:rPr>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_Toc6417 </w:instrText>
          </w:r>
          <w:r>
            <w:rPr>
              <w:rFonts w:hint="default" w:ascii="Times New Roman" w:hAnsi="Times New Roman" w:cs="Times New Roman"/>
              <w:color w:val="auto"/>
              <w:highlight w:val="yellow"/>
            </w:rPr>
            <w:fldChar w:fldCharType="separate"/>
          </w:r>
          <w:r>
            <w:rPr>
              <w:rFonts w:hint="default" w:ascii="Times New Roman" w:hAnsi="Times New Roman" w:eastAsia="宋体" w:cs="Times New Roman"/>
              <w:color w:val="auto"/>
              <w:szCs w:val="32"/>
              <w:lang w:val="en-US" w:eastAsia="zh-CN"/>
            </w:rPr>
            <w:t xml:space="preserve">3.3. </w:t>
          </w:r>
          <w:r>
            <w:rPr>
              <w:rFonts w:hint="default" w:ascii="Times New Roman" w:hAnsi="Times New Roman" w:eastAsia="宋体" w:cs="Times New Roman"/>
              <w:color w:val="auto"/>
              <w:highlight w:val="none"/>
              <w:lang w:val="en-US" w:eastAsia="zh-CN"/>
            </w:rPr>
            <w:t>工程污染源分析</w:t>
          </w:r>
          <w:r>
            <w:rPr>
              <w:color w:val="auto"/>
            </w:rPr>
            <w:tab/>
          </w:r>
          <w:r>
            <w:rPr>
              <w:color w:val="auto"/>
            </w:rPr>
            <w:fldChar w:fldCharType="begin"/>
          </w:r>
          <w:r>
            <w:rPr>
              <w:color w:val="auto"/>
            </w:rPr>
            <w:instrText xml:space="preserve"> PAGEREF _Toc6417 \h </w:instrText>
          </w:r>
          <w:r>
            <w:rPr>
              <w:color w:val="auto"/>
            </w:rPr>
            <w:fldChar w:fldCharType="separate"/>
          </w:r>
          <w:r>
            <w:rPr>
              <w:color w:val="auto"/>
            </w:rPr>
            <w:t>65</w:t>
          </w:r>
          <w:r>
            <w:rPr>
              <w:color w:val="auto"/>
            </w:rPr>
            <w:fldChar w:fldCharType="end"/>
          </w:r>
          <w:r>
            <w:rPr>
              <w:rFonts w:hint="default" w:ascii="Times New Roman" w:hAnsi="Times New Roman" w:cs="Times New Roman"/>
              <w:color w:val="auto"/>
              <w:highlight w:val="yellow"/>
            </w:rPr>
            <w:fldChar w:fldCharType="end"/>
          </w:r>
        </w:p>
        <w:p>
          <w:pPr>
            <w:pStyle w:val="32"/>
            <w:tabs>
              <w:tab w:val="right" w:leader="dot" w:pos="8578"/>
              <w:tab w:val="clear" w:pos="840"/>
              <w:tab w:val="clear" w:pos="8568"/>
            </w:tabs>
            <w:rPr>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_Toc21264 </w:instrText>
          </w:r>
          <w:r>
            <w:rPr>
              <w:rFonts w:hint="default" w:ascii="Times New Roman" w:hAnsi="Times New Roman" w:cs="Times New Roman"/>
              <w:color w:val="auto"/>
              <w:highlight w:val="yellow"/>
            </w:rPr>
            <w:fldChar w:fldCharType="separate"/>
          </w:r>
          <w:r>
            <w:rPr>
              <w:rFonts w:hint="default" w:ascii="Times New Roman" w:hAnsi="Times New Roman" w:eastAsia="宋体" w:cs="Times New Roman"/>
              <w:color w:val="auto"/>
              <w:szCs w:val="32"/>
              <w:lang w:val="en-US" w:eastAsia="zh-CN"/>
            </w:rPr>
            <w:t xml:space="preserve">3.4. </w:t>
          </w:r>
          <w:r>
            <w:rPr>
              <w:rFonts w:hint="default" w:ascii="Times New Roman" w:hAnsi="Times New Roman" w:eastAsia="宋体" w:cs="Times New Roman"/>
              <w:color w:val="auto"/>
              <w:highlight w:val="none"/>
              <w:lang w:val="en-US" w:eastAsia="zh-CN"/>
            </w:rPr>
            <w:t>清洁生产与循环经济分析</w:t>
          </w:r>
          <w:r>
            <w:rPr>
              <w:color w:val="auto"/>
            </w:rPr>
            <w:tab/>
          </w:r>
          <w:r>
            <w:rPr>
              <w:color w:val="auto"/>
            </w:rPr>
            <w:fldChar w:fldCharType="begin"/>
          </w:r>
          <w:r>
            <w:rPr>
              <w:color w:val="auto"/>
            </w:rPr>
            <w:instrText xml:space="preserve"> PAGEREF _Toc21264 \h </w:instrText>
          </w:r>
          <w:r>
            <w:rPr>
              <w:color w:val="auto"/>
            </w:rPr>
            <w:fldChar w:fldCharType="separate"/>
          </w:r>
          <w:r>
            <w:rPr>
              <w:color w:val="auto"/>
            </w:rPr>
            <w:t>73</w:t>
          </w:r>
          <w:r>
            <w:rPr>
              <w:color w:val="auto"/>
            </w:rPr>
            <w:fldChar w:fldCharType="end"/>
          </w:r>
          <w:r>
            <w:rPr>
              <w:rFonts w:hint="default" w:ascii="Times New Roman" w:hAnsi="Times New Roman" w:cs="Times New Roman"/>
              <w:color w:val="auto"/>
              <w:highlight w:val="yellow"/>
            </w:rPr>
            <w:fldChar w:fldCharType="end"/>
          </w:r>
        </w:p>
        <w:p>
          <w:pPr>
            <w:pStyle w:val="27"/>
            <w:tabs>
              <w:tab w:val="right" w:leader="dot" w:pos="8578"/>
            </w:tabs>
            <w:rPr>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_Toc8452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rPr>
            <w:t xml:space="preserve">4. </w:t>
          </w:r>
          <w:r>
            <w:rPr>
              <w:rFonts w:hint="default" w:ascii="Times New Roman" w:hAnsi="Times New Roman" w:cs="Times New Roman"/>
              <w:color w:val="auto"/>
              <w:highlight w:val="none"/>
            </w:rPr>
            <w:t>环境现状调查与评价</w:t>
          </w:r>
          <w:r>
            <w:rPr>
              <w:color w:val="auto"/>
            </w:rPr>
            <w:tab/>
          </w:r>
          <w:r>
            <w:rPr>
              <w:color w:val="auto"/>
            </w:rPr>
            <w:fldChar w:fldCharType="begin"/>
          </w:r>
          <w:r>
            <w:rPr>
              <w:color w:val="auto"/>
            </w:rPr>
            <w:instrText xml:space="preserve"> PAGEREF _Toc8452 \h </w:instrText>
          </w:r>
          <w:r>
            <w:rPr>
              <w:color w:val="auto"/>
            </w:rPr>
            <w:fldChar w:fldCharType="separate"/>
          </w:r>
          <w:r>
            <w:rPr>
              <w:color w:val="auto"/>
            </w:rPr>
            <w:t>78</w:t>
          </w:r>
          <w:r>
            <w:rPr>
              <w:color w:val="auto"/>
            </w:rPr>
            <w:fldChar w:fldCharType="end"/>
          </w:r>
          <w:r>
            <w:rPr>
              <w:rFonts w:hint="default" w:ascii="Times New Roman" w:hAnsi="Times New Roman" w:cs="Times New Roman"/>
              <w:color w:val="auto"/>
              <w:highlight w:val="yellow"/>
            </w:rPr>
            <w:fldChar w:fldCharType="end"/>
          </w:r>
        </w:p>
        <w:p>
          <w:pPr>
            <w:pStyle w:val="32"/>
            <w:tabs>
              <w:tab w:val="right" w:leader="dot" w:pos="8578"/>
              <w:tab w:val="clear" w:pos="840"/>
              <w:tab w:val="clear" w:pos="8568"/>
            </w:tabs>
            <w:rPr>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_Toc5570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szCs w:val="32"/>
            </w:rPr>
            <w:t xml:space="preserve">4.1. </w:t>
          </w:r>
          <w:r>
            <w:rPr>
              <w:rFonts w:hint="default" w:ascii="Times New Roman" w:hAnsi="Times New Roman" w:cs="Times New Roman"/>
              <w:color w:val="auto"/>
              <w:highlight w:val="none"/>
            </w:rPr>
            <w:t>自然环境概况</w:t>
          </w:r>
          <w:r>
            <w:rPr>
              <w:color w:val="auto"/>
            </w:rPr>
            <w:tab/>
          </w:r>
          <w:r>
            <w:rPr>
              <w:color w:val="auto"/>
            </w:rPr>
            <w:fldChar w:fldCharType="begin"/>
          </w:r>
          <w:r>
            <w:rPr>
              <w:color w:val="auto"/>
            </w:rPr>
            <w:instrText xml:space="preserve"> PAGEREF _Toc5570 \h </w:instrText>
          </w:r>
          <w:r>
            <w:rPr>
              <w:color w:val="auto"/>
            </w:rPr>
            <w:fldChar w:fldCharType="separate"/>
          </w:r>
          <w:r>
            <w:rPr>
              <w:color w:val="auto"/>
            </w:rPr>
            <w:t>78</w:t>
          </w:r>
          <w:r>
            <w:rPr>
              <w:color w:val="auto"/>
            </w:rPr>
            <w:fldChar w:fldCharType="end"/>
          </w:r>
          <w:r>
            <w:rPr>
              <w:rFonts w:hint="default" w:ascii="Times New Roman" w:hAnsi="Times New Roman" w:cs="Times New Roman"/>
              <w:color w:val="auto"/>
              <w:highlight w:val="yellow"/>
            </w:rPr>
            <w:fldChar w:fldCharType="end"/>
          </w:r>
        </w:p>
        <w:p>
          <w:pPr>
            <w:pStyle w:val="32"/>
            <w:tabs>
              <w:tab w:val="right" w:leader="dot" w:pos="8578"/>
              <w:tab w:val="clear" w:pos="840"/>
              <w:tab w:val="clear" w:pos="8568"/>
            </w:tabs>
            <w:rPr>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_Toc25705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szCs w:val="32"/>
            </w:rPr>
            <w:t xml:space="preserve">4.2. </w:t>
          </w:r>
          <w:r>
            <w:rPr>
              <w:rFonts w:hint="default" w:ascii="Times New Roman" w:hAnsi="Times New Roman" w:cs="Times New Roman"/>
              <w:color w:val="auto"/>
              <w:highlight w:val="none"/>
            </w:rPr>
            <w:t>环境质量现状调查及评价</w:t>
          </w:r>
          <w:r>
            <w:rPr>
              <w:color w:val="auto"/>
            </w:rPr>
            <w:tab/>
          </w:r>
          <w:r>
            <w:rPr>
              <w:color w:val="auto"/>
            </w:rPr>
            <w:fldChar w:fldCharType="begin"/>
          </w:r>
          <w:r>
            <w:rPr>
              <w:color w:val="auto"/>
            </w:rPr>
            <w:instrText xml:space="preserve"> PAGEREF _Toc25705 \h </w:instrText>
          </w:r>
          <w:r>
            <w:rPr>
              <w:color w:val="auto"/>
            </w:rPr>
            <w:fldChar w:fldCharType="separate"/>
          </w:r>
          <w:r>
            <w:rPr>
              <w:color w:val="auto"/>
            </w:rPr>
            <w:t>83</w:t>
          </w:r>
          <w:r>
            <w:rPr>
              <w:color w:val="auto"/>
            </w:rPr>
            <w:fldChar w:fldCharType="end"/>
          </w:r>
          <w:r>
            <w:rPr>
              <w:rFonts w:hint="default" w:ascii="Times New Roman" w:hAnsi="Times New Roman" w:cs="Times New Roman"/>
              <w:color w:val="auto"/>
              <w:highlight w:val="yellow"/>
            </w:rPr>
            <w:fldChar w:fldCharType="end"/>
          </w:r>
        </w:p>
        <w:p>
          <w:pPr>
            <w:pStyle w:val="27"/>
            <w:tabs>
              <w:tab w:val="right" w:leader="dot" w:pos="8578"/>
            </w:tabs>
            <w:rPr>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_Toc22466 </w:instrText>
          </w:r>
          <w:r>
            <w:rPr>
              <w:rFonts w:hint="default" w:ascii="Times New Roman" w:hAnsi="Times New Roman" w:cs="Times New Roman"/>
              <w:color w:val="auto"/>
              <w:highlight w:val="yellow"/>
            </w:rPr>
            <w:fldChar w:fldCharType="separate"/>
          </w:r>
          <w:r>
            <w:rPr>
              <w:rFonts w:hint="default" w:ascii="Times New Roman" w:hAnsi="Times New Roman" w:eastAsia="宋体" w:cs="Times New Roman"/>
              <w:color w:val="auto"/>
            </w:rPr>
            <w:t xml:space="preserve">5. </w:t>
          </w:r>
          <w:r>
            <w:rPr>
              <w:rFonts w:hint="default" w:ascii="Times New Roman" w:hAnsi="Times New Roman" w:eastAsia="宋体" w:cs="Times New Roman"/>
              <w:color w:val="auto"/>
              <w:highlight w:val="none"/>
            </w:rPr>
            <w:t>环境影响预测与评价</w:t>
          </w:r>
          <w:r>
            <w:rPr>
              <w:color w:val="auto"/>
            </w:rPr>
            <w:tab/>
          </w:r>
          <w:r>
            <w:rPr>
              <w:color w:val="auto"/>
            </w:rPr>
            <w:fldChar w:fldCharType="begin"/>
          </w:r>
          <w:r>
            <w:rPr>
              <w:color w:val="auto"/>
            </w:rPr>
            <w:instrText xml:space="preserve"> PAGEREF _Toc22466 \h </w:instrText>
          </w:r>
          <w:r>
            <w:rPr>
              <w:color w:val="auto"/>
            </w:rPr>
            <w:fldChar w:fldCharType="separate"/>
          </w:r>
          <w:r>
            <w:rPr>
              <w:color w:val="auto"/>
            </w:rPr>
            <w:t>95</w:t>
          </w:r>
          <w:r>
            <w:rPr>
              <w:color w:val="auto"/>
            </w:rPr>
            <w:fldChar w:fldCharType="end"/>
          </w:r>
          <w:r>
            <w:rPr>
              <w:rFonts w:hint="default" w:ascii="Times New Roman" w:hAnsi="Times New Roman" w:cs="Times New Roman"/>
              <w:color w:val="auto"/>
              <w:highlight w:val="yellow"/>
            </w:rPr>
            <w:fldChar w:fldCharType="end"/>
          </w:r>
        </w:p>
        <w:p>
          <w:pPr>
            <w:pStyle w:val="32"/>
            <w:tabs>
              <w:tab w:val="right" w:leader="dot" w:pos="8578"/>
              <w:tab w:val="clear" w:pos="840"/>
              <w:tab w:val="clear" w:pos="8568"/>
            </w:tabs>
            <w:rPr>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_Toc28158 </w:instrText>
          </w:r>
          <w:r>
            <w:rPr>
              <w:rFonts w:hint="default" w:ascii="Times New Roman" w:hAnsi="Times New Roman" w:cs="Times New Roman"/>
              <w:color w:val="auto"/>
              <w:highlight w:val="yellow"/>
            </w:rPr>
            <w:fldChar w:fldCharType="separate"/>
          </w:r>
          <w:r>
            <w:rPr>
              <w:rFonts w:hint="default" w:ascii="Times New Roman" w:hAnsi="Times New Roman" w:eastAsia="宋体" w:cs="Times New Roman"/>
              <w:color w:val="auto"/>
              <w:szCs w:val="32"/>
            </w:rPr>
            <w:t xml:space="preserve">5.1. </w:t>
          </w:r>
          <w:r>
            <w:rPr>
              <w:rFonts w:hint="default" w:ascii="Times New Roman" w:hAnsi="Times New Roman" w:eastAsia="宋体" w:cs="Times New Roman"/>
              <w:color w:val="auto"/>
              <w:highlight w:val="none"/>
            </w:rPr>
            <w:t>施工期环境影响分析</w:t>
          </w:r>
          <w:r>
            <w:rPr>
              <w:color w:val="auto"/>
            </w:rPr>
            <w:tab/>
          </w:r>
          <w:r>
            <w:rPr>
              <w:color w:val="auto"/>
            </w:rPr>
            <w:fldChar w:fldCharType="begin"/>
          </w:r>
          <w:r>
            <w:rPr>
              <w:color w:val="auto"/>
            </w:rPr>
            <w:instrText xml:space="preserve"> PAGEREF _Toc28158 \h </w:instrText>
          </w:r>
          <w:r>
            <w:rPr>
              <w:color w:val="auto"/>
            </w:rPr>
            <w:fldChar w:fldCharType="separate"/>
          </w:r>
          <w:r>
            <w:rPr>
              <w:color w:val="auto"/>
            </w:rPr>
            <w:t>95</w:t>
          </w:r>
          <w:r>
            <w:rPr>
              <w:color w:val="auto"/>
            </w:rPr>
            <w:fldChar w:fldCharType="end"/>
          </w:r>
          <w:r>
            <w:rPr>
              <w:rFonts w:hint="default" w:ascii="Times New Roman" w:hAnsi="Times New Roman" w:cs="Times New Roman"/>
              <w:color w:val="auto"/>
              <w:highlight w:val="yellow"/>
            </w:rPr>
            <w:fldChar w:fldCharType="end"/>
          </w:r>
        </w:p>
        <w:p>
          <w:pPr>
            <w:pStyle w:val="32"/>
            <w:tabs>
              <w:tab w:val="right" w:leader="dot" w:pos="8578"/>
              <w:tab w:val="clear" w:pos="840"/>
              <w:tab w:val="clear" w:pos="8568"/>
            </w:tabs>
            <w:rPr>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_Toc28645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szCs w:val="32"/>
            </w:rPr>
            <w:t xml:space="preserve">5.2. </w:t>
          </w:r>
          <w:r>
            <w:rPr>
              <w:rFonts w:hint="default" w:ascii="Times New Roman" w:hAnsi="Times New Roman" w:cs="Times New Roman"/>
              <w:color w:val="auto"/>
              <w:highlight w:val="none"/>
            </w:rPr>
            <w:t>运营期环境影响分析</w:t>
          </w:r>
          <w:r>
            <w:rPr>
              <w:color w:val="auto"/>
            </w:rPr>
            <w:tab/>
          </w:r>
          <w:r>
            <w:rPr>
              <w:color w:val="auto"/>
            </w:rPr>
            <w:fldChar w:fldCharType="begin"/>
          </w:r>
          <w:r>
            <w:rPr>
              <w:color w:val="auto"/>
            </w:rPr>
            <w:instrText xml:space="preserve"> PAGEREF _Toc28645 \h </w:instrText>
          </w:r>
          <w:r>
            <w:rPr>
              <w:color w:val="auto"/>
            </w:rPr>
            <w:fldChar w:fldCharType="separate"/>
          </w:r>
          <w:r>
            <w:rPr>
              <w:color w:val="auto"/>
            </w:rPr>
            <w:t>99</w:t>
          </w:r>
          <w:r>
            <w:rPr>
              <w:color w:val="auto"/>
            </w:rPr>
            <w:fldChar w:fldCharType="end"/>
          </w:r>
          <w:r>
            <w:rPr>
              <w:rFonts w:hint="default" w:ascii="Times New Roman" w:hAnsi="Times New Roman" w:cs="Times New Roman"/>
              <w:color w:val="auto"/>
              <w:highlight w:val="yellow"/>
            </w:rPr>
            <w:fldChar w:fldCharType="end"/>
          </w:r>
        </w:p>
        <w:p>
          <w:pPr>
            <w:pStyle w:val="32"/>
            <w:tabs>
              <w:tab w:val="right" w:leader="dot" w:pos="8578"/>
              <w:tab w:val="clear" w:pos="840"/>
              <w:tab w:val="clear" w:pos="8568"/>
            </w:tabs>
            <w:rPr>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_Toc7179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szCs w:val="32"/>
            </w:rPr>
            <w:t xml:space="preserve">5.3. </w:t>
          </w:r>
          <w:r>
            <w:rPr>
              <w:rFonts w:hint="default" w:ascii="Times New Roman" w:hAnsi="Times New Roman" w:cs="Times New Roman"/>
              <w:color w:val="auto"/>
              <w:highlight w:val="none"/>
            </w:rPr>
            <w:t>环境风险</w:t>
          </w:r>
          <w:r>
            <w:rPr>
              <w:rFonts w:hint="default" w:ascii="Times New Roman" w:hAnsi="Times New Roman" w:cs="Times New Roman"/>
              <w:color w:val="auto"/>
              <w:highlight w:val="none"/>
              <w:lang w:val="en-US" w:eastAsia="zh-CN"/>
            </w:rPr>
            <w:t>分析</w:t>
          </w:r>
          <w:r>
            <w:rPr>
              <w:color w:val="auto"/>
            </w:rPr>
            <w:tab/>
          </w:r>
          <w:r>
            <w:rPr>
              <w:color w:val="auto"/>
            </w:rPr>
            <w:fldChar w:fldCharType="begin"/>
          </w:r>
          <w:r>
            <w:rPr>
              <w:color w:val="auto"/>
            </w:rPr>
            <w:instrText xml:space="preserve"> PAGEREF _Toc7179 \h </w:instrText>
          </w:r>
          <w:r>
            <w:rPr>
              <w:color w:val="auto"/>
            </w:rPr>
            <w:fldChar w:fldCharType="separate"/>
          </w:r>
          <w:r>
            <w:rPr>
              <w:color w:val="auto"/>
            </w:rPr>
            <w:t>122</w:t>
          </w:r>
          <w:r>
            <w:rPr>
              <w:color w:val="auto"/>
            </w:rPr>
            <w:fldChar w:fldCharType="end"/>
          </w:r>
          <w:r>
            <w:rPr>
              <w:rFonts w:hint="default" w:ascii="Times New Roman" w:hAnsi="Times New Roman" w:cs="Times New Roman"/>
              <w:color w:val="auto"/>
              <w:highlight w:val="yellow"/>
            </w:rPr>
            <w:fldChar w:fldCharType="end"/>
          </w:r>
        </w:p>
        <w:p>
          <w:pPr>
            <w:pStyle w:val="27"/>
            <w:tabs>
              <w:tab w:val="right" w:leader="dot" w:pos="8578"/>
            </w:tabs>
            <w:rPr>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_Toc18758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rPr>
            <w:t xml:space="preserve">6. </w:t>
          </w:r>
          <w:r>
            <w:rPr>
              <w:rFonts w:hint="default" w:ascii="Times New Roman" w:hAnsi="Times New Roman" w:cs="Times New Roman"/>
              <w:color w:val="auto"/>
              <w:highlight w:val="none"/>
            </w:rPr>
            <w:t>环境保护措施及其可行性论证</w:t>
          </w:r>
          <w:r>
            <w:rPr>
              <w:color w:val="auto"/>
            </w:rPr>
            <w:tab/>
          </w:r>
          <w:r>
            <w:rPr>
              <w:color w:val="auto"/>
            </w:rPr>
            <w:fldChar w:fldCharType="begin"/>
          </w:r>
          <w:r>
            <w:rPr>
              <w:color w:val="auto"/>
            </w:rPr>
            <w:instrText xml:space="preserve"> PAGEREF _Toc18758 \h </w:instrText>
          </w:r>
          <w:r>
            <w:rPr>
              <w:color w:val="auto"/>
            </w:rPr>
            <w:fldChar w:fldCharType="separate"/>
          </w:r>
          <w:r>
            <w:rPr>
              <w:color w:val="auto"/>
            </w:rPr>
            <w:t>134</w:t>
          </w:r>
          <w:r>
            <w:rPr>
              <w:color w:val="auto"/>
            </w:rPr>
            <w:fldChar w:fldCharType="end"/>
          </w:r>
          <w:r>
            <w:rPr>
              <w:rFonts w:hint="default" w:ascii="Times New Roman" w:hAnsi="Times New Roman" w:cs="Times New Roman"/>
              <w:color w:val="auto"/>
              <w:highlight w:val="yellow"/>
            </w:rPr>
            <w:fldChar w:fldCharType="end"/>
          </w:r>
        </w:p>
        <w:p>
          <w:pPr>
            <w:pStyle w:val="32"/>
            <w:tabs>
              <w:tab w:val="right" w:leader="dot" w:pos="8578"/>
              <w:tab w:val="clear" w:pos="840"/>
              <w:tab w:val="clear" w:pos="8568"/>
            </w:tabs>
            <w:rPr>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_Toc3462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szCs w:val="32"/>
            </w:rPr>
            <w:t xml:space="preserve">6.1. </w:t>
          </w:r>
          <w:r>
            <w:rPr>
              <w:rFonts w:hint="default" w:ascii="Times New Roman" w:hAnsi="Times New Roman" w:cs="Times New Roman"/>
              <w:color w:val="auto"/>
              <w:highlight w:val="none"/>
            </w:rPr>
            <w:t>施工期防治措施</w:t>
          </w:r>
          <w:r>
            <w:rPr>
              <w:color w:val="auto"/>
            </w:rPr>
            <w:tab/>
          </w:r>
          <w:r>
            <w:rPr>
              <w:color w:val="auto"/>
            </w:rPr>
            <w:fldChar w:fldCharType="begin"/>
          </w:r>
          <w:r>
            <w:rPr>
              <w:color w:val="auto"/>
            </w:rPr>
            <w:instrText xml:space="preserve"> PAGEREF _Toc3462 \h </w:instrText>
          </w:r>
          <w:r>
            <w:rPr>
              <w:color w:val="auto"/>
            </w:rPr>
            <w:fldChar w:fldCharType="separate"/>
          </w:r>
          <w:r>
            <w:rPr>
              <w:color w:val="auto"/>
            </w:rPr>
            <w:t>134</w:t>
          </w:r>
          <w:r>
            <w:rPr>
              <w:color w:val="auto"/>
            </w:rPr>
            <w:fldChar w:fldCharType="end"/>
          </w:r>
          <w:r>
            <w:rPr>
              <w:rFonts w:hint="default" w:ascii="Times New Roman" w:hAnsi="Times New Roman" w:cs="Times New Roman"/>
              <w:color w:val="auto"/>
              <w:highlight w:val="yellow"/>
            </w:rPr>
            <w:fldChar w:fldCharType="end"/>
          </w:r>
        </w:p>
        <w:p>
          <w:pPr>
            <w:pStyle w:val="32"/>
            <w:tabs>
              <w:tab w:val="right" w:leader="dot" w:pos="8578"/>
              <w:tab w:val="clear" w:pos="840"/>
              <w:tab w:val="clear" w:pos="8568"/>
            </w:tabs>
            <w:rPr>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_Toc8697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szCs w:val="32"/>
            </w:rPr>
            <w:t xml:space="preserve">6.2. </w:t>
          </w:r>
          <w:r>
            <w:rPr>
              <w:rFonts w:hint="default" w:ascii="Times New Roman" w:hAnsi="Times New Roman" w:cs="Times New Roman"/>
              <w:color w:val="auto"/>
              <w:highlight w:val="none"/>
            </w:rPr>
            <w:t>运营期防治措施分析</w:t>
          </w:r>
          <w:r>
            <w:rPr>
              <w:color w:val="auto"/>
            </w:rPr>
            <w:tab/>
          </w:r>
          <w:r>
            <w:rPr>
              <w:color w:val="auto"/>
            </w:rPr>
            <w:fldChar w:fldCharType="begin"/>
          </w:r>
          <w:r>
            <w:rPr>
              <w:color w:val="auto"/>
            </w:rPr>
            <w:instrText xml:space="preserve"> PAGEREF _Toc8697 \h </w:instrText>
          </w:r>
          <w:r>
            <w:rPr>
              <w:color w:val="auto"/>
            </w:rPr>
            <w:fldChar w:fldCharType="separate"/>
          </w:r>
          <w:r>
            <w:rPr>
              <w:color w:val="auto"/>
            </w:rPr>
            <w:t>136</w:t>
          </w:r>
          <w:r>
            <w:rPr>
              <w:color w:val="auto"/>
            </w:rPr>
            <w:fldChar w:fldCharType="end"/>
          </w:r>
          <w:r>
            <w:rPr>
              <w:rFonts w:hint="default" w:ascii="Times New Roman" w:hAnsi="Times New Roman" w:cs="Times New Roman"/>
              <w:color w:val="auto"/>
              <w:highlight w:val="yellow"/>
            </w:rPr>
            <w:fldChar w:fldCharType="end"/>
          </w:r>
        </w:p>
        <w:p>
          <w:pPr>
            <w:pStyle w:val="32"/>
            <w:tabs>
              <w:tab w:val="right" w:leader="dot" w:pos="8578"/>
              <w:tab w:val="clear" w:pos="840"/>
              <w:tab w:val="clear" w:pos="8568"/>
            </w:tabs>
            <w:rPr>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_Toc19706 </w:instrText>
          </w:r>
          <w:r>
            <w:rPr>
              <w:rFonts w:hint="default" w:ascii="Times New Roman" w:hAnsi="Times New Roman" w:cs="Times New Roman"/>
              <w:color w:val="auto"/>
              <w:highlight w:val="yellow"/>
            </w:rPr>
            <w:fldChar w:fldCharType="separate"/>
          </w:r>
          <w:r>
            <w:rPr>
              <w:rFonts w:hint="default" w:ascii="Times New Roman" w:hAnsi="Times New Roman" w:eastAsia="宋体" w:cs="Times New Roman"/>
              <w:color w:val="auto"/>
              <w:szCs w:val="32"/>
            </w:rPr>
            <w:t xml:space="preserve">6.3. </w:t>
          </w:r>
          <w:r>
            <w:rPr>
              <w:rFonts w:hint="default" w:ascii="Times New Roman" w:hAnsi="Times New Roman" w:eastAsia="宋体" w:cs="Times New Roman"/>
              <w:color w:val="auto"/>
              <w:highlight w:val="none"/>
            </w:rPr>
            <w:t>污染物总量控制</w:t>
          </w:r>
          <w:r>
            <w:rPr>
              <w:color w:val="auto"/>
            </w:rPr>
            <w:tab/>
          </w:r>
          <w:r>
            <w:rPr>
              <w:color w:val="auto"/>
            </w:rPr>
            <w:fldChar w:fldCharType="begin"/>
          </w:r>
          <w:r>
            <w:rPr>
              <w:color w:val="auto"/>
            </w:rPr>
            <w:instrText xml:space="preserve"> PAGEREF _Toc19706 \h </w:instrText>
          </w:r>
          <w:r>
            <w:rPr>
              <w:color w:val="auto"/>
            </w:rPr>
            <w:fldChar w:fldCharType="separate"/>
          </w:r>
          <w:r>
            <w:rPr>
              <w:color w:val="auto"/>
            </w:rPr>
            <w:t>146</w:t>
          </w:r>
          <w:r>
            <w:rPr>
              <w:color w:val="auto"/>
            </w:rPr>
            <w:fldChar w:fldCharType="end"/>
          </w:r>
          <w:r>
            <w:rPr>
              <w:rFonts w:hint="default" w:ascii="Times New Roman" w:hAnsi="Times New Roman" w:cs="Times New Roman"/>
              <w:color w:val="auto"/>
              <w:highlight w:val="yellow"/>
            </w:rPr>
            <w:fldChar w:fldCharType="end"/>
          </w:r>
        </w:p>
        <w:p>
          <w:pPr>
            <w:pStyle w:val="27"/>
            <w:tabs>
              <w:tab w:val="right" w:leader="dot" w:pos="8578"/>
            </w:tabs>
            <w:rPr>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_Toc12059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rPr>
            <w:t xml:space="preserve">7. </w:t>
          </w:r>
          <w:r>
            <w:rPr>
              <w:rFonts w:hint="default" w:ascii="Times New Roman" w:hAnsi="Times New Roman" w:cs="Times New Roman"/>
              <w:color w:val="auto"/>
              <w:highlight w:val="none"/>
            </w:rPr>
            <w:t>环境影响经济损益分析</w:t>
          </w:r>
          <w:r>
            <w:rPr>
              <w:color w:val="auto"/>
            </w:rPr>
            <w:tab/>
          </w:r>
          <w:r>
            <w:rPr>
              <w:color w:val="auto"/>
            </w:rPr>
            <w:fldChar w:fldCharType="begin"/>
          </w:r>
          <w:r>
            <w:rPr>
              <w:color w:val="auto"/>
            </w:rPr>
            <w:instrText xml:space="preserve"> PAGEREF _Toc12059 \h </w:instrText>
          </w:r>
          <w:r>
            <w:rPr>
              <w:color w:val="auto"/>
            </w:rPr>
            <w:fldChar w:fldCharType="separate"/>
          </w:r>
          <w:r>
            <w:rPr>
              <w:color w:val="auto"/>
            </w:rPr>
            <w:t>147</w:t>
          </w:r>
          <w:r>
            <w:rPr>
              <w:color w:val="auto"/>
            </w:rPr>
            <w:fldChar w:fldCharType="end"/>
          </w:r>
          <w:r>
            <w:rPr>
              <w:rFonts w:hint="default" w:ascii="Times New Roman" w:hAnsi="Times New Roman" w:cs="Times New Roman"/>
              <w:color w:val="auto"/>
              <w:highlight w:val="yellow"/>
            </w:rPr>
            <w:fldChar w:fldCharType="end"/>
          </w:r>
        </w:p>
        <w:p>
          <w:pPr>
            <w:pStyle w:val="32"/>
            <w:tabs>
              <w:tab w:val="right" w:leader="dot" w:pos="8578"/>
              <w:tab w:val="clear" w:pos="840"/>
              <w:tab w:val="clear" w:pos="8568"/>
            </w:tabs>
            <w:rPr>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_Toc19131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szCs w:val="32"/>
            </w:rPr>
            <w:t xml:space="preserve">7.1. </w:t>
          </w:r>
          <w:r>
            <w:rPr>
              <w:rFonts w:hint="default" w:ascii="Times New Roman" w:hAnsi="Times New Roman" w:cs="Times New Roman"/>
              <w:color w:val="auto"/>
              <w:highlight w:val="none"/>
            </w:rPr>
            <w:t>社会效益分析</w:t>
          </w:r>
          <w:r>
            <w:rPr>
              <w:color w:val="auto"/>
            </w:rPr>
            <w:tab/>
          </w:r>
          <w:r>
            <w:rPr>
              <w:color w:val="auto"/>
            </w:rPr>
            <w:fldChar w:fldCharType="begin"/>
          </w:r>
          <w:r>
            <w:rPr>
              <w:color w:val="auto"/>
            </w:rPr>
            <w:instrText xml:space="preserve"> PAGEREF _Toc19131 \h </w:instrText>
          </w:r>
          <w:r>
            <w:rPr>
              <w:color w:val="auto"/>
            </w:rPr>
            <w:fldChar w:fldCharType="separate"/>
          </w:r>
          <w:r>
            <w:rPr>
              <w:color w:val="auto"/>
            </w:rPr>
            <w:t>147</w:t>
          </w:r>
          <w:r>
            <w:rPr>
              <w:color w:val="auto"/>
            </w:rPr>
            <w:fldChar w:fldCharType="end"/>
          </w:r>
          <w:r>
            <w:rPr>
              <w:rFonts w:hint="default" w:ascii="Times New Roman" w:hAnsi="Times New Roman" w:cs="Times New Roman"/>
              <w:color w:val="auto"/>
              <w:highlight w:val="yellow"/>
            </w:rPr>
            <w:fldChar w:fldCharType="end"/>
          </w:r>
        </w:p>
        <w:p>
          <w:pPr>
            <w:pStyle w:val="32"/>
            <w:tabs>
              <w:tab w:val="right" w:leader="dot" w:pos="8578"/>
              <w:tab w:val="clear" w:pos="840"/>
              <w:tab w:val="clear" w:pos="8568"/>
            </w:tabs>
            <w:rPr>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_Toc12162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szCs w:val="32"/>
            </w:rPr>
            <w:t xml:space="preserve">7.2. </w:t>
          </w:r>
          <w:r>
            <w:rPr>
              <w:rFonts w:hint="default" w:ascii="Times New Roman" w:hAnsi="Times New Roman" w:cs="Times New Roman"/>
              <w:color w:val="auto"/>
              <w:highlight w:val="none"/>
            </w:rPr>
            <w:t>经济效益分析</w:t>
          </w:r>
          <w:r>
            <w:rPr>
              <w:color w:val="auto"/>
            </w:rPr>
            <w:tab/>
          </w:r>
          <w:r>
            <w:rPr>
              <w:color w:val="auto"/>
            </w:rPr>
            <w:fldChar w:fldCharType="begin"/>
          </w:r>
          <w:r>
            <w:rPr>
              <w:color w:val="auto"/>
            </w:rPr>
            <w:instrText xml:space="preserve"> PAGEREF _Toc12162 \h </w:instrText>
          </w:r>
          <w:r>
            <w:rPr>
              <w:color w:val="auto"/>
            </w:rPr>
            <w:fldChar w:fldCharType="separate"/>
          </w:r>
          <w:r>
            <w:rPr>
              <w:color w:val="auto"/>
            </w:rPr>
            <w:t>147</w:t>
          </w:r>
          <w:r>
            <w:rPr>
              <w:color w:val="auto"/>
            </w:rPr>
            <w:fldChar w:fldCharType="end"/>
          </w:r>
          <w:r>
            <w:rPr>
              <w:rFonts w:hint="default" w:ascii="Times New Roman" w:hAnsi="Times New Roman" w:cs="Times New Roman"/>
              <w:color w:val="auto"/>
              <w:highlight w:val="yellow"/>
            </w:rPr>
            <w:fldChar w:fldCharType="end"/>
          </w:r>
        </w:p>
        <w:p>
          <w:pPr>
            <w:pStyle w:val="32"/>
            <w:tabs>
              <w:tab w:val="right" w:leader="dot" w:pos="8578"/>
              <w:tab w:val="clear" w:pos="840"/>
              <w:tab w:val="clear" w:pos="8568"/>
            </w:tabs>
            <w:rPr>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_Toc22359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szCs w:val="32"/>
            </w:rPr>
            <w:t xml:space="preserve">7.3. </w:t>
          </w:r>
          <w:r>
            <w:rPr>
              <w:rFonts w:hint="default" w:ascii="Times New Roman" w:hAnsi="Times New Roman" w:cs="Times New Roman"/>
              <w:color w:val="auto"/>
              <w:highlight w:val="none"/>
            </w:rPr>
            <w:t>环境效益分析</w:t>
          </w:r>
          <w:r>
            <w:rPr>
              <w:color w:val="auto"/>
            </w:rPr>
            <w:tab/>
          </w:r>
          <w:r>
            <w:rPr>
              <w:color w:val="auto"/>
            </w:rPr>
            <w:fldChar w:fldCharType="begin"/>
          </w:r>
          <w:r>
            <w:rPr>
              <w:color w:val="auto"/>
            </w:rPr>
            <w:instrText xml:space="preserve"> PAGEREF _Toc22359 \h </w:instrText>
          </w:r>
          <w:r>
            <w:rPr>
              <w:color w:val="auto"/>
            </w:rPr>
            <w:fldChar w:fldCharType="separate"/>
          </w:r>
          <w:r>
            <w:rPr>
              <w:color w:val="auto"/>
            </w:rPr>
            <w:t>147</w:t>
          </w:r>
          <w:r>
            <w:rPr>
              <w:color w:val="auto"/>
            </w:rPr>
            <w:fldChar w:fldCharType="end"/>
          </w:r>
          <w:r>
            <w:rPr>
              <w:rFonts w:hint="default" w:ascii="Times New Roman" w:hAnsi="Times New Roman" w:cs="Times New Roman"/>
              <w:color w:val="auto"/>
              <w:highlight w:val="yellow"/>
            </w:rPr>
            <w:fldChar w:fldCharType="end"/>
          </w:r>
        </w:p>
        <w:p>
          <w:pPr>
            <w:pStyle w:val="32"/>
            <w:tabs>
              <w:tab w:val="right" w:leader="dot" w:pos="8578"/>
              <w:tab w:val="clear" w:pos="840"/>
              <w:tab w:val="clear" w:pos="8568"/>
            </w:tabs>
            <w:rPr>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_Toc4548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szCs w:val="32"/>
            </w:rPr>
            <w:t xml:space="preserve">7.4. </w:t>
          </w:r>
          <w:r>
            <w:rPr>
              <w:rFonts w:hint="default" w:ascii="Times New Roman" w:hAnsi="Times New Roman" w:cs="Times New Roman"/>
              <w:color w:val="auto"/>
              <w:highlight w:val="none"/>
            </w:rPr>
            <w:t>环保投资估算</w:t>
          </w:r>
          <w:r>
            <w:rPr>
              <w:color w:val="auto"/>
            </w:rPr>
            <w:tab/>
          </w:r>
          <w:r>
            <w:rPr>
              <w:color w:val="auto"/>
            </w:rPr>
            <w:fldChar w:fldCharType="begin"/>
          </w:r>
          <w:r>
            <w:rPr>
              <w:color w:val="auto"/>
            </w:rPr>
            <w:instrText xml:space="preserve"> PAGEREF _Toc4548 \h </w:instrText>
          </w:r>
          <w:r>
            <w:rPr>
              <w:color w:val="auto"/>
            </w:rPr>
            <w:fldChar w:fldCharType="separate"/>
          </w:r>
          <w:r>
            <w:rPr>
              <w:color w:val="auto"/>
            </w:rPr>
            <w:t>148</w:t>
          </w:r>
          <w:r>
            <w:rPr>
              <w:color w:val="auto"/>
            </w:rPr>
            <w:fldChar w:fldCharType="end"/>
          </w:r>
          <w:r>
            <w:rPr>
              <w:rFonts w:hint="default" w:ascii="Times New Roman" w:hAnsi="Times New Roman" w:cs="Times New Roman"/>
              <w:color w:val="auto"/>
              <w:highlight w:val="yellow"/>
            </w:rPr>
            <w:fldChar w:fldCharType="end"/>
          </w:r>
        </w:p>
        <w:p>
          <w:pPr>
            <w:pStyle w:val="27"/>
            <w:tabs>
              <w:tab w:val="right" w:leader="dot" w:pos="8578"/>
            </w:tabs>
            <w:rPr>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_Toc4209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rPr>
            <w:t xml:space="preserve">8. </w:t>
          </w:r>
          <w:r>
            <w:rPr>
              <w:rFonts w:hint="default" w:ascii="Times New Roman" w:hAnsi="Times New Roman" w:cs="Times New Roman"/>
              <w:color w:val="auto"/>
              <w:highlight w:val="none"/>
            </w:rPr>
            <w:t>环境管理</w:t>
          </w:r>
          <w:r>
            <w:rPr>
              <w:rFonts w:hint="default" w:ascii="Times New Roman" w:hAnsi="Times New Roman" w:cs="Times New Roman"/>
              <w:color w:val="auto"/>
              <w:highlight w:val="none"/>
              <w:lang w:val="en-US" w:eastAsia="zh-CN"/>
            </w:rPr>
            <w:t>与</w:t>
          </w:r>
          <w:r>
            <w:rPr>
              <w:rFonts w:hint="default" w:ascii="Times New Roman" w:hAnsi="Times New Roman" w:cs="Times New Roman"/>
              <w:color w:val="auto"/>
              <w:highlight w:val="none"/>
            </w:rPr>
            <w:t>监测计划</w:t>
          </w:r>
          <w:r>
            <w:rPr>
              <w:color w:val="auto"/>
            </w:rPr>
            <w:tab/>
          </w:r>
          <w:r>
            <w:rPr>
              <w:color w:val="auto"/>
            </w:rPr>
            <w:fldChar w:fldCharType="begin"/>
          </w:r>
          <w:r>
            <w:rPr>
              <w:color w:val="auto"/>
            </w:rPr>
            <w:instrText xml:space="preserve"> PAGEREF _Toc4209 \h </w:instrText>
          </w:r>
          <w:r>
            <w:rPr>
              <w:color w:val="auto"/>
            </w:rPr>
            <w:fldChar w:fldCharType="separate"/>
          </w:r>
          <w:r>
            <w:rPr>
              <w:color w:val="auto"/>
            </w:rPr>
            <w:t>149</w:t>
          </w:r>
          <w:r>
            <w:rPr>
              <w:color w:val="auto"/>
            </w:rPr>
            <w:fldChar w:fldCharType="end"/>
          </w:r>
          <w:r>
            <w:rPr>
              <w:rFonts w:hint="default" w:ascii="Times New Roman" w:hAnsi="Times New Roman" w:cs="Times New Roman"/>
              <w:color w:val="auto"/>
              <w:highlight w:val="yellow"/>
            </w:rPr>
            <w:fldChar w:fldCharType="end"/>
          </w:r>
        </w:p>
        <w:p>
          <w:pPr>
            <w:pStyle w:val="32"/>
            <w:tabs>
              <w:tab w:val="right" w:leader="dot" w:pos="8578"/>
              <w:tab w:val="clear" w:pos="840"/>
              <w:tab w:val="clear" w:pos="8568"/>
            </w:tabs>
            <w:rPr>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_Toc31872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szCs w:val="32"/>
            </w:rPr>
            <w:t xml:space="preserve">8.1. </w:t>
          </w:r>
          <w:r>
            <w:rPr>
              <w:rFonts w:hint="default" w:ascii="Times New Roman" w:hAnsi="Times New Roman" w:cs="Times New Roman"/>
              <w:color w:val="auto"/>
              <w:highlight w:val="none"/>
            </w:rPr>
            <w:t>环境管理</w:t>
          </w:r>
          <w:r>
            <w:rPr>
              <w:color w:val="auto"/>
            </w:rPr>
            <w:tab/>
          </w:r>
          <w:r>
            <w:rPr>
              <w:color w:val="auto"/>
            </w:rPr>
            <w:fldChar w:fldCharType="begin"/>
          </w:r>
          <w:r>
            <w:rPr>
              <w:color w:val="auto"/>
            </w:rPr>
            <w:instrText xml:space="preserve"> PAGEREF _Toc31872 \h </w:instrText>
          </w:r>
          <w:r>
            <w:rPr>
              <w:color w:val="auto"/>
            </w:rPr>
            <w:fldChar w:fldCharType="separate"/>
          </w:r>
          <w:r>
            <w:rPr>
              <w:color w:val="auto"/>
            </w:rPr>
            <w:t>149</w:t>
          </w:r>
          <w:r>
            <w:rPr>
              <w:color w:val="auto"/>
            </w:rPr>
            <w:fldChar w:fldCharType="end"/>
          </w:r>
          <w:r>
            <w:rPr>
              <w:rFonts w:hint="default" w:ascii="Times New Roman" w:hAnsi="Times New Roman" w:cs="Times New Roman"/>
              <w:color w:val="auto"/>
              <w:highlight w:val="yellow"/>
            </w:rPr>
            <w:fldChar w:fldCharType="end"/>
          </w:r>
        </w:p>
        <w:p>
          <w:pPr>
            <w:pStyle w:val="32"/>
            <w:tabs>
              <w:tab w:val="right" w:leader="dot" w:pos="8578"/>
              <w:tab w:val="clear" w:pos="840"/>
              <w:tab w:val="clear" w:pos="8568"/>
            </w:tabs>
            <w:rPr>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_Toc27204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szCs w:val="32"/>
            </w:rPr>
            <w:t xml:space="preserve">8.2. </w:t>
          </w:r>
          <w:r>
            <w:rPr>
              <w:rFonts w:hint="default" w:ascii="Times New Roman" w:hAnsi="Times New Roman" w:cs="Times New Roman"/>
              <w:color w:val="auto"/>
              <w:highlight w:val="none"/>
            </w:rPr>
            <w:t>环境管理制度</w:t>
          </w:r>
          <w:r>
            <w:rPr>
              <w:color w:val="auto"/>
            </w:rPr>
            <w:tab/>
          </w:r>
          <w:r>
            <w:rPr>
              <w:color w:val="auto"/>
            </w:rPr>
            <w:fldChar w:fldCharType="begin"/>
          </w:r>
          <w:r>
            <w:rPr>
              <w:color w:val="auto"/>
            </w:rPr>
            <w:instrText xml:space="preserve"> PAGEREF _Toc27204 \h </w:instrText>
          </w:r>
          <w:r>
            <w:rPr>
              <w:color w:val="auto"/>
            </w:rPr>
            <w:fldChar w:fldCharType="separate"/>
          </w:r>
          <w:r>
            <w:rPr>
              <w:color w:val="auto"/>
            </w:rPr>
            <w:t>152</w:t>
          </w:r>
          <w:r>
            <w:rPr>
              <w:color w:val="auto"/>
            </w:rPr>
            <w:fldChar w:fldCharType="end"/>
          </w:r>
          <w:r>
            <w:rPr>
              <w:rFonts w:hint="default" w:ascii="Times New Roman" w:hAnsi="Times New Roman" w:cs="Times New Roman"/>
              <w:color w:val="auto"/>
              <w:highlight w:val="yellow"/>
            </w:rPr>
            <w:fldChar w:fldCharType="end"/>
          </w:r>
        </w:p>
        <w:p>
          <w:pPr>
            <w:pStyle w:val="32"/>
            <w:tabs>
              <w:tab w:val="right" w:leader="dot" w:pos="8578"/>
              <w:tab w:val="clear" w:pos="840"/>
              <w:tab w:val="clear" w:pos="8568"/>
            </w:tabs>
            <w:rPr>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_Toc3219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szCs w:val="32"/>
            </w:rPr>
            <w:t xml:space="preserve">8.3. </w:t>
          </w:r>
          <w:r>
            <w:rPr>
              <w:rFonts w:hint="default" w:ascii="Times New Roman" w:hAnsi="Times New Roman" w:cs="Times New Roman"/>
              <w:color w:val="auto"/>
              <w:highlight w:val="none"/>
            </w:rPr>
            <w:t>排污口规范化</w:t>
          </w:r>
          <w:r>
            <w:rPr>
              <w:color w:val="auto"/>
            </w:rPr>
            <w:tab/>
          </w:r>
          <w:r>
            <w:rPr>
              <w:color w:val="auto"/>
            </w:rPr>
            <w:fldChar w:fldCharType="begin"/>
          </w:r>
          <w:r>
            <w:rPr>
              <w:color w:val="auto"/>
            </w:rPr>
            <w:instrText xml:space="preserve"> PAGEREF _Toc3219 \h </w:instrText>
          </w:r>
          <w:r>
            <w:rPr>
              <w:color w:val="auto"/>
            </w:rPr>
            <w:fldChar w:fldCharType="separate"/>
          </w:r>
          <w:r>
            <w:rPr>
              <w:color w:val="auto"/>
            </w:rPr>
            <w:t>154</w:t>
          </w:r>
          <w:r>
            <w:rPr>
              <w:color w:val="auto"/>
            </w:rPr>
            <w:fldChar w:fldCharType="end"/>
          </w:r>
          <w:r>
            <w:rPr>
              <w:rFonts w:hint="default" w:ascii="Times New Roman" w:hAnsi="Times New Roman" w:cs="Times New Roman"/>
              <w:color w:val="auto"/>
              <w:highlight w:val="yellow"/>
            </w:rPr>
            <w:fldChar w:fldCharType="end"/>
          </w:r>
        </w:p>
        <w:p>
          <w:pPr>
            <w:pStyle w:val="32"/>
            <w:tabs>
              <w:tab w:val="right" w:leader="dot" w:pos="8578"/>
              <w:tab w:val="clear" w:pos="840"/>
              <w:tab w:val="clear" w:pos="8568"/>
            </w:tabs>
            <w:rPr>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_Toc7812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szCs w:val="32"/>
            </w:rPr>
            <w:t xml:space="preserve">8.4. </w:t>
          </w:r>
          <w:r>
            <w:rPr>
              <w:rFonts w:hint="default" w:ascii="Times New Roman" w:hAnsi="Times New Roman" w:cs="Times New Roman"/>
              <w:color w:val="auto"/>
              <w:highlight w:val="none"/>
            </w:rPr>
            <w:t>污染物排放清单</w:t>
          </w:r>
          <w:r>
            <w:rPr>
              <w:color w:val="auto"/>
            </w:rPr>
            <w:tab/>
          </w:r>
          <w:r>
            <w:rPr>
              <w:color w:val="auto"/>
            </w:rPr>
            <w:fldChar w:fldCharType="begin"/>
          </w:r>
          <w:r>
            <w:rPr>
              <w:color w:val="auto"/>
            </w:rPr>
            <w:instrText xml:space="preserve"> PAGEREF _Toc7812 \h </w:instrText>
          </w:r>
          <w:r>
            <w:rPr>
              <w:color w:val="auto"/>
            </w:rPr>
            <w:fldChar w:fldCharType="separate"/>
          </w:r>
          <w:r>
            <w:rPr>
              <w:color w:val="auto"/>
            </w:rPr>
            <w:t>155</w:t>
          </w:r>
          <w:r>
            <w:rPr>
              <w:color w:val="auto"/>
            </w:rPr>
            <w:fldChar w:fldCharType="end"/>
          </w:r>
          <w:r>
            <w:rPr>
              <w:rFonts w:hint="default" w:ascii="Times New Roman" w:hAnsi="Times New Roman" w:cs="Times New Roman"/>
              <w:color w:val="auto"/>
              <w:highlight w:val="yellow"/>
            </w:rPr>
            <w:fldChar w:fldCharType="end"/>
          </w:r>
        </w:p>
        <w:p>
          <w:pPr>
            <w:pStyle w:val="32"/>
            <w:tabs>
              <w:tab w:val="right" w:leader="dot" w:pos="8578"/>
              <w:tab w:val="clear" w:pos="840"/>
              <w:tab w:val="clear" w:pos="8568"/>
            </w:tabs>
            <w:rPr>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_Toc2822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szCs w:val="32"/>
            </w:rPr>
            <w:t xml:space="preserve">8.5. </w:t>
          </w:r>
          <w:r>
            <w:rPr>
              <w:rFonts w:hint="default" w:ascii="Times New Roman" w:hAnsi="Times New Roman" w:cs="Times New Roman"/>
              <w:color w:val="auto"/>
              <w:highlight w:val="none"/>
            </w:rPr>
            <w:t>环境监测</w:t>
          </w:r>
          <w:r>
            <w:rPr>
              <w:color w:val="auto"/>
            </w:rPr>
            <w:tab/>
          </w:r>
          <w:r>
            <w:rPr>
              <w:color w:val="auto"/>
            </w:rPr>
            <w:fldChar w:fldCharType="begin"/>
          </w:r>
          <w:r>
            <w:rPr>
              <w:color w:val="auto"/>
            </w:rPr>
            <w:instrText xml:space="preserve"> PAGEREF _Toc2822 \h </w:instrText>
          </w:r>
          <w:r>
            <w:rPr>
              <w:color w:val="auto"/>
            </w:rPr>
            <w:fldChar w:fldCharType="separate"/>
          </w:r>
          <w:r>
            <w:rPr>
              <w:color w:val="auto"/>
            </w:rPr>
            <w:t>155</w:t>
          </w:r>
          <w:r>
            <w:rPr>
              <w:color w:val="auto"/>
            </w:rPr>
            <w:fldChar w:fldCharType="end"/>
          </w:r>
          <w:r>
            <w:rPr>
              <w:rFonts w:hint="default" w:ascii="Times New Roman" w:hAnsi="Times New Roman" w:cs="Times New Roman"/>
              <w:color w:val="auto"/>
              <w:highlight w:val="yellow"/>
            </w:rPr>
            <w:fldChar w:fldCharType="end"/>
          </w:r>
        </w:p>
        <w:p>
          <w:pPr>
            <w:pStyle w:val="32"/>
            <w:tabs>
              <w:tab w:val="right" w:leader="dot" w:pos="8578"/>
              <w:tab w:val="clear" w:pos="840"/>
              <w:tab w:val="clear" w:pos="8568"/>
            </w:tabs>
            <w:rPr>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_Toc30640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szCs w:val="32"/>
            </w:rPr>
            <w:t xml:space="preserve">8.6. </w:t>
          </w:r>
          <w:r>
            <w:rPr>
              <w:rFonts w:hint="default" w:ascii="Times New Roman" w:hAnsi="Times New Roman" w:cs="Times New Roman"/>
              <w:color w:val="auto"/>
              <w:highlight w:val="none"/>
            </w:rPr>
            <w:t>竣工验收管理</w:t>
          </w:r>
          <w:r>
            <w:rPr>
              <w:color w:val="auto"/>
            </w:rPr>
            <w:tab/>
          </w:r>
          <w:r>
            <w:rPr>
              <w:color w:val="auto"/>
            </w:rPr>
            <w:fldChar w:fldCharType="begin"/>
          </w:r>
          <w:r>
            <w:rPr>
              <w:color w:val="auto"/>
            </w:rPr>
            <w:instrText xml:space="preserve"> PAGEREF _Toc30640 \h </w:instrText>
          </w:r>
          <w:r>
            <w:rPr>
              <w:color w:val="auto"/>
            </w:rPr>
            <w:fldChar w:fldCharType="separate"/>
          </w:r>
          <w:r>
            <w:rPr>
              <w:color w:val="auto"/>
            </w:rPr>
            <w:t>159</w:t>
          </w:r>
          <w:r>
            <w:rPr>
              <w:color w:val="auto"/>
            </w:rPr>
            <w:fldChar w:fldCharType="end"/>
          </w:r>
          <w:r>
            <w:rPr>
              <w:rFonts w:hint="default" w:ascii="Times New Roman" w:hAnsi="Times New Roman" w:cs="Times New Roman"/>
              <w:color w:val="auto"/>
              <w:highlight w:val="yellow"/>
            </w:rPr>
            <w:fldChar w:fldCharType="end"/>
          </w:r>
        </w:p>
        <w:p>
          <w:pPr>
            <w:pStyle w:val="27"/>
            <w:tabs>
              <w:tab w:val="right" w:leader="dot" w:pos="8578"/>
            </w:tabs>
            <w:rPr>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_Toc3980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rPr>
            <w:t xml:space="preserve">9. </w:t>
          </w:r>
          <w:r>
            <w:rPr>
              <w:rFonts w:hint="default" w:ascii="Times New Roman" w:hAnsi="Times New Roman" w:cs="Times New Roman"/>
              <w:color w:val="auto"/>
              <w:highlight w:val="none"/>
            </w:rPr>
            <w:t>环境影响评价结论</w:t>
          </w:r>
          <w:r>
            <w:rPr>
              <w:color w:val="auto"/>
            </w:rPr>
            <w:tab/>
          </w:r>
          <w:r>
            <w:rPr>
              <w:color w:val="auto"/>
            </w:rPr>
            <w:fldChar w:fldCharType="begin"/>
          </w:r>
          <w:r>
            <w:rPr>
              <w:color w:val="auto"/>
            </w:rPr>
            <w:instrText xml:space="preserve"> PAGEREF _Toc3980 \h </w:instrText>
          </w:r>
          <w:r>
            <w:rPr>
              <w:color w:val="auto"/>
            </w:rPr>
            <w:fldChar w:fldCharType="separate"/>
          </w:r>
          <w:r>
            <w:rPr>
              <w:color w:val="auto"/>
            </w:rPr>
            <w:t>163</w:t>
          </w:r>
          <w:r>
            <w:rPr>
              <w:color w:val="auto"/>
            </w:rPr>
            <w:fldChar w:fldCharType="end"/>
          </w:r>
          <w:r>
            <w:rPr>
              <w:rFonts w:hint="default" w:ascii="Times New Roman" w:hAnsi="Times New Roman" w:cs="Times New Roman"/>
              <w:color w:val="auto"/>
              <w:highlight w:val="yellow"/>
            </w:rPr>
            <w:fldChar w:fldCharType="end"/>
          </w:r>
        </w:p>
        <w:p>
          <w:pPr>
            <w:pStyle w:val="32"/>
            <w:tabs>
              <w:tab w:val="right" w:leader="dot" w:pos="8578"/>
              <w:tab w:val="clear" w:pos="840"/>
              <w:tab w:val="clear" w:pos="8568"/>
            </w:tabs>
            <w:rPr>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_Toc4383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szCs w:val="32"/>
            </w:rPr>
            <w:t xml:space="preserve">9.1. </w:t>
          </w:r>
          <w:r>
            <w:rPr>
              <w:rFonts w:hint="default" w:ascii="Times New Roman" w:hAnsi="Times New Roman" w:cs="Times New Roman"/>
              <w:color w:val="auto"/>
              <w:highlight w:val="none"/>
            </w:rPr>
            <w:t>评价结论</w:t>
          </w:r>
          <w:r>
            <w:rPr>
              <w:color w:val="auto"/>
            </w:rPr>
            <w:tab/>
          </w:r>
          <w:r>
            <w:rPr>
              <w:color w:val="auto"/>
            </w:rPr>
            <w:fldChar w:fldCharType="begin"/>
          </w:r>
          <w:r>
            <w:rPr>
              <w:color w:val="auto"/>
            </w:rPr>
            <w:instrText xml:space="preserve"> PAGEREF _Toc4383 \h </w:instrText>
          </w:r>
          <w:r>
            <w:rPr>
              <w:color w:val="auto"/>
            </w:rPr>
            <w:fldChar w:fldCharType="separate"/>
          </w:r>
          <w:r>
            <w:rPr>
              <w:color w:val="auto"/>
            </w:rPr>
            <w:t>163</w:t>
          </w:r>
          <w:r>
            <w:rPr>
              <w:color w:val="auto"/>
            </w:rPr>
            <w:fldChar w:fldCharType="end"/>
          </w:r>
          <w:r>
            <w:rPr>
              <w:rFonts w:hint="default" w:ascii="Times New Roman" w:hAnsi="Times New Roman" w:cs="Times New Roman"/>
              <w:color w:val="auto"/>
              <w:highlight w:val="yellow"/>
            </w:rPr>
            <w:fldChar w:fldCharType="end"/>
          </w:r>
        </w:p>
        <w:p>
          <w:pPr>
            <w:pStyle w:val="32"/>
            <w:tabs>
              <w:tab w:val="right" w:leader="dot" w:pos="8578"/>
              <w:tab w:val="clear" w:pos="840"/>
              <w:tab w:val="clear" w:pos="8568"/>
            </w:tabs>
            <w:rPr>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_Toc18660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szCs w:val="32"/>
            </w:rPr>
            <w:t xml:space="preserve">9.2. </w:t>
          </w:r>
          <w:r>
            <w:rPr>
              <w:rFonts w:hint="default" w:ascii="Times New Roman" w:hAnsi="Times New Roman" w:cs="Times New Roman"/>
              <w:color w:val="auto"/>
              <w:highlight w:val="none"/>
            </w:rPr>
            <w:t>建议</w:t>
          </w:r>
          <w:r>
            <w:rPr>
              <w:color w:val="auto"/>
            </w:rPr>
            <w:tab/>
          </w:r>
          <w:r>
            <w:rPr>
              <w:color w:val="auto"/>
            </w:rPr>
            <w:fldChar w:fldCharType="begin"/>
          </w:r>
          <w:r>
            <w:rPr>
              <w:color w:val="auto"/>
            </w:rPr>
            <w:instrText xml:space="preserve"> PAGEREF _Toc18660 \h </w:instrText>
          </w:r>
          <w:r>
            <w:rPr>
              <w:color w:val="auto"/>
            </w:rPr>
            <w:fldChar w:fldCharType="separate"/>
          </w:r>
          <w:r>
            <w:rPr>
              <w:color w:val="auto"/>
            </w:rPr>
            <w:t>167</w:t>
          </w:r>
          <w:r>
            <w:rPr>
              <w:color w:val="auto"/>
            </w:rPr>
            <w:fldChar w:fldCharType="end"/>
          </w:r>
          <w:r>
            <w:rPr>
              <w:rFonts w:hint="default" w:ascii="Times New Roman" w:hAnsi="Times New Roman" w:cs="Times New Roman"/>
              <w:color w:val="auto"/>
              <w:highlight w:val="yellow"/>
            </w:rPr>
            <w:fldChar w:fldCharType="end"/>
          </w:r>
        </w:p>
        <w:p>
          <w:pPr>
            <w:pageBreakBefore w:val="0"/>
            <w:wordWrap/>
            <w:bidi w:val="0"/>
            <w:adjustRightInd w:val="0"/>
            <w:ind w:left="0" w:leftChars="0" w:right="0" w:rightChars="0" w:firstLine="480"/>
            <w:rPr>
              <w:rFonts w:hint="default" w:ascii="Times New Roman" w:hAnsi="Times New Roman" w:cs="Times New Roman"/>
              <w:color w:val="auto"/>
              <w:highlight w:val="yellow"/>
            </w:rPr>
          </w:pPr>
          <w:r>
            <w:rPr>
              <w:rFonts w:hint="default" w:ascii="Times New Roman" w:hAnsi="Times New Roman" w:cs="Times New Roman"/>
              <w:color w:val="auto"/>
              <w:highlight w:val="yellow"/>
            </w:rPr>
            <w:fldChar w:fldCharType="end"/>
          </w:r>
        </w:p>
      </w:sdtContent>
    </w:sdt>
    <w:p>
      <w:pPr>
        <w:pageBreakBefore w:val="0"/>
        <w:wordWrap/>
        <w:bidi w:val="0"/>
        <w:adjustRightInd w:val="0"/>
        <w:ind w:left="0" w:leftChars="0" w:right="0" w:rightChars="0" w:firstLine="480"/>
        <w:rPr>
          <w:rFonts w:hint="default" w:ascii="Times New Roman" w:hAnsi="Times New Roman" w:cs="Times New Roman"/>
          <w:color w:val="auto"/>
          <w:highlight w:val="yellow"/>
        </w:rPr>
      </w:pP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附件：</w:t>
      </w:r>
    </w:p>
    <w:p>
      <w:pPr>
        <w:pageBreakBefore w:val="0"/>
        <w:wordWrap/>
        <w:bidi w:val="0"/>
        <w:adjustRightInd w:val="0"/>
        <w:ind w:left="0" w:leftChars="0" w:right="0" w:rightChars="0" w:firstLine="480"/>
        <w:rPr>
          <w:rFonts w:hint="default" w:ascii="Times New Roman" w:hAnsi="Times New Roman" w:cs="Times New Roman"/>
          <w:color w:val="auto"/>
          <w:highlight w:val="none"/>
        </w:rPr>
      </w:pPr>
      <w:bookmarkStart w:id="14" w:name="_Toc10138"/>
      <w:bookmarkStart w:id="15" w:name="_Toc32202"/>
      <w:bookmarkStart w:id="16" w:name="_Toc12456"/>
      <w:bookmarkStart w:id="17" w:name="_Toc14045"/>
      <w:bookmarkStart w:id="18" w:name="_Toc25420"/>
      <w:r>
        <w:rPr>
          <w:rFonts w:hint="default" w:ascii="Times New Roman" w:hAnsi="Times New Roman" w:cs="Times New Roman"/>
          <w:color w:val="auto"/>
          <w:highlight w:val="none"/>
        </w:rPr>
        <w:t xml:space="preserve">附件1 </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委托书</w:t>
      </w:r>
      <w:bookmarkEnd w:id="14"/>
      <w:bookmarkEnd w:id="15"/>
      <w:bookmarkEnd w:id="16"/>
      <w:bookmarkEnd w:id="17"/>
      <w:bookmarkEnd w:id="18"/>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附件2</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val="zh-CN" w:eastAsia="zh-CN"/>
        </w:rPr>
        <w:t>《</w:t>
      </w:r>
      <w:r>
        <w:rPr>
          <w:rFonts w:hint="eastAsia" w:cs="Times New Roman"/>
          <w:color w:val="auto"/>
          <w:highlight w:val="none"/>
          <w:lang w:val="zh-CN" w:eastAsia="zh-CN"/>
        </w:rPr>
        <w:t>关于&lt;塔城奶牛现代化养殖基地建设项目可行性研究报告&gt;的批复</w:t>
      </w:r>
      <w:r>
        <w:rPr>
          <w:rFonts w:hint="default" w:ascii="Times New Roman" w:hAnsi="Times New Roman" w:cs="Times New Roman"/>
          <w:color w:val="auto"/>
          <w:highlight w:val="none"/>
          <w:lang w:val="zh-CN" w:eastAsia="zh-CN"/>
        </w:rPr>
        <w:t>》（塔城地发改农经〔2023〕6号）</w:t>
      </w:r>
    </w:p>
    <w:p>
      <w:pPr>
        <w:pageBreakBefore w:val="0"/>
        <w:wordWrap/>
        <w:bidi w:val="0"/>
        <w:adjustRightInd w:val="0"/>
        <w:ind w:left="0" w:leftChars="0" w:right="0" w:rightChars="0"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zh-CN" w:eastAsia="zh-CN"/>
        </w:rPr>
        <w:t xml:space="preserve">附件3 </w:t>
      </w:r>
      <w:r>
        <w:rPr>
          <w:rFonts w:hint="default" w:ascii="Times New Roman" w:hAnsi="Times New Roman" w:cs="Times New Roman"/>
          <w:color w:val="auto"/>
          <w:highlight w:val="none"/>
          <w:lang w:val="en-US" w:eastAsia="zh-CN"/>
        </w:rPr>
        <w:t xml:space="preserve"> 塔城市地方国营土地租赁合同书</w:t>
      </w:r>
    </w:p>
    <w:p>
      <w:pPr>
        <w:pageBreakBefore w:val="0"/>
        <w:wordWrap/>
        <w:bidi w:val="0"/>
        <w:adjustRightInd w:val="0"/>
        <w:ind w:left="0" w:leftChars="0" w:right="0" w:rightChars="0"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附件4  检测报告</w:t>
      </w:r>
    </w:p>
    <w:p>
      <w:pPr>
        <w:pageBreakBefore w:val="0"/>
        <w:wordWrap/>
        <w:bidi w:val="0"/>
        <w:adjustRightInd w:val="0"/>
        <w:ind w:left="0" w:leftChars="0" w:right="0" w:rightChars="0" w:firstLine="480"/>
        <w:rPr>
          <w:rFonts w:hint="default"/>
          <w:color w:val="auto"/>
          <w:lang w:val="en-US" w:eastAsia="zh-CN"/>
        </w:rPr>
      </w:pPr>
      <w:r>
        <w:rPr>
          <w:rFonts w:hint="default" w:ascii="Times New Roman" w:hAnsi="Times New Roman" w:cs="Times New Roman"/>
          <w:color w:val="auto"/>
        </w:rPr>
        <w:t>附件5  征收使用草原审核同意书</w:t>
      </w:r>
      <w:r>
        <w:rPr>
          <w:rFonts w:hint="eastAsia"/>
          <w:color w:val="auto"/>
          <w:lang w:eastAsia="zh-CN"/>
        </w:rPr>
        <w:t>（</w:t>
      </w:r>
      <w:r>
        <w:rPr>
          <w:rFonts w:hint="eastAsia"/>
          <w:color w:val="auto"/>
          <w:lang w:val="en-US" w:eastAsia="zh-CN"/>
        </w:rPr>
        <w:t>新林草许准（塔）〔2023〕81号、新林草许准（塔）〔2023〕82号）</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8"/>
        <w:gridCol w:w="4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1" w:hRule="atLeast"/>
        </w:trPr>
        <w:tc>
          <w:tcPr>
            <w:tcW w:w="4368" w:type="dxa"/>
            <w:noWrap w:val="0"/>
            <w:vAlign w:val="top"/>
          </w:tcPr>
          <w:p>
            <w:pPr>
              <w:pageBreakBefore w:val="0"/>
              <w:wordWrap/>
              <w:bidi w:val="0"/>
              <w:adjustRightInd w:val="0"/>
              <w:spacing w:line="240" w:lineRule="auto"/>
              <w:ind w:left="0" w:leftChars="0" w:right="0" w:rightChars="0" w:firstLine="0" w:firstLineChars="0"/>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eastAsia="zh-CN"/>
              </w:rPr>
              <w:drawing>
                <wp:inline distT="0" distB="0" distL="114300" distR="114300">
                  <wp:extent cx="1950085" cy="2656840"/>
                  <wp:effectExtent l="0" t="0" r="10160" b="12065"/>
                  <wp:docPr id="49" name="图片 49" descr="IMG_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IMG_1497"/>
                          <pic:cNvPicPr>
                            <a:picLocks noChangeAspect="1"/>
                          </pic:cNvPicPr>
                        </pic:nvPicPr>
                        <pic:blipFill>
                          <a:blip r:embed="rId18"/>
                          <a:srcRect r="20993"/>
                          <a:stretch>
                            <a:fillRect/>
                          </a:stretch>
                        </pic:blipFill>
                        <pic:spPr>
                          <a:xfrm rot="5400000">
                            <a:off x="0" y="0"/>
                            <a:ext cx="1950085" cy="2656840"/>
                          </a:xfrm>
                          <a:prstGeom prst="rect">
                            <a:avLst/>
                          </a:prstGeom>
                        </pic:spPr>
                      </pic:pic>
                    </a:graphicData>
                  </a:graphic>
                </wp:inline>
              </w:drawing>
            </w:r>
          </w:p>
        </w:tc>
        <w:tc>
          <w:tcPr>
            <w:tcW w:w="4426" w:type="dxa"/>
            <w:noWrap w:val="0"/>
            <w:vAlign w:val="top"/>
          </w:tcPr>
          <w:p>
            <w:pPr>
              <w:pageBreakBefore w:val="0"/>
              <w:wordWrap/>
              <w:bidi w:val="0"/>
              <w:adjustRightInd w:val="0"/>
              <w:spacing w:line="240" w:lineRule="auto"/>
              <w:ind w:left="0" w:leftChars="0" w:right="0" w:rightChars="0" w:firstLine="0" w:firstLineChars="0"/>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eastAsia="zh-CN"/>
              </w:rPr>
              <w:drawing>
                <wp:inline distT="0" distB="0" distL="114300" distR="114300">
                  <wp:extent cx="2712720" cy="1945640"/>
                  <wp:effectExtent l="0" t="0" r="11430" b="16510"/>
                  <wp:docPr id="50" name="图片 50" descr="IMG_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IMG_1498"/>
                          <pic:cNvPicPr>
                            <a:picLocks noChangeAspect="1"/>
                          </pic:cNvPicPr>
                        </pic:nvPicPr>
                        <pic:blipFill>
                          <a:blip r:embed="rId19"/>
                          <a:stretch>
                            <a:fillRect/>
                          </a:stretch>
                        </pic:blipFill>
                        <pic:spPr>
                          <a:xfrm>
                            <a:off x="0" y="0"/>
                            <a:ext cx="2712720" cy="19456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4368" w:type="dxa"/>
            <w:noWrap w:val="0"/>
            <w:vAlign w:val="top"/>
          </w:tcPr>
          <w:p>
            <w:pPr>
              <w:pageBreakBefore w:val="0"/>
              <w:wordWrap/>
              <w:bidi w:val="0"/>
              <w:adjustRightInd w:val="0"/>
              <w:spacing w:line="240" w:lineRule="auto"/>
              <w:ind w:left="0" w:leftChars="0" w:right="0" w:rightChars="0" w:firstLine="0" w:firstLineChars="0"/>
              <w:jc w:val="center"/>
              <w:rPr>
                <w:rFonts w:hint="default" w:ascii="Times New Roman" w:hAnsi="Times New Roman" w:eastAsia="宋体" w:cs="Times New Roman"/>
                <w:b/>
                <w:bCs/>
                <w:color w:val="auto"/>
                <w:highlight w:val="none"/>
                <w:lang w:eastAsia="zh-CN"/>
              </w:rPr>
            </w:pPr>
            <w:r>
              <w:rPr>
                <w:rFonts w:hint="default" w:ascii="Times New Roman" w:hAnsi="Times New Roman" w:cs="Times New Roman"/>
                <w:b/>
                <w:bCs/>
                <w:color w:val="auto"/>
                <w:highlight w:val="none"/>
                <w:lang w:val="en-US" w:eastAsia="zh-CN"/>
              </w:rPr>
              <w:t>项目区</w:t>
            </w:r>
          </w:p>
        </w:tc>
        <w:tc>
          <w:tcPr>
            <w:tcW w:w="4426" w:type="dxa"/>
            <w:noWrap w:val="0"/>
            <w:vAlign w:val="top"/>
          </w:tcPr>
          <w:p>
            <w:pPr>
              <w:pageBreakBefore w:val="0"/>
              <w:wordWrap/>
              <w:bidi w:val="0"/>
              <w:adjustRightInd w:val="0"/>
              <w:spacing w:line="240" w:lineRule="auto"/>
              <w:ind w:left="0" w:leftChars="0" w:right="0" w:rightChars="0" w:firstLine="0" w:firstLineChars="0"/>
              <w:jc w:val="center"/>
              <w:rPr>
                <w:rFonts w:hint="default" w:ascii="Times New Roman" w:hAnsi="Times New Roman" w:eastAsia="宋体" w:cs="Times New Roman"/>
                <w:b/>
                <w:bCs/>
                <w:color w:val="auto"/>
                <w:highlight w:val="none"/>
                <w:lang w:eastAsia="zh-CN"/>
              </w:rPr>
            </w:pPr>
            <w:r>
              <w:rPr>
                <w:rFonts w:hint="default" w:ascii="Times New Roman" w:hAnsi="Times New Roman" w:cs="Times New Roman"/>
                <w:b/>
                <w:bCs/>
                <w:color w:val="auto"/>
                <w:highlight w:val="none"/>
                <w:lang w:val="en-US" w:eastAsia="zh-CN"/>
              </w:rPr>
              <w:t>项目区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8" w:type="dxa"/>
            <w:noWrap w:val="0"/>
            <w:vAlign w:val="top"/>
          </w:tcPr>
          <w:p>
            <w:pPr>
              <w:pageBreakBefore w:val="0"/>
              <w:wordWrap/>
              <w:bidi w:val="0"/>
              <w:adjustRightInd w:val="0"/>
              <w:spacing w:line="240" w:lineRule="auto"/>
              <w:ind w:left="0" w:leftChars="0" w:right="0" w:rightChars="0" w:firstLine="0" w:firstLineChars="0"/>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eastAsia="zh-CN"/>
              </w:rPr>
              <w:drawing>
                <wp:inline distT="0" distB="0" distL="114300" distR="114300">
                  <wp:extent cx="1726565" cy="2703830"/>
                  <wp:effectExtent l="0" t="0" r="1270" b="6985"/>
                  <wp:docPr id="63" name="图片 63" descr="IMG_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IMG_1500"/>
                          <pic:cNvPicPr>
                            <a:picLocks noChangeAspect="1"/>
                          </pic:cNvPicPr>
                        </pic:nvPicPr>
                        <pic:blipFill>
                          <a:blip r:embed="rId20"/>
                          <a:stretch>
                            <a:fillRect/>
                          </a:stretch>
                        </pic:blipFill>
                        <pic:spPr>
                          <a:xfrm rot="5400000">
                            <a:off x="0" y="0"/>
                            <a:ext cx="1726565" cy="2703830"/>
                          </a:xfrm>
                          <a:prstGeom prst="rect">
                            <a:avLst/>
                          </a:prstGeom>
                        </pic:spPr>
                      </pic:pic>
                    </a:graphicData>
                  </a:graphic>
                </wp:inline>
              </w:drawing>
            </w:r>
          </w:p>
        </w:tc>
        <w:tc>
          <w:tcPr>
            <w:tcW w:w="4426" w:type="dxa"/>
            <w:noWrap w:val="0"/>
            <w:vAlign w:val="top"/>
          </w:tcPr>
          <w:p>
            <w:pPr>
              <w:pageBreakBefore w:val="0"/>
              <w:wordWrap/>
              <w:bidi w:val="0"/>
              <w:adjustRightInd w:val="0"/>
              <w:spacing w:line="240" w:lineRule="auto"/>
              <w:ind w:left="0" w:leftChars="0" w:right="0" w:rightChars="0" w:firstLine="0" w:firstLineChars="0"/>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eastAsia="zh-CN"/>
              </w:rPr>
              <w:drawing>
                <wp:inline distT="0" distB="0" distL="114300" distR="114300">
                  <wp:extent cx="1777365" cy="2702560"/>
                  <wp:effectExtent l="0" t="0" r="2540" b="13335"/>
                  <wp:docPr id="69" name="图片 69" descr="IMG_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IMG_1504"/>
                          <pic:cNvPicPr>
                            <a:picLocks noChangeAspect="1"/>
                          </pic:cNvPicPr>
                        </pic:nvPicPr>
                        <pic:blipFill>
                          <a:blip r:embed="rId21"/>
                          <a:stretch>
                            <a:fillRect/>
                          </a:stretch>
                        </pic:blipFill>
                        <pic:spPr>
                          <a:xfrm rot="5400000">
                            <a:off x="0" y="0"/>
                            <a:ext cx="1777365" cy="27025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8" w:type="dxa"/>
            <w:noWrap w:val="0"/>
            <w:vAlign w:val="top"/>
          </w:tcPr>
          <w:p>
            <w:pPr>
              <w:pageBreakBefore w:val="0"/>
              <w:wordWrap/>
              <w:bidi w:val="0"/>
              <w:adjustRightInd w:val="0"/>
              <w:spacing w:line="240" w:lineRule="auto"/>
              <w:ind w:left="0" w:leftChars="0" w:right="0" w:rightChars="0"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项目区</w:t>
            </w:r>
            <w:r>
              <w:rPr>
                <w:rFonts w:hint="eastAsia" w:cs="Times New Roman"/>
                <w:b/>
                <w:bCs/>
                <w:color w:val="auto"/>
                <w:highlight w:val="none"/>
                <w:lang w:val="en-US" w:eastAsia="zh-CN"/>
              </w:rPr>
              <w:t>东侧道路</w:t>
            </w:r>
          </w:p>
        </w:tc>
        <w:tc>
          <w:tcPr>
            <w:tcW w:w="4426" w:type="dxa"/>
            <w:noWrap w:val="0"/>
            <w:vAlign w:val="top"/>
          </w:tcPr>
          <w:p>
            <w:pPr>
              <w:pageBreakBefore w:val="0"/>
              <w:wordWrap/>
              <w:bidi w:val="0"/>
              <w:adjustRightInd w:val="0"/>
              <w:spacing w:line="240" w:lineRule="auto"/>
              <w:ind w:left="0" w:leftChars="0" w:right="0" w:rightChars="0"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项目区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8" w:type="dxa"/>
            <w:noWrap w:val="0"/>
            <w:vAlign w:val="top"/>
          </w:tcPr>
          <w:p>
            <w:pPr>
              <w:pageBreakBefore w:val="0"/>
              <w:wordWrap/>
              <w:bidi w:val="0"/>
              <w:adjustRightInd w:val="0"/>
              <w:spacing w:line="240" w:lineRule="auto"/>
              <w:ind w:left="0" w:leftChars="0" w:right="0" w:rightChars="0" w:firstLine="0" w:firstLineChars="0"/>
              <w:jc w:val="center"/>
              <w:rPr>
                <w:rFonts w:hint="default" w:ascii="Times New Roman" w:hAnsi="Times New Roman" w:cs="Times New Roman"/>
                <w:b/>
                <w:bCs/>
                <w:color w:val="auto"/>
                <w:highlight w:val="none"/>
                <w:lang w:val="en-US" w:eastAsia="zh-CN"/>
              </w:rPr>
            </w:pPr>
            <w:bookmarkStart w:id="19" w:name="_Toc23422"/>
            <w:bookmarkStart w:id="20" w:name="_Toc16059"/>
            <w:bookmarkStart w:id="21" w:name="_Toc17961"/>
            <w:bookmarkStart w:id="22" w:name="_Toc22146"/>
            <w:bookmarkStart w:id="23" w:name="_Toc15767"/>
            <w:bookmarkStart w:id="24" w:name="_Toc9164"/>
            <w:r>
              <w:rPr>
                <w:color w:val="auto"/>
              </w:rPr>
              <w:drawing>
                <wp:inline distT="0" distB="0" distL="114300" distR="114300">
                  <wp:extent cx="2630170" cy="2098040"/>
                  <wp:effectExtent l="0" t="0" r="17780" b="16510"/>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22"/>
                          <a:stretch>
                            <a:fillRect/>
                          </a:stretch>
                        </pic:blipFill>
                        <pic:spPr>
                          <a:xfrm>
                            <a:off x="0" y="0"/>
                            <a:ext cx="2630170" cy="2098040"/>
                          </a:xfrm>
                          <a:prstGeom prst="rect">
                            <a:avLst/>
                          </a:prstGeom>
                          <a:noFill/>
                          <a:ln>
                            <a:noFill/>
                          </a:ln>
                        </pic:spPr>
                      </pic:pic>
                    </a:graphicData>
                  </a:graphic>
                </wp:inline>
              </w:drawing>
            </w:r>
          </w:p>
        </w:tc>
        <w:tc>
          <w:tcPr>
            <w:tcW w:w="4426" w:type="dxa"/>
            <w:noWrap w:val="0"/>
            <w:vAlign w:val="top"/>
          </w:tcPr>
          <w:p>
            <w:pPr>
              <w:pageBreakBefore w:val="0"/>
              <w:wordWrap/>
              <w:bidi w:val="0"/>
              <w:adjustRightInd w:val="0"/>
              <w:spacing w:line="240" w:lineRule="auto"/>
              <w:ind w:left="0" w:leftChars="0" w:right="0" w:rightChars="0" w:firstLine="0" w:firstLineChars="0"/>
              <w:jc w:val="center"/>
              <w:rPr>
                <w:rFonts w:hint="default" w:ascii="Times New Roman" w:hAnsi="Times New Roman" w:cs="Times New Roman"/>
                <w:b/>
                <w:bCs/>
                <w:color w:val="auto"/>
                <w:highlight w:val="none"/>
                <w:lang w:val="en-US" w:eastAsia="zh-CN"/>
              </w:rPr>
            </w:pPr>
            <w:r>
              <w:rPr>
                <w:color w:val="auto"/>
              </w:rPr>
              <w:drawing>
                <wp:inline distT="0" distB="0" distL="114300" distR="114300">
                  <wp:extent cx="2666365" cy="2087880"/>
                  <wp:effectExtent l="0" t="0" r="635" b="7620"/>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23"/>
                          <a:stretch>
                            <a:fillRect/>
                          </a:stretch>
                        </pic:blipFill>
                        <pic:spPr>
                          <a:xfrm>
                            <a:off x="0" y="0"/>
                            <a:ext cx="2666365" cy="20878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8" w:type="dxa"/>
            <w:noWrap w:val="0"/>
            <w:vAlign w:val="top"/>
          </w:tcPr>
          <w:p>
            <w:pPr>
              <w:pageBreakBefore w:val="0"/>
              <w:wordWrap/>
              <w:bidi w:val="0"/>
              <w:adjustRightInd w:val="0"/>
              <w:spacing w:line="240" w:lineRule="auto"/>
              <w:ind w:left="0" w:leftChars="0" w:right="0" w:rightChars="0" w:firstLine="0" w:firstLineChars="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项目区</w:t>
            </w:r>
          </w:p>
        </w:tc>
        <w:tc>
          <w:tcPr>
            <w:tcW w:w="4426" w:type="dxa"/>
            <w:noWrap w:val="0"/>
            <w:vAlign w:val="top"/>
          </w:tcPr>
          <w:p>
            <w:pPr>
              <w:pageBreakBefore w:val="0"/>
              <w:wordWrap/>
              <w:bidi w:val="0"/>
              <w:adjustRightInd w:val="0"/>
              <w:spacing w:line="240" w:lineRule="auto"/>
              <w:ind w:left="0" w:leftChars="0" w:right="0" w:rightChars="0" w:firstLine="0" w:firstLineChars="0"/>
              <w:jc w:val="center"/>
              <w:rPr>
                <w:rFonts w:hint="default" w:ascii="Times New Roman" w:hAnsi="Times New Roman" w:cs="Times New Roman"/>
                <w:b/>
                <w:bCs/>
                <w:color w:val="auto"/>
                <w:highlight w:val="none"/>
                <w:lang w:val="en-US" w:eastAsia="zh-CN"/>
              </w:rPr>
            </w:pPr>
            <w:r>
              <w:rPr>
                <w:rFonts w:hint="eastAsia" w:cs="Times New Roman"/>
                <w:b/>
                <w:bCs/>
                <w:color w:val="auto"/>
                <w:highlight w:val="none"/>
                <w:lang w:val="en-US" w:eastAsia="zh-CN"/>
              </w:rPr>
              <w:t>项目区北侧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5" w:hRule="atLeast"/>
        </w:trPr>
        <w:tc>
          <w:tcPr>
            <w:tcW w:w="4368" w:type="dxa"/>
            <w:noWrap w:val="0"/>
            <w:vAlign w:val="top"/>
          </w:tcPr>
          <w:p>
            <w:pPr>
              <w:pageBreakBefore w:val="0"/>
              <w:wordWrap/>
              <w:bidi w:val="0"/>
              <w:adjustRightInd w:val="0"/>
              <w:spacing w:line="240" w:lineRule="auto"/>
              <w:ind w:left="0" w:leftChars="0" w:right="0" w:rightChars="0" w:firstLine="0" w:firstLineChars="0"/>
              <w:jc w:val="center"/>
              <w:rPr>
                <w:rFonts w:hint="default" w:ascii="Times New Roman" w:hAnsi="Times New Roman" w:cs="Times New Roman"/>
                <w:b/>
                <w:bCs/>
                <w:color w:val="auto"/>
                <w:highlight w:val="none"/>
                <w:lang w:val="en-US" w:eastAsia="zh-CN"/>
              </w:rPr>
            </w:pPr>
            <w:r>
              <w:rPr>
                <w:color w:val="auto"/>
              </w:rPr>
              <w:drawing>
                <wp:inline distT="0" distB="0" distL="114300" distR="114300">
                  <wp:extent cx="2632075" cy="1607820"/>
                  <wp:effectExtent l="0" t="0" r="15875" b="11430"/>
                  <wp:docPr id="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pic:cNvPicPr>
                            <a:picLocks noChangeAspect="1"/>
                          </pic:cNvPicPr>
                        </pic:nvPicPr>
                        <pic:blipFill>
                          <a:blip r:embed="rId24"/>
                          <a:stretch>
                            <a:fillRect/>
                          </a:stretch>
                        </pic:blipFill>
                        <pic:spPr>
                          <a:xfrm>
                            <a:off x="0" y="0"/>
                            <a:ext cx="2632075" cy="1607820"/>
                          </a:xfrm>
                          <a:prstGeom prst="rect">
                            <a:avLst/>
                          </a:prstGeom>
                          <a:noFill/>
                          <a:ln>
                            <a:noFill/>
                          </a:ln>
                        </pic:spPr>
                      </pic:pic>
                    </a:graphicData>
                  </a:graphic>
                </wp:inline>
              </w:drawing>
            </w:r>
          </w:p>
        </w:tc>
        <w:tc>
          <w:tcPr>
            <w:tcW w:w="4426" w:type="dxa"/>
            <w:noWrap w:val="0"/>
            <w:vAlign w:val="top"/>
          </w:tcPr>
          <w:p>
            <w:pPr>
              <w:pageBreakBefore w:val="0"/>
              <w:wordWrap/>
              <w:bidi w:val="0"/>
              <w:adjustRightInd w:val="0"/>
              <w:spacing w:line="240" w:lineRule="auto"/>
              <w:ind w:left="0" w:leftChars="0" w:right="0" w:rightChars="0" w:firstLine="0" w:firstLineChars="0"/>
              <w:jc w:val="center"/>
              <w:rPr>
                <w:rFonts w:hint="eastAsia" w:cs="Times New Roman"/>
                <w:b/>
                <w:bCs/>
                <w:color w:val="auto"/>
                <w:highlight w:val="none"/>
                <w:lang w:val="en-US" w:eastAsia="zh-CN"/>
              </w:rPr>
            </w:pPr>
            <w:r>
              <w:rPr>
                <w:color w:val="auto"/>
              </w:rPr>
              <w:drawing>
                <wp:inline distT="0" distB="0" distL="114300" distR="114300">
                  <wp:extent cx="2672715" cy="1601470"/>
                  <wp:effectExtent l="0" t="0" r="13335" b="17780"/>
                  <wp:docPr id="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
                          <pic:cNvPicPr>
                            <a:picLocks noChangeAspect="1"/>
                          </pic:cNvPicPr>
                        </pic:nvPicPr>
                        <pic:blipFill>
                          <a:blip r:embed="rId25"/>
                          <a:stretch>
                            <a:fillRect/>
                          </a:stretch>
                        </pic:blipFill>
                        <pic:spPr>
                          <a:xfrm>
                            <a:off x="0" y="0"/>
                            <a:ext cx="2672715" cy="16014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8" w:type="dxa"/>
            <w:noWrap w:val="0"/>
            <w:vAlign w:val="top"/>
          </w:tcPr>
          <w:p>
            <w:pPr>
              <w:pageBreakBefore w:val="0"/>
              <w:wordWrap/>
              <w:bidi w:val="0"/>
              <w:adjustRightInd w:val="0"/>
              <w:spacing w:line="240" w:lineRule="auto"/>
              <w:ind w:left="0" w:leftChars="0" w:right="0" w:rightChars="0" w:firstLine="0" w:firstLineChars="0"/>
              <w:jc w:val="center"/>
              <w:rPr>
                <w:rFonts w:hint="default"/>
                <w:color w:val="auto"/>
                <w:lang w:val="en-US"/>
              </w:rPr>
            </w:pPr>
            <w:r>
              <w:rPr>
                <w:rFonts w:hint="default" w:ascii="Times New Roman" w:hAnsi="Times New Roman" w:cs="Times New Roman"/>
                <w:b/>
                <w:bCs/>
                <w:color w:val="auto"/>
                <w:highlight w:val="none"/>
                <w:lang w:val="en-US" w:eastAsia="zh-CN"/>
              </w:rPr>
              <w:t>项目区</w:t>
            </w:r>
            <w:r>
              <w:rPr>
                <w:rFonts w:hint="eastAsia" w:cs="Times New Roman"/>
                <w:b/>
                <w:bCs/>
                <w:color w:val="auto"/>
                <w:highlight w:val="none"/>
                <w:lang w:val="en-US" w:eastAsia="zh-CN"/>
              </w:rPr>
              <w:t>南侧空地</w:t>
            </w:r>
          </w:p>
        </w:tc>
        <w:tc>
          <w:tcPr>
            <w:tcW w:w="4426" w:type="dxa"/>
            <w:noWrap w:val="0"/>
            <w:vAlign w:val="top"/>
          </w:tcPr>
          <w:p>
            <w:pPr>
              <w:pageBreakBefore w:val="0"/>
              <w:wordWrap/>
              <w:bidi w:val="0"/>
              <w:adjustRightInd w:val="0"/>
              <w:spacing w:line="240" w:lineRule="auto"/>
              <w:ind w:left="0" w:leftChars="0" w:right="0" w:rightChars="0" w:firstLine="0" w:firstLineChars="0"/>
              <w:jc w:val="center"/>
              <w:rPr>
                <w:rFonts w:hint="default" w:cs="Times New Roman"/>
                <w:b/>
                <w:bCs/>
                <w:color w:val="auto"/>
                <w:highlight w:val="none"/>
                <w:lang w:val="en-US" w:eastAsia="zh-CN"/>
              </w:rPr>
            </w:pPr>
            <w:r>
              <w:rPr>
                <w:rFonts w:hint="default" w:ascii="Times New Roman" w:hAnsi="Times New Roman" w:cs="Times New Roman"/>
                <w:b/>
                <w:bCs/>
                <w:color w:val="auto"/>
                <w:highlight w:val="none"/>
                <w:lang w:val="en-US" w:eastAsia="zh-CN"/>
              </w:rPr>
              <w:t>项目区</w:t>
            </w:r>
            <w:r>
              <w:rPr>
                <w:rFonts w:hint="eastAsia" w:cs="Times New Roman"/>
                <w:b/>
                <w:bCs/>
                <w:color w:val="auto"/>
                <w:highlight w:val="none"/>
                <w:lang w:val="en-US" w:eastAsia="zh-CN"/>
              </w:rPr>
              <w:t>西侧空地</w:t>
            </w:r>
          </w:p>
        </w:tc>
      </w:tr>
    </w:tbl>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outlineLvl w:val="9"/>
        <w:rPr>
          <w:rFonts w:hint="default" w:ascii="Times New Roman" w:hAnsi="Times New Roman" w:cs="Times New Roman"/>
          <w:b/>
          <w:bCs/>
          <w:color w:val="auto"/>
          <w:highlight w:val="none"/>
        </w:rPr>
        <w:sectPr>
          <w:headerReference r:id="rId5" w:type="default"/>
          <w:footerReference r:id="rId6" w:type="default"/>
          <w:pgSz w:w="11906" w:h="16838"/>
          <w:pgMar w:top="1440" w:right="1531" w:bottom="1440" w:left="1797" w:header="851" w:footer="992" w:gutter="0"/>
          <w:pgBorders>
            <w:top w:val="none" w:sz="0" w:space="0"/>
            <w:left w:val="none" w:sz="0" w:space="0"/>
            <w:bottom w:val="none" w:sz="0" w:space="0"/>
            <w:right w:val="none" w:sz="0" w:space="0"/>
          </w:pgBorders>
          <w:pgNumType w:fmt="lowerRoman" w:start="1"/>
          <w:cols w:space="720" w:num="1"/>
          <w:docGrid w:type="linesAndChars" w:linePitch="312" w:charSpace="0"/>
        </w:sectPr>
      </w:pPr>
      <w:r>
        <w:rPr>
          <w:rFonts w:hint="default" w:ascii="Times New Roman" w:hAnsi="Times New Roman" w:cs="Times New Roman"/>
          <w:b/>
          <w:bCs/>
          <w:color w:val="auto"/>
          <w:highlight w:val="none"/>
        </w:rPr>
        <w:t>现场踏勘图</w:t>
      </w:r>
      <w:bookmarkEnd w:id="19"/>
      <w:bookmarkEnd w:id="20"/>
      <w:bookmarkEnd w:id="21"/>
      <w:bookmarkEnd w:id="22"/>
      <w:bookmarkEnd w:id="23"/>
      <w:bookmarkEnd w:id="24"/>
    </w:p>
    <w:p>
      <w:pPr>
        <w:pStyle w:val="3"/>
        <w:pageBreakBefore w:val="0"/>
        <w:wordWrap/>
        <w:bidi w:val="0"/>
        <w:adjustRightInd w:val="0"/>
        <w:ind w:left="0" w:leftChars="0" w:right="0" w:rightChars="0" w:hanging="432" w:firstLineChars="0"/>
        <w:jc w:val="center"/>
        <w:rPr>
          <w:rFonts w:hint="default" w:ascii="Times New Roman" w:hAnsi="Times New Roman" w:cs="Times New Roman"/>
          <w:color w:val="auto"/>
          <w:highlight w:val="none"/>
        </w:rPr>
      </w:pPr>
      <w:bookmarkStart w:id="25" w:name="_Toc6061"/>
      <w:bookmarkStart w:id="26" w:name="_Toc3116"/>
      <w:bookmarkStart w:id="27" w:name="_Toc2860"/>
      <w:bookmarkStart w:id="28" w:name="_Toc31053"/>
      <w:bookmarkStart w:id="29" w:name="_Toc335986181"/>
      <w:bookmarkStart w:id="30" w:name="_Toc241825792"/>
      <w:bookmarkStart w:id="31" w:name="_Toc245100615"/>
      <w:bookmarkStart w:id="32" w:name="_Toc31569"/>
      <w:r>
        <w:rPr>
          <w:rFonts w:hint="default" w:ascii="Times New Roman" w:hAnsi="Times New Roman" w:cs="Times New Roman"/>
          <w:color w:val="auto"/>
          <w:highlight w:val="none"/>
        </w:rPr>
        <w:t>概述</w:t>
      </w:r>
      <w:bookmarkEnd w:id="25"/>
      <w:bookmarkEnd w:id="26"/>
      <w:bookmarkEnd w:id="27"/>
      <w:bookmarkEnd w:id="28"/>
    </w:p>
    <w:bookmarkEnd w:id="29"/>
    <w:bookmarkEnd w:id="30"/>
    <w:bookmarkEnd w:id="31"/>
    <w:p>
      <w:pPr>
        <w:pStyle w:val="4"/>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rPr>
      </w:pPr>
      <w:bookmarkStart w:id="33" w:name="_Toc30610"/>
      <w:bookmarkStart w:id="34" w:name="_Toc7074"/>
      <w:bookmarkStart w:id="35" w:name="_Toc22309"/>
      <w:r>
        <w:rPr>
          <w:rFonts w:hint="default" w:ascii="Times New Roman" w:hAnsi="Times New Roman" w:eastAsia="宋体" w:cs="Times New Roman"/>
          <w:color w:val="auto"/>
          <w:highlight w:val="none"/>
        </w:rPr>
        <w:t>项目建设背景及特点</w:t>
      </w:r>
      <w:bookmarkEnd w:id="32"/>
      <w:bookmarkEnd w:id="33"/>
      <w:bookmarkEnd w:id="34"/>
      <w:bookmarkEnd w:id="35"/>
    </w:p>
    <w:p>
      <w:pPr>
        <w:keepNext w:val="0"/>
        <w:keepLines w:val="0"/>
        <w:pageBreakBefore w:val="0"/>
        <w:widowControl/>
        <w:suppressLineNumbers w:val="0"/>
        <w:wordWrap/>
        <w:bidi w:val="0"/>
        <w:adjustRightInd w:val="0"/>
        <w:ind w:left="0" w:leftChars="0" w:right="0" w:rightChars="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b/>
          <w:color w:val="auto"/>
          <w:kern w:val="2"/>
          <w:sz w:val="30"/>
          <w:szCs w:val="24"/>
          <w:highlight w:val="none"/>
          <w:lang w:val="en-US" w:eastAsia="zh-CN" w:bidi="ar-SA"/>
        </w:rPr>
        <w:t>1.1.1项目建设背景</w:t>
      </w:r>
    </w:p>
    <w:p>
      <w:pPr>
        <w:keepNext w:val="0"/>
        <w:keepLines w:val="0"/>
        <w:pageBreakBefore w:val="0"/>
        <w:widowControl/>
        <w:suppressLineNumbers w:val="0"/>
        <w:wordWrap/>
        <w:bidi w:val="0"/>
        <w:adjustRightInd w:val="0"/>
        <w:ind w:left="0" w:leftChars="0" w:right="0" w:rightChars="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奶业是关乎所有人健康和发展的产业，奶牛养殖业作为整个产业链的上游环节在奶业发展过程中占据重要地位。为抓住奶业发展的良好机遇，推进奶业的优化升级，</w:t>
      </w:r>
      <w:r>
        <w:rPr>
          <w:rFonts w:hint="eastAsia" w:cs="Times New Roman"/>
          <w:color w:val="auto"/>
          <w:kern w:val="0"/>
          <w:sz w:val="24"/>
          <w:szCs w:val="24"/>
          <w:lang w:val="en-US" w:eastAsia="zh-CN" w:bidi="ar"/>
        </w:rPr>
        <w:t>新疆维吾尔</w:t>
      </w:r>
      <w:r>
        <w:rPr>
          <w:rFonts w:hint="default" w:ascii="Times New Roman" w:hAnsi="Times New Roman" w:eastAsia="宋体" w:cs="Times New Roman"/>
          <w:color w:val="auto"/>
          <w:kern w:val="0"/>
          <w:sz w:val="24"/>
          <w:szCs w:val="24"/>
          <w:lang w:val="en-US" w:eastAsia="zh-CN" w:bidi="ar"/>
        </w:rPr>
        <w:t>自治区人民政府制定了《新疆特色农业基地建设规划与布局》，将奶产业作为优势特色产业优先加以扶持。建立了奶牛良种繁育及管理体系，奶牛疫病防治与监督体系，奶牛饲草料基地建设体系，奶业发展风险基金保障体系等，良好的政策环境，有利于促进</w:t>
      </w:r>
      <w:r>
        <w:rPr>
          <w:rFonts w:hint="eastAsia" w:cs="Times New Roman"/>
          <w:color w:val="auto"/>
          <w:kern w:val="0"/>
          <w:sz w:val="24"/>
          <w:szCs w:val="24"/>
          <w:lang w:val="en-US" w:eastAsia="zh-CN" w:bidi="ar"/>
        </w:rPr>
        <w:t>新疆</w:t>
      </w:r>
      <w:r>
        <w:rPr>
          <w:rFonts w:hint="default" w:ascii="Times New Roman" w:hAnsi="Times New Roman" w:eastAsia="宋体" w:cs="Times New Roman"/>
          <w:color w:val="auto"/>
          <w:kern w:val="0"/>
          <w:sz w:val="24"/>
          <w:szCs w:val="24"/>
          <w:lang w:val="en-US" w:eastAsia="zh-CN" w:bidi="ar"/>
        </w:rPr>
        <w:t>奶产业健康发展。经过多年的精心培育，新疆奶产业已具有明显的区位优势和良好的资源优势，有力地促进了农村经济发展、农业增效和农民增收。随着奶产业优势的不断凸</w:t>
      </w:r>
      <w:r>
        <w:rPr>
          <w:rFonts w:hint="eastAsia" w:cs="Times New Roman"/>
          <w:color w:val="auto"/>
          <w:kern w:val="0"/>
          <w:sz w:val="24"/>
          <w:szCs w:val="24"/>
          <w:lang w:val="en-US" w:eastAsia="zh-CN" w:bidi="ar"/>
        </w:rPr>
        <w:t>显</w:t>
      </w:r>
      <w:r>
        <w:rPr>
          <w:rFonts w:hint="default" w:ascii="Times New Roman" w:hAnsi="Times New Roman" w:eastAsia="宋体" w:cs="Times New Roman"/>
          <w:color w:val="auto"/>
          <w:kern w:val="0"/>
          <w:sz w:val="24"/>
          <w:szCs w:val="24"/>
          <w:lang w:val="en-US" w:eastAsia="zh-CN" w:bidi="ar"/>
        </w:rPr>
        <w:t>，其在农业现代化的进程中发挥的作用也日益明显，成为农业结构调整的主力军。为了进一步做大、做强这一产业，新疆力求全方位加强优质奶源基地建设，使奶产业呈现出迅猛的发展势头。</w:t>
      </w:r>
    </w:p>
    <w:p>
      <w:pPr>
        <w:keepNext w:val="0"/>
        <w:keepLines w:val="0"/>
        <w:pageBreakBefore w:val="0"/>
        <w:widowControl/>
        <w:suppressLineNumbers w:val="0"/>
        <w:wordWrap/>
        <w:bidi w:val="0"/>
        <w:adjustRightInd w:val="0"/>
        <w:ind w:left="0" w:leftChars="0" w:right="0" w:rightChars="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近年来，奶产业被</w:t>
      </w:r>
      <w:r>
        <w:rPr>
          <w:rFonts w:hint="default" w:ascii="Times New Roman" w:hAnsi="Times New Roman" w:cs="Times New Roman"/>
          <w:color w:val="auto"/>
          <w:kern w:val="0"/>
          <w:sz w:val="24"/>
          <w:szCs w:val="24"/>
          <w:lang w:val="en-US" w:eastAsia="zh-CN" w:bidi="ar"/>
        </w:rPr>
        <w:t>自治区人民政府</w:t>
      </w:r>
      <w:r>
        <w:rPr>
          <w:rFonts w:hint="default" w:ascii="Times New Roman" w:hAnsi="Times New Roman" w:eastAsia="宋体" w:cs="Times New Roman"/>
          <w:color w:val="auto"/>
          <w:kern w:val="0"/>
          <w:sz w:val="24"/>
          <w:szCs w:val="24"/>
          <w:lang w:val="en-US" w:eastAsia="zh-CN" w:bidi="ar"/>
        </w:rPr>
        <w:t>确定为农业优势特色主导产业，同时，新疆</w:t>
      </w:r>
      <w:r>
        <w:rPr>
          <w:rFonts w:hint="default" w:ascii="Times New Roman" w:hAnsi="Times New Roman" w:cs="Times New Roman"/>
          <w:color w:val="auto"/>
          <w:kern w:val="0"/>
          <w:sz w:val="24"/>
          <w:szCs w:val="24"/>
          <w:lang w:val="en-US" w:eastAsia="zh-CN" w:bidi="ar"/>
        </w:rPr>
        <w:t>的</w:t>
      </w:r>
      <w:r>
        <w:rPr>
          <w:rFonts w:hint="default" w:ascii="Times New Roman" w:hAnsi="Times New Roman" w:eastAsia="宋体" w:cs="Times New Roman"/>
          <w:color w:val="auto"/>
          <w:kern w:val="0"/>
          <w:sz w:val="24"/>
          <w:szCs w:val="24"/>
          <w:lang w:val="en-US" w:eastAsia="zh-CN" w:bidi="ar"/>
        </w:rPr>
        <w:t>农牧民具有从事牧业生产的优良文化。在农业生产中，奶产业的发展将极大地带动种植业产业结构的调整和关联产业的发展。奶产业是农业产业链条最长、产业关联度最大、产业化发育程度最高的优势特色主导产业。建设社会主义新农村，必须靠农村产业发展支撑。实施</w:t>
      </w:r>
      <w:r>
        <w:rPr>
          <w:rFonts w:hint="eastAsia" w:cs="Times New Roman"/>
          <w:color w:val="auto"/>
          <w:kern w:val="0"/>
          <w:sz w:val="24"/>
          <w:szCs w:val="24"/>
          <w:lang w:val="en-US" w:eastAsia="zh-CN" w:bidi="ar"/>
        </w:rPr>
        <w:t>奶牛</w:t>
      </w:r>
      <w:r>
        <w:rPr>
          <w:rFonts w:hint="default" w:ascii="Times New Roman" w:hAnsi="Times New Roman" w:eastAsia="宋体" w:cs="Times New Roman"/>
          <w:color w:val="auto"/>
          <w:kern w:val="0"/>
          <w:sz w:val="24"/>
          <w:szCs w:val="24"/>
          <w:lang w:val="en-US" w:eastAsia="zh-CN" w:bidi="ar"/>
        </w:rPr>
        <w:t>项目，加快奶牛快速扩繁生物技术示范推广，提高奶产业综合生产水平，促进奶产业跨越发展，增加农民收入，特别是对当地</w:t>
      </w:r>
      <w:r>
        <w:rPr>
          <w:rFonts w:hint="eastAsia" w:cs="Times New Roman"/>
          <w:color w:val="auto"/>
          <w:kern w:val="0"/>
          <w:sz w:val="24"/>
          <w:szCs w:val="24"/>
          <w:lang w:val="en-US" w:eastAsia="zh-CN" w:bidi="ar"/>
        </w:rPr>
        <w:t>贫困</w:t>
      </w:r>
      <w:r>
        <w:rPr>
          <w:rFonts w:hint="default" w:ascii="Times New Roman" w:hAnsi="Times New Roman" w:eastAsia="宋体" w:cs="Times New Roman"/>
          <w:color w:val="auto"/>
          <w:kern w:val="0"/>
          <w:sz w:val="24"/>
          <w:szCs w:val="24"/>
          <w:lang w:val="en-US" w:eastAsia="zh-CN" w:bidi="ar"/>
        </w:rPr>
        <w:t>农牧民的带动和帮扶，使他们尽快脱贫致富，对整体区域的社会主义新农村建设具有很大的推动作用。</w:t>
      </w:r>
    </w:p>
    <w:p>
      <w:pPr>
        <w:keepNext w:val="0"/>
        <w:keepLines w:val="0"/>
        <w:pageBreakBefore w:val="0"/>
        <w:widowControl/>
        <w:suppressLineNumbers w:val="0"/>
        <w:wordWrap/>
        <w:bidi w:val="0"/>
        <w:adjustRightInd w:val="0"/>
        <w:ind w:left="0" w:leftChars="0" w:right="0" w:rightChars="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塔城奶牛现代化养殖基地建设项目通过建设标准化奶牛场，生产安全、可靠、品质较好的牛奶原料，加工制造出一流质量的奶制品，达到提高生产效益的目标，不仅提高牛冻精的生产质量和数量，且有助于提升良种奶牛产业化水平，加速优质奶牛的更新换代，使优质良种奶牛尽快转化为现实生产力，辐射并带动</w:t>
      </w:r>
      <w:r>
        <w:rPr>
          <w:rFonts w:hint="eastAsia" w:cs="Times New Roman"/>
          <w:color w:val="auto"/>
          <w:kern w:val="0"/>
          <w:sz w:val="24"/>
          <w:szCs w:val="24"/>
          <w:lang w:val="en-US" w:eastAsia="zh-CN" w:bidi="ar"/>
        </w:rPr>
        <w:t>当地</w:t>
      </w:r>
      <w:r>
        <w:rPr>
          <w:rFonts w:hint="default" w:ascii="Times New Roman" w:hAnsi="Times New Roman" w:eastAsia="宋体" w:cs="Times New Roman"/>
          <w:color w:val="auto"/>
          <w:kern w:val="0"/>
          <w:sz w:val="24"/>
          <w:szCs w:val="24"/>
          <w:lang w:val="en-US" w:eastAsia="zh-CN" w:bidi="ar"/>
        </w:rPr>
        <w:t>良种奶牛产业化发展。</w:t>
      </w:r>
    </w:p>
    <w:p>
      <w:pPr>
        <w:keepNext w:val="0"/>
        <w:keepLines w:val="0"/>
        <w:pageBreakBefore w:val="0"/>
        <w:widowControl/>
        <w:suppressLineNumbers w:val="0"/>
        <w:wordWrap/>
        <w:bidi w:val="0"/>
        <w:adjustRightInd w:val="0"/>
        <w:ind w:left="0" w:leftChars="0" w:right="0" w:rightChars="0"/>
        <w:jc w:val="left"/>
        <w:rPr>
          <w:rFonts w:hint="default" w:ascii="Times New Roman" w:hAnsi="Times New Roman" w:cs="Times New Roman"/>
          <w:color w:val="auto"/>
        </w:rPr>
      </w:pPr>
      <w:r>
        <w:rPr>
          <w:rFonts w:hint="default" w:ascii="Times New Roman" w:hAnsi="Times New Roman" w:eastAsia="宋体" w:cs="Times New Roman"/>
          <w:b/>
          <w:color w:val="auto"/>
          <w:kern w:val="2"/>
          <w:sz w:val="30"/>
          <w:szCs w:val="24"/>
          <w:highlight w:val="none"/>
          <w:lang w:val="en-US" w:eastAsia="zh-CN" w:bidi="ar-SA"/>
        </w:rPr>
        <w:t>1.1.2 建设项目特点</w:t>
      </w:r>
    </w:p>
    <w:p>
      <w:pPr>
        <w:pStyle w:val="15"/>
        <w:pageBreakBefore w:val="0"/>
        <w:wordWrap/>
        <w:bidi w:val="0"/>
        <w:adjustRightInd w:val="0"/>
        <w:ind w:left="0" w:leftChars="0" w:right="0" w:rightChars="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w:t>
      </w:r>
      <w:r>
        <w:rPr>
          <w:rFonts w:hint="eastAsia" w:ascii="Times New Roman" w:hAnsi="Times New Roman" w:eastAsia="宋体" w:cs="Times New Roman"/>
          <w:color w:val="auto"/>
          <w:kern w:val="2"/>
          <w:sz w:val="24"/>
          <w:szCs w:val="24"/>
          <w:highlight w:val="none"/>
          <w:lang w:val="en-US" w:eastAsia="zh-CN" w:bidi="ar-SA"/>
        </w:rPr>
        <w:t>于2023年1月30日</w:t>
      </w:r>
      <w:r>
        <w:rPr>
          <w:rFonts w:hint="default" w:ascii="Times New Roman" w:hAnsi="Times New Roman" w:eastAsia="宋体" w:cs="Times New Roman"/>
          <w:color w:val="auto"/>
          <w:kern w:val="2"/>
          <w:sz w:val="24"/>
          <w:szCs w:val="24"/>
          <w:highlight w:val="none"/>
          <w:lang w:val="en-US" w:eastAsia="zh-CN" w:bidi="ar-SA"/>
        </w:rPr>
        <w:t>取得了《关于</w:t>
      </w:r>
      <w:r>
        <w:rPr>
          <w:rFonts w:hint="eastAsia" w:ascii="Times New Roman" w:hAnsi="Times New Roman" w:eastAsia="宋体" w:cs="Times New Roman"/>
          <w:color w:val="auto"/>
          <w:kern w:val="2"/>
          <w:sz w:val="24"/>
          <w:szCs w:val="24"/>
          <w:highlight w:val="none"/>
          <w:lang w:val="en-US" w:eastAsia="zh-CN" w:bidi="ar-SA"/>
        </w:rPr>
        <w:t>&lt;</w:t>
      </w:r>
      <w:r>
        <w:rPr>
          <w:rFonts w:hint="default" w:ascii="Times New Roman" w:hAnsi="Times New Roman" w:eastAsia="宋体" w:cs="Times New Roman"/>
          <w:color w:val="auto"/>
          <w:kern w:val="2"/>
          <w:sz w:val="24"/>
          <w:szCs w:val="24"/>
          <w:highlight w:val="none"/>
          <w:lang w:val="en-US" w:eastAsia="zh-CN" w:bidi="ar-SA"/>
        </w:rPr>
        <w:t>塔城奶牛现代化养殖基地建设项目可行性研究报告</w:t>
      </w:r>
      <w:r>
        <w:rPr>
          <w:rFonts w:hint="eastAsia" w:ascii="Times New Roman" w:hAnsi="Times New Roman" w:eastAsia="宋体" w:cs="Times New Roman"/>
          <w:color w:val="auto"/>
          <w:kern w:val="2"/>
          <w:sz w:val="24"/>
          <w:szCs w:val="24"/>
          <w:highlight w:val="none"/>
          <w:lang w:val="en-US" w:eastAsia="zh-CN" w:bidi="ar-SA"/>
        </w:rPr>
        <w:t>&gt;</w:t>
      </w:r>
      <w:r>
        <w:rPr>
          <w:rFonts w:hint="default" w:ascii="Times New Roman" w:hAnsi="Times New Roman" w:eastAsia="宋体" w:cs="Times New Roman"/>
          <w:color w:val="auto"/>
          <w:kern w:val="2"/>
          <w:sz w:val="24"/>
          <w:szCs w:val="24"/>
          <w:highlight w:val="none"/>
          <w:lang w:val="en-US" w:eastAsia="zh-CN" w:bidi="ar-SA"/>
        </w:rPr>
        <w:t>的批复》（塔城地发改农经〔2023〕6号），</w:t>
      </w:r>
      <w:r>
        <w:rPr>
          <w:rFonts w:hint="eastAsia" w:ascii="Times New Roman" w:hAnsi="Times New Roman" w:eastAsia="宋体" w:cs="Times New Roman"/>
          <w:color w:val="auto"/>
          <w:kern w:val="2"/>
          <w:sz w:val="24"/>
          <w:szCs w:val="24"/>
          <w:highlight w:val="none"/>
          <w:lang w:val="en-US" w:eastAsia="zh-CN" w:bidi="ar-SA"/>
        </w:rPr>
        <w:t>建设</w:t>
      </w:r>
      <w:r>
        <w:rPr>
          <w:rFonts w:hint="default" w:ascii="Times New Roman" w:hAnsi="Times New Roman" w:eastAsia="宋体" w:cs="Times New Roman"/>
          <w:color w:val="auto"/>
          <w:kern w:val="2"/>
          <w:sz w:val="24"/>
          <w:szCs w:val="24"/>
          <w:highlight w:val="none"/>
          <w:lang w:val="en-GB" w:eastAsia="zh-CN" w:bidi="ar-SA"/>
        </w:rPr>
        <w:t>于</w:t>
      </w:r>
      <w:r>
        <w:rPr>
          <w:rFonts w:hint="eastAsia" w:ascii="Times New Roman" w:hAnsi="Times New Roman" w:eastAsia="宋体" w:cs="Times New Roman"/>
          <w:color w:val="auto"/>
          <w:kern w:val="2"/>
          <w:sz w:val="24"/>
          <w:szCs w:val="24"/>
          <w:highlight w:val="none"/>
          <w:lang w:val="en-US" w:eastAsia="zh-CN" w:bidi="ar-SA"/>
        </w:rPr>
        <w:t>塔城市博孜达克镇三园子村，</w:t>
      </w:r>
      <w:r>
        <w:rPr>
          <w:rFonts w:hint="default" w:ascii="Times New Roman" w:hAnsi="Times New Roman" w:eastAsia="宋体" w:cs="Times New Roman"/>
          <w:color w:val="auto"/>
          <w:kern w:val="2"/>
          <w:sz w:val="24"/>
          <w:szCs w:val="24"/>
          <w:highlight w:val="none"/>
          <w:lang w:val="en-US" w:eastAsia="zh-CN" w:bidi="ar-SA"/>
        </w:rPr>
        <w:t>建设规模：本项目存栏成年奶牛</w:t>
      </w:r>
      <w:r>
        <w:rPr>
          <w:rFonts w:hint="eastAsia" w:ascii="Times New Roman" w:hAnsi="Times New Roman" w:eastAsia="宋体" w:cs="Times New Roman"/>
          <w:color w:val="auto"/>
          <w:kern w:val="2"/>
          <w:sz w:val="24"/>
          <w:szCs w:val="24"/>
          <w:highlight w:val="none"/>
          <w:lang w:val="en-US" w:eastAsia="zh-CN" w:bidi="ar-SA"/>
        </w:rPr>
        <w:t>3000</w:t>
      </w:r>
      <w:r>
        <w:rPr>
          <w:rFonts w:hint="default" w:ascii="Times New Roman" w:hAnsi="Times New Roman" w:eastAsia="宋体" w:cs="Times New Roman"/>
          <w:color w:val="auto"/>
          <w:kern w:val="2"/>
          <w:sz w:val="24"/>
          <w:szCs w:val="24"/>
          <w:highlight w:val="none"/>
          <w:lang w:val="en-US" w:eastAsia="zh-CN" w:bidi="ar-SA"/>
        </w:rPr>
        <w:t>头</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项目建设内容主要包括：</w:t>
      </w:r>
      <w:r>
        <w:rPr>
          <w:rFonts w:hint="eastAsia" w:ascii="Times New Roman" w:hAnsi="Times New Roman" w:eastAsia="宋体" w:cs="Times New Roman"/>
          <w:color w:val="auto"/>
          <w:kern w:val="2"/>
          <w:sz w:val="24"/>
          <w:szCs w:val="24"/>
          <w:highlight w:val="none"/>
          <w:lang w:val="en-US" w:eastAsia="zh-CN" w:bidi="ar-SA"/>
        </w:rPr>
        <w:t>新建年存栏3000头奶牛养殖基地。包括泌乳牛舍、干奶牛舍、后备牛舍和产房、挤奶厅、干草棚、青贮窖、场区道路及输电线路、供排水管网、生活管理区等相关配套设施</w:t>
      </w:r>
      <w:r>
        <w:rPr>
          <w:rFonts w:hint="default" w:ascii="Times New Roman" w:hAnsi="Times New Roman" w:eastAsia="宋体" w:cs="Times New Roman"/>
          <w:color w:val="auto"/>
          <w:kern w:val="2"/>
          <w:sz w:val="24"/>
          <w:szCs w:val="24"/>
          <w:highlight w:val="none"/>
          <w:lang w:val="en-US" w:eastAsia="zh-CN" w:bidi="ar-SA"/>
        </w:rPr>
        <w:t>。项目的建设符合当前国家产业政策，工程的建设符合有关规定和要求；在采取相应的污染防治措施以及充分落实本次环评提出的各项治理措施后，可最大限度的减少污染物排放，避免对周围环境产生较大的不利影响。</w:t>
      </w:r>
    </w:p>
    <w:p>
      <w:pPr>
        <w:pStyle w:val="4"/>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rPr>
      </w:pPr>
      <w:bookmarkStart w:id="36" w:name="_Toc32703"/>
      <w:bookmarkStart w:id="37" w:name="_Toc32744"/>
      <w:bookmarkStart w:id="38" w:name="_Toc3344"/>
      <w:r>
        <w:rPr>
          <w:rFonts w:hint="default" w:ascii="Times New Roman" w:hAnsi="Times New Roman" w:eastAsia="宋体" w:cs="Times New Roman"/>
          <w:color w:val="auto"/>
          <w:highlight w:val="none"/>
        </w:rPr>
        <w:t>环评工作</w:t>
      </w:r>
      <w:r>
        <w:rPr>
          <w:rFonts w:hint="default" w:ascii="Times New Roman" w:hAnsi="Times New Roman" w:eastAsia="宋体" w:cs="Times New Roman"/>
          <w:color w:val="auto"/>
          <w:highlight w:val="none"/>
          <w:lang w:val="zh-CN"/>
        </w:rPr>
        <w:t>过程</w:t>
      </w:r>
      <w:bookmarkEnd w:id="36"/>
      <w:bookmarkEnd w:id="37"/>
      <w:bookmarkEnd w:id="38"/>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中华人民共和国环境影响评价法》《建设项目环境保护管理条例》（国务院第682号令）的有关规定，本项目应进行环境影响评价。根据生态环境部部令第16号《建设项目环境影响评价分类管理名录（2021年版）》，本项目</w:t>
      </w:r>
      <w:r>
        <w:rPr>
          <w:rFonts w:hint="eastAsia" w:cs="Times New Roman"/>
          <w:color w:val="auto"/>
          <w:highlight w:val="none"/>
          <w:lang w:val="en-US" w:eastAsia="zh-CN"/>
        </w:rPr>
        <w:t>设计</w:t>
      </w:r>
      <w:r>
        <w:rPr>
          <w:rFonts w:hint="default" w:ascii="Times New Roman" w:hAnsi="Times New Roman" w:eastAsia="宋体" w:cs="Times New Roman"/>
          <w:color w:val="auto"/>
          <w:highlight w:val="none"/>
        </w:rPr>
        <w:t>养殖规模为年存栏</w:t>
      </w:r>
      <w:r>
        <w:rPr>
          <w:rFonts w:hint="default" w:ascii="Times New Roman" w:hAnsi="Times New Roman" w:eastAsia="宋体" w:cs="Times New Roman"/>
          <w:color w:val="auto"/>
          <w:highlight w:val="none"/>
          <w:lang w:val="en-US" w:eastAsia="zh-CN"/>
        </w:rPr>
        <w:t>奶牛</w:t>
      </w:r>
      <w:r>
        <w:rPr>
          <w:rFonts w:hint="default" w:ascii="Times New Roman" w:hAnsi="Times New Roman" w:cs="Times New Roman"/>
          <w:color w:val="auto"/>
          <w:highlight w:val="none"/>
          <w:lang w:val="en-US" w:eastAsia="zh-CN"/>
        </w:rPr>
        <w:t>3000</w:t>
      </w:r>
      <w:r>
        <w:rPr>
          <w:rFonts w:hint="default" w:ascii="Times New Roman" w:hAnsi="Times New Roman" w:eastAsia="宋体" w:cs="Times New Roman"/>
          <w:color w:val="auto"/>
          <w:highlight w:val="none"/>
        </w:rPr>
        <w:t>头，属于</w:t>
      </w:r>
      <w:r>
        <w:rPr>
          <w:rFonts w:hint="eastAsia" w:cs="Times New Roman"/>
          <w:color w:val="auto"/>
          <w:highlight w:val="none"/>
          <w:lang w:val="en-US" w:eastAsia="zh-CN"/>
        </w:rPr>
        <w:t>该目录中</w:t>
      </w:r>
      <w:r>
        <w:rPr>
          <w:rFonts w:hint="default" w:ascii="Times New Roman" w:hAnsi="Times New Roman" w:eastAsia="宋体" w:cs="Times New Roman"/>
          <w:color w:val="auto"/>
          <w:highlight w:val="none"/>
        </w:rPr>
        <w:t>“二、畜牧业3.牲畜饲养031-存栏生猪2500头（其他畜禽种类折合猪的养殖规模）及以上”，需编制环境影响报告书。根据《固定污染源排污许可分类管理名录（2019年版）》，本项目属于该目录“一、畜牧业中1牲畜饲养031”，且本项目不设置污水排放口，属于登记管理范围。</w:t>
      </w:r>
    </w:p>
    <w:p>
      <w:pPr>
        <w:pageBreakBefore w:val="0"/>
        <w:wordWrap/>
        <w:bidi w:val="0"/>
        <w:adjustRightInd w:val="0"/>
        <w:ind w:left="0" w:leftChars="0" w:right="0" w:rightChars="0"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highlight w:val="none"/>
        </w:rPr>
        <w:t>按照《建设项目环境影响评价技术导则</w:t>
      </w:r>
      <w:r>
        <w:rPr>
          <w:rFonts w:hint="default"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rPr>
        <w:t>总纲》</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HJ2.1-2016</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等相关技术规范的要求，本项目评价分为三个阶段进行，环境影响评价</w:t>
      </w:r>
      <w:r>
        <w:rPr>
          <w:rFonts w:hint="default" w:ascii="Times New Roman" w:hAnsi="Times New Roman" w:eastAsia="宋体" w:cs="Times New Roman"/>
          <w:color w:val="auto"/>
          <w:szCs w:val="24"/>
          <w:highlight w:val="none"/>
        </w:rPr>
        <w:t>工作程序见图1.2-1</w:t>
      </w:r>
      <w:r>
        <w:rPr>
          <w:rFonts w:hint="default" w:ascii="Times New Roman" w:hAnsi="Times New Roman" w:cs="Times New Roman"/>
          <w:color w:val="auto"/>
          <w:szCs w:val="24"/>
          <w:highlight w:val="none"/>
          <w:lang w:val="en-US" w:eastAsia="zh-CN"/>
        </w:rPr>
        <w:t>所示</w:t>
      </w:r>
      <w:r>
        <w:rPr>
          <w:rFonts w:hint="default" w:ascii="Times New Roman" w:hAnsi="Times New Roman" w:eastAsia="宋体" w:cs="Times New Roman"/>
          <w:color w:val="auto"/>
          <w:szCs w:val="24"/>
          <w:highlight w:val="none"/>
        </w:rPr>
        <w:t>。</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第一个阶段为调查分析和工作方案制定阶段，主要工作为研究有关设计资料等与项目相关的文件，进行初步的工程分析和环境现状调查，筛选评价因子，确定各环境要素环境影响评价的工作等级</w:t>
      </w:r>
      <w:r>
        <w:rPr>
          <w:rFonts w:hint="default" w:ascii="Times New Roman" w:hAnsi="Times New Roman" w:cs="Times New Roman"/>
          <w:color w:val="auto"/>
          <w:highlight w:val="none"/>
          <w:lang w:eastAsia="zh-CN"/>
        </w:rPr>
        <w:t>；</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第二阶段为分析论证和预测评价阶段，其主要工作为进一步做工程分析和环境现状调查，并进行环境影响预测和评价环境影响，分析环保措施的可行性;</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第三阶段为</w:t>
      </w:r>
      <w:r>
        <w:rPr>
          <w:rFonts w:hint="default" w:ascii="Times New Roman" w:hAnsi="Times New Roman" w:cs="Times New Roman"/>
          <w:color w:val="auto"/>
          <w:highlight w:val="none"/>
          <w:lang w:val="en-US" w:eastAsia="zh-CN"/>
        </w:rPr>
        <w:t>环境影响</w:t>
      </w:r>
      <w:r>
        <w:rPr>
          <w:rFonts w:hint="default" w:ascii="Times New Roman" w:hAnsi="Times New Roman" w:eastAsia="宋体" w:cs="Times New Roman"/>
          <w:color w:val="auto"/>
          <w:highlight w:val="none"/>
        </w:rPr>
        <w:t>报告书编制阶段，其主要工作为分析、汇总第二阶段工作</w:t>
      </w:r>
      <w:r>
        <w:rPr>
          <w:rFonts w:hint="default" w:ascii="Times New Roman" w:hAnsi="Times New Roman" w:cs="Times New Roman"/>
          <w:color w:val="auto"/>
          <w:highlight w:val="none"/>
          <w:lang w:val="en-US" w:eastAsia="zh-CN"/>
        </w:rPr>
        <w:t>成果</w:t>
      </w:r>
      <w:r>
        <w:rPr>
          <w:rFonts w:hint="default" w:ascii="Times New Roman" w:hAnsi="Times New Roman" w:eastAsia="宋体" w:cs="Times New Roman"/>
          <w:color w:val="auto"/>
          <w:highlight w:val="none"/>
        </w:rPr>
        <w:t>，结合现有的各种资料、数据，给出</w:t>
      </w:r>
      <w:r>
        <w:rPr>
          <w:rFonts w:hint="default" w:ascii="Times New Roman" w:hAnsi="Times New Roman" w:cs="Times New Roman"/>
          <w:color w:val="auto"/>
          <w:highlight w:val="none"/>
          <w:lang w:val="en-US" w:eastAsia="zh-CN"/>
        </w:rPr>
        <w:t>环境影响评价</w:t>
      </w:r>
      <w:r>
        <w:rPr>
          <w:rFonts w:hint="default" w:ascii="Times New Roman" w:hAnsi="Times New Roman" w:eastAsia="宋体" w:cs="Times New Roman"/>
          <w:color w:val="auto"/>
          <w:highlight w:val="none"/>
        </w:rPr>
        <w:t>结论，完成环境影响报告书的编制。</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w:t>
      </w:r>
      <w:r>
        <w:rPr>
          <w:rFonts w:hint="default" w:ascii="Times New Roman" w:hAnsi="Times New Roman" w:cs="Times New Roman"/>
          <w:color w:val="auto"/>
          <w:highlight w:val="none"/>
          <w:lang w:val="en-US" w:eastAsia="zh-CN"/>
        </w:rPr>
        <w:t>本项目环境影响评价</w:t>
      </w:r>
      <w:r>
        <w:rPr>
          <w:rFonts w:hint="default" w:ascii="Times New Roman" w:hAnsi="Times New Roman" w:eastAsia="宋体" w:cs="Times New Roman"/>
          <w:color w:val="auto"/>
          <w:highlight w:val="none"/>
        </w:rPr>
        <w:t>的工作过程中，针对不同的内容采用不同的方法进行</w:t>
      </w:r>
      <w:r>
        <w:rPr>
          <w:rFonts w:hint="default" w:ascii="Times New Roman" w:hAnsi="Times New Roman" w:cs="Times New Roman"/>
          <w:color w:val="auto"/>
          <w:highlight w:val="none"/>
          <w:lang w:val="en-US" w:eastAsia="zh-CN"/>
        </w:rPr>
        <w:t>评价和</w:t>
      </w:r>
      <w:r>
        <w:rPr>
          <w:rFonts w:hint="default" w:ascii="Times New Roman" w:hAnsi="Times New Roman" w:eastAsia="宋体" w:cs="Times New Roman"/>
          <w:color w:val="auto"/>
          <w:highlight w:val="none"/>
        </w:rPr>
        <w:t>影响分析。环境质量现状调查与评价主要采用收集资料、现场勘察、现状监测等方法</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工程分析主要采用类比分析、查询参考资料等技术方法</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环境影响预测和评价主要采用导则推荐的模式和类比分析等技术方法，并结合预测结果提出环境保护措施建议</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环境风险主要是对奶牛养殖过程中风险物质引起的环境污染扩散、粪污处理工程事故等引起的环境风险进行分析</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环保措施可行性主要是通过设计资料，并辅以同类工程调查内容进行分析。</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p>
    <w:p>
      <w:pPr>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drawing>
          <wp:anchor distT="0" distB="0" distL="114300" distR="114300" simplePos="0" relativeHeight="251681792" behindDoc="0" locked="0" layoutInCell="1" allowOverlap="1">
            <wp:simplePos x="0" y="0"/>
            <wp:positionH relativeFrom="column">
              <wp:posOffset>-93980</wp:posOffset>
            </wp:positionH>
            <wp:positionV relativeFrom="paragraph">
              <wp:posOffset>192405</wp:posOffset>
            </wp:positionV>
            <wp:extent cx="5530215" cy="7378065"/>
            <wp:effectExtent l="0" t="0" r="13335" b="13335"/>
            <wp:wrapTopAndBottom/>
            <wp:docPr id="7" name="图片 58" descr="说明: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8" descr="说明: IMG_256"/>
                    <pic:cNvPicPr>
                      <a:picLocks noChangeAspect="1"/>
                    </pic:cNvPicPr>
                  </pic:nvPicPr>
                  <pic:blipFill>
                    <a:blip r:embed="rId26"/>
                    <a:stretch>
                      <a:fillRect/>
                    </a:stretch>
                  </pic:blipFill>
                  <pic:spPr>
                    <a:xfrm>
                      <a:off x="0" y="0"/>
                      <a:ext cx="5530215" cy="7378065"/>
                    </a:xfrm>
                    <a:prstGeom prst="rect">
                      <a:avLst/>
                    </a:prstGeom>
                    <a:noFill/>
                    <a:ln>
                      <a:noFill/>
                    </a:ln>
                  </pic:spPr>
                </pic:pic>
              </a:graphicData>
            </a:graphic>
          </wp:anchor>
        </w:drawing>
      </w:r>
    </w:p>
    <w:p>
      <w:pPr>
        <w:pStyle w:val="5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图1.2-1  环境影响评价工作程序图</w:t>
      </w:r>
    </w:p>
    <w:p>
      <w:pPr>
        <w:pStyle w:val="5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rPr>
          <w:rFonts w:hint="default" w:ascii="Times New Roman" w:hAnsi="Times New Roman" w:eastAsia="宋体" w:cs="Times New Roman"/>
          <w:color w:val="auto"/>
          <w:szCs w:val="21"/>
          <w:highlight w:val="none"/>
        </w:rPr>
      </w:pPr>
    </w:p>
    <w:p>
      <w:pPr>
        <w:pStyle w:val="5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rPr>
          <w:rFonts w:hint="default" w:ascii="Times New Roman" w:hAnsi="Times New Roman" w:eastAsia="宋体" w:cs="Times New Roman"/>
          <w:color w:val="auto"/>
          <w:szCs w:val="21"/>
          <w:highlight w:val="none"/>
        </w:rPr>
      </w:pPr>
    </w:p>
    <w:p>
      <w:pPr>
        <w:pageBreakBefore w:val="0"/>
        <w:wordWrap/>
        <w:bidi w:val="0"/>
        <w:adjustRightInd w:val="0"/>
        <w:ind w:left="0" w:leftChars="0" w:right="0" w:rightChars="0" w:firstLine="480"/>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highlight w:val="none"/>
        </w:rPr>
        <w:t>202</w:t>
      </w:r>
      <w:r>
        <w:rPr>
          <w:rFonts w:hint="default" w:ascii="Times New Roman" w:hAnsi="Times New Roman" w:cs="Times New Roman"/>
          <w:color w:val="auto"/>
          <w:highlight w:val="none"/>
          <w:lang w:val="en-US" w:eastAsia="zh-CN"/>
        </w:rPr>
        <w:t>3</w:t>
      </w:r>
      <w:r>
        <w:rPr>
          <w:rFonts w:hint="default" w:ascii="Times New Roman" w:hAnsi="Times New Roman" w:eastAsia="宋体" w:cs="Times New Roman"/>
          <w:color w:val="auto"/>
          <w:highlight w:val="none"/>
        </w:rPr>
        <w:t>年</w:t>
      </w:r>
      <w:r>
        <w:rPr>
          <w:rFonts w:hint="default" w:ascii="Times New Roman" w:hAnsi="Times New Roman" w:cs="Times New Roman"/>
          <w:color w:val="auto"/>
          <w:highlight w:val="none"/>
          <w:lang w:val="en-US" w:eastAsia="zh-CN"/>
        </w:rPr>
        <w:t>2</w:t>
      </w:r>
      <w:r>
        <w:rPr>
          <w:rFonts w:hint="default" w:ascii="Times New Roman" w:hAnsi="Times New Roman" w:eastAsia="宋体" w:cs="Times New Roman"/>
          <w:color w:val="auto"/>
          <w:highlight w:val="none"/>
        </w:rPr>
        <w:t>月，</w:t>
      </w:r>
      <w:r>
        <w:rPr>
          <w:rFonts w:hint="eastAsia" w:cs="Times New Roman"/>
          <w:color w:val="auto"/>
          <w:highlight w:val="none"/>
          <w:lang w:val="en-US" w:eastAsia="zh-CN"/>
        </w:rPr>
        <w:t>伊犁哈萨克自治州塔城地区畜牧兽医局</w:t>
      </w:r>
      <w:r>
        <w:rPr>
          <w:rFonts w:hint="default" w:ascii="Times New Roman" w:hAnsi="Times New Roman" w:eastAsia="宋体" w:cs="Times New Roman"/>
          <w:color w:val="auto"/>
          <w:highlight w:val="none"/>
        </w:rPr>
        <w:t>委托乌鲁木齐湘永丽景环保科技有限公司承担塔城奶牛现代化养殖基地建设项目的环境影响评价工作。接受委托后</w:t>
      </w:r>
      <w:r>
        <w:rPr>
          <w:rFonts w:hint="default" w:ascii="Times New Roman" w:hAnsi="Times New Roman" w:cs="Times New Roman"/>
          <w:color w:val="auto"/>
          <w:highlight w:val="none"/>
          <w:lang w:val="en-US" w:eastAsia="zh-CN"/>
        </w:rPr>
        <w:t>评价</w:t>
      </w:r>
      <w:r>
        <w:rPr>
          <w:rFonts w:hint="default" w:ascii="Times New Roman" w:hAnsi="Times New Roman" w:eastAsia="宋体" w:cs="Times New Roman"/>
          <w:color w:val="auto"/>
          <w:highlight w:val="none"/>
        </w:rPr>
        <w:t>单位</w:t>
      </w:r>
      <w:r>
        <w:rPr>
          <w:rFonts w:hint="default" w:ascii="Times New Roman" w:hAnsi="Times New Roman" w:cs="Times New Roman"/>
          <w:color w:val="auto"/>
          <w:highlight w:val="none"/>
          <w:lang w:val="en-US" w:eastAsia="zh-CN"/>
        </w:rPr>
        <w:t>组织</w:t>
      </w:r>
      <w:r>
        <w:rPr>
          <w:rFonts w:hint="default" w:ascii="Times New Roman" w:hAnsi="Times New Roman" w:eastAsia="宋体" w:cs="Times New Roman"/>
          <w:color w:val="auto"/>
          <w:highlight w:val="none"/>
        </w:rPr>
        <w:t>相关技术人员赶赴现场展开了全面的现场调查和资料收集工作，</w:t>
      </w:r>
      <w:r>
        <w:rPr>
          <w:rFonts w:hint="default" w:ascii="Times New Roman" w:hAnsi="Times New Roman" w:cs="Times New Roman"/>
          <w:color w:val="auto"/>
          <w:highlight w:val="none"/>
          <w:lang w:val="en-US" w:eastAsia="zh-CN"/>
        </w:rPr>
        <w:t>在研究了相关法律法规，查阅了相关技术资料的基础上，进行了初步工程分析，开展了初步环境现状调查和监测。</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评价单位在掌握评价区环境质量和工程特征的基础上，按环境影响评价技术导则所规定的原则、方法、内容和要求，对项目建设过程及投入运行后的主要环境影响进行了预测、分析和评价，对建设单位提出的污染治理措施进行了可行性分析，并编制完成了《</w:t>
      </w:r>
      <w:r>
        <w:rPr>
          <w:rFonts w:hint="default" w:ascii="Times New Roman" w:hAnsi="Times New Roman" w:cs="Times New Roman"/>
          <w:color w:val="auto"/>
          <w:highlight w:val="none"/>
          <w:lang w:eastAsia="zh-CN"/>
        </w:rPr>
        <w:t>塔城奶牛现代化养殖基地建设项目</w:t>
      </w:r>
      <w:r>
        <w:rPr>
          <w:rFonts w:hint="default" w:ascii="Times New Roman" w:hAnsi="Times New Roman" w:eastAsia="宋体" w:cs="Times New Roman"/>
          <w:color w:val="auto"/>
          <w:highlight w:val="none"/>
        </w:rPr>
        <w:t>环境影响报告书》，呈报生态环境主管部门审批。</w:t>
      </w:r>
    </w:p>
    <w:p>
      <w:pPr>
        <w:pStyle w:val="4"/>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rPr>
      </w:pPr>
      <w:bookmarkStart w:id="39" w:name="_Toc32213"/>
      <w:bookmarkStart w:id="40" w:name="_Toc31704"/>
      <w:bookmarkStart w:id="41" w:name="_Toc28433"/>
      <w:bookmarkStart w:id="42" w:name="_Toc18722"/>
      <w:r>
        <w:rPr>
          <w:rFonts w:hint="default" w:ascii="Times New Roman" w:hAnsi="Times New Roman" w:eastAsia="宋体" w:cs="Times New Roman"/>
          <w:color w:val="auto"/>
          <w:highlight w:val="none"/>
        </w:rPr>
        <w:t>分析判定相关情况</w:t>
      </w:r>
      <w:bookmarkEnd w:id="39"/>
      <w:bookmarkEnd w:id="40"/>
      <w:bookmarkEnd w:id="41"/>
      <w:bookmarkEnd w:id="42"/>
    </w:p>
    <w:p>
      <w:pPr>
        <w:pStyle w:val="5"/>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rPr>
      </w:pPr>
      <w:bookmarkStart w:id="43" w:name="_Toc21052"/>
      <w:r>
        <w:rPr>
          <w:rFonts w:hint="default" w:ascii="Times New Roman" w:hAnsi="Times New Roman" w:eastAsia="宋体" w:cs="Times New Roman"/>
          <w:color w:val="auto"/>
          <w:highlight w:val="none"/>
        </w:rPr>
        <w:t>产业政策符合性分析</w:t>
      </w:r>
      <w:bookmarkEnd w:id="43"/>
    </w:p>
    <w:p>
      <w:pPr>
        <w:pageBreakBefore w:val="0"/>
        <w:wordWrap/>
        <w:bidi w:val="0"/>
        <w:adjustRightInd w:val="0"/>
        <w:ind w:left="0" w:leftChars="0" w:right="0" w:rightChars="0" w:firstLine="480"/>
        <w:rPr>
          <w:rFonts w:hint="default" w:ascii="Times New Roman" w:hAnsi="Times New Roman" w:cs="Times New Roman"/>
          <w:color w:val="auto"/>
          <w:highlight w:val="none"/>
          <w:lang w:eastAsia="zh-CN"/>
        </w:rPr>
      </w:pPr>
      <w:bookmarkStart w:id="44" w:name="_Toc16176"/>
      <w:r>
        <w:rPr>
          <w:rFonts w:hint="default" w:ascii="Times New Roman" w:hAnsi="Times New Roman" w:eastAsia="宋体" w:cs="Times New Roman"/>
          <w:color w:val="auto"/>
          <w:highlight w:val="none"/>
        </w:rPr>
        <w:t>本项目为规模化养殖基地建设项目，属于《产业结构调整指导目录（2019年本）》</w:t>
      </w:r>
      <w:r>
        <w:rPr>
          <w:rFonts w:hint="default" w:ascii="Times New Roman" w:hAnsi="Times New Roman" w:cs="Times New Roman"/>
          <w:color w:val="auto"/>
          <w:highlight w:val="none"/>
          <w:lang w:val="en-US" w:eastAsia="zh-CN"/>
        </w:rPr>
        <w:t>（2021年修改）</w:t>
      </w:r>
      <w:r>
        <w:rPr>
          <w:rFonts w:hint="default" w:ascii="Times New Roman" w:hAnsi="Times New Roman" w:eastAsia="宋体" w:cs="Times New Roman"/>
          <w:color w:val="auto"/>
          <w:highlight w:val="none"/>
        </w:rPr>
        <w:t>中“第一类鼓励类</w:t>
      </w:r>
      <w:r>
        <w:rPr>
          <w:rFonts w:hint="default" w:ascii="Times New Roman" w:hAnsi="Times New Roman" w:cs="Times New Roman"/>
          <w:color w:val="auto"/>
          <w:highlight w:val="none"/>
          <w:lang w:val="en-US" w:eastAsia="zh-CN"/>
        </w:rPr>
        <w:t>中</w:t>
      </w:r>
      <w:r>
        <w:rPr>
          <w:rFonts w:hint="default" w:ascii="Times New Roman" w:hAnsi="Times New Roman" w:eastAsia="宋体" w:cs="Times New Roman"/>
          <w:color w:val="auto"/>
          <w:highlight w:val="none"/>
        </w:rPr>
        <w:t>一、农林业4、畜禽标准化规模养殖技术开发与应用”</w:t>
      </w:r>
      <w:r>
        <w:rPr>
          <w:rFonts w:hint="default" w:ascii="Times New Roman" w:hAnsi="Times New Roman" w:cs="Times New Roman"/>
          <w:color w:val="auto"/>
          <w:highlight w:val="none"/>
          <w:lang w:eastAsia="zh-CN"/>
        </w:rPr>
        <w:t>；</w:t>
      </w:r>
    </w:p>
    <w:p>
      <w:pPr>
        <w:pageBreakBefore w:val="0"/>
        <w:wordWrap/>
        <w:bidi w:val="0"/>
        <w:adjustRightInd w:val="0"/>
        <w:ind w:left="0" w:leftChars="0" w:right="0" w:rightChars="0" w:firstLine="480"/>
        <w:rPr>
          <w:rFonts w:hint="default" w:ascii="Times New Roman" w:hAnsi="Times New Roman" w:eastAsia="宋体" w:cs="Times New Roman"/>
          <w:color w:val="auto"/>
          <w:highlight w:val="yellow"/>
        </w:rPr>
      </w:pPr>
      <w:r>
        <w:rPr>
          <w:rFonts w:hint="default" w:ascii="Times New Roman" w:hAnsi="Times New Roman" w:eastAsia="宋体" w:cs="Times New Roman"/>
          <w:color w:val="auto"/>
          <w:highlight w:val="none"/>
        </w:rPr>
        <w:t>202</w:t>
      </w:r>
      <w:r>
        <w:rPr>
          <w:rFonts w:hint="default" w:ascii="Times New Roman" w:hAnsi="Times New Roman" w:cs="Times New Roman"/>
          <w:color w:val="auto"/>
          <w:highlight w:val="none"/>
          <w:lang w:val="en-US" w:eastAsia="zh-CN"/>
        </w:rPr>
        <w:t>3</w:t>
      </w:r>
      <w:r>
        <w:rPr>
          <w:rFonts w:hint="default" w:ascii="Times New Roman" w:hAnsi="Times New Roman" w:eastAsia="宋体" w:cs="Times New Roman"/>
          <w:color w:val="auto"/>
          <w:highlight w:val="none"/>
        </w:rPr>
        <w:t>年</w:t>
      </w:r>
      <w:r>
        <w:rPr>
          <w:rFonts w:hint="default"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rPr>
        <w:t>月</w:t>
      </w:r>
      <w:r>
        <w:rPr>
          <w:rFonts w:hint="default" w:ascii="Times New Roman" w:hAnsi="Times New Roman" w:cs="Times New Roman"/>
          <w:color w:val="auto"/>
          <w:highlight w:val="none"/>
          <w:lang w:val="en-US" w:eastAsia="zh-CN"/>
        </w:rPr>
        <w:t>30</w:t>
      </w:r>
      <w:r>
        <w:rPr>
          <w:rFonts w:hint="default" w:ascii="Times New Roman" w:hAnsi="Times New Roman" w:eastAsia="宋体" w:cs="Times New Roman"/>
          <w:color w:val="auto"/>
          <w:highlight w:val="none"/>
        </w:rPr>
        <w:t>日，</w:t>
      </w:r>
      <w:r>
        <w:rPr>
          <w:rFonts w:hint="default" w:ascii="Times New Roman" w:hAnsi="Times New Roman" w:cs="Times New Roman"/>
          <w:color w:val="auto"/>
          <w:highlight w:val="none"/>
          <w:lang w:val="en-US" w:eastAsia="zh-CN"/>
        </w:rPr>
        <w:t>伊犁哈萨克自治州塔城地区发展和改革委员会</w:t>
      </w:r>
      <w:r>
        <w:rPr>
          <w:rFonts w:hint="default" w:ascii="Times New Roman" w:hAnsi="Times New Roman" w:eastAsia="宋体" w:cs="Times New Roman"/>
          <w:color w:val="auto"/>
          <w:highlight w:val="none"/>
        </w:rPr>
        <w:t>以</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关于</w:t>
      </w:r>
      <w:r>
        <w:rPr>
          <w:rFonts w:hint="default" w:ascii="Times New Roman" w:hAnsi="Times New Roman" w:cs="Times New Roman"/>
          <w:color w:val="auto"/>
          <w:highlight w:val="none"/>
          <w:lang w:val="en-US" w:eastAsia="zh-CN"/>
        </w:rPr>
        <w:t>&lt;</w:t>
      </w:r>
      <w:r>
        <w:rPr>
          <w:rFonts w:hint="default" w:ascii="Times New Roman" w:hAnsi="Times New Roman" w:cs="Times New Roman"/>
          <w:color w:val="auto"/>
          <w:highlight w:val="none"/>
          <w:lang w:val="zh-CN" w:eastAsia="zh-CN"/>
        </w:rPr>
        <w:t>塔城奶牛现代化养殖基地建设项目</w:t>
      </w:r>
      <w:r>
        <w:rPr>
          <w:rFonts w:hint="default" w:ascii="Times New Roman" w:hAnsi="Times New Roman" w:eastAsia="宋体" w:cs="Times New Roman"/>
          <w:color w:val="auto"/>
          <w:highlight w:val="none"/>
          <w:lang w:val="en-US" w:eastAsia="zh-CN"/>
        </w:rPr>
        <w:t>可行性研究报告</w:t>
      </w:r>
      <w:r>
        <w:rPr>
          <w:rFonts w:hint="default" w:ascii="Times New Roman" w:hAnsi="Times New Roman" w:cs="Times New Roman"/>
          <w:color w:val="auto"/>
          <w:highlight w:val="none"/>
          <w:lang w:val="en-US" w:eastAsia="zh-CN"/>
        </w:rPr>
        <w:t>&gt;</w:t>
      </w:r>
      <w:r>
        <w:rPr>
          <w:rFonts w:hint="default" w:ascii="Times New Roman" w:hAnsi="Times New Roman" w:eastAsia="宋体" w:cs="Times New Roman"/>
          <w:color w:val="auto"/>
          <w:highlight w:val="none"/>
          <w:lang w:val="en-US" w:eastAsia="zh-CN"/>
        </w:rPr>
        <w:t>的批复</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w:t>
      </w:r>
      <w:r>
        <w:rPr>
          <w:rFonts w:hint="default" w:ascii="Times New Roman" w:hAnsi="Times New Roman" w:cs="Times New Roman"/>
          <w:color w:val="auto"/>
          <w:highlight w:val="none"/>
          <w:lang w:val="en-US" w:eastAsia="zh-CN"/>
        </w:rPr>
        <w:t>塔城地</w:t>
      </w:r>
      <w:r>
        <w:rPr>
          <w:rFonts w:hint="default" w:ascii="Times New Roman" w:hAnsi="Times New Roman" w:eastAsia="宋体" w:cs="Times New Roman"/>
          <w:color w:val="auto"/>
          <w:highlight w:val="none"/>
          <w:lang w:val="en-US" w:eastAsia="zh-CN"/>
        </w:rPr>
        <w:t>发改</w:t>
      </w:r>
      <w:r>
        <w:rPr>
          <w:rFonts w:hint="default" w:ascii="Times New Roman" w:hAnsi="Times New Roman" w:cs="Times New Roman"/>
          <w:color w:val="auto"/>
          <w:highlight w:val="none"/>
          <w:lang w:val="en-US" w:eastAsia="zh-CN"/>
        </w:rPr>
        <w:t>农经</w:t>
      </w:r>
      <w:r>
        <w:rPr>
          <w:rFonts w:hint="default" w:ascii="Times New Roman" w:hAnsi="Times New Roman" w:eastAsia="宋体" w:cs="Times New Roman"/>
          <w:color w:val="auto"/>
          <w:highlight w:val="none"/>
        </w:rPr>
        <w:t>〔20</w:t>
      </w:r>
      <w:r>
        <w:rPr>
          <w:rFonts w:hint="default" w:ascii="Times New Roman" w:hAnsi="Times New Roman" w:eastAsia="宋体" w:cs="Times New Roman"/>
          <w:color w:val="auto"/>
          <w:highlight w:val="none"/>
          <w:lang w:val="en-US" w:eastAsia="zh-CN"/>
        </w:rPr>
        <w:t>2</w:t>
      </w:r>
      <w:r>
        <w:rPr>
          <w:rFonts w:hint="default" w:ascii="Times New Roman" w:hAnsi="Times New Roman" w:cs="Times New Roman"/>
          <w:color w:val="auto"/>
          <w:highlight w:val="none"/>
          <w:lang w:val="en-US" w:eastAsia="zh-CN"/>
        </w:rPr>
        <w:t>3</w:t>
      </w:r>
      <w:r>
        <w:rPr>
          <w:rFonts w:hint="default" w:ascii="Times New Roman" w:hAnsi="Times New Roman" w:eastAsia="宋体" w:cs="Times New Roman"/>
          <w:color w:val="auto"/>
          <w:highlight w:val="none"/>
        </w:rPr>
        <w:t>〕</w:t>
      </w:r>
      <w:r>
        <w:rPr>
          <w:rFonts w:hint="default" w:ascii="Times New Roman" w:hAnsi="Times New Roman" w:cs="Times New Roman"/>
          <w:color w:val="auto"/>
          <w:highlight w:val="none"/>
          <w:lang w:val="en-US" w:eastAsia="zh-CN"/>
        </w:rPr>
        <w:t>6</w:t>
      </w:r>
      <w:r>
        <w:rPr>
          <w:rFonts w:hint="default" w:ascii="Times New Roman" w:hAnsi="Times New Roman" w:eastAsia="宋体" w:cs="Times New Roman"/>
          <w:color w:val="auto"/>
          <w:highlight w:val="none"/>
        </w:rPr>
        <w:t>号）对本项目</w:t>
      </w:r>
      <w:r>
        <w:rPr>
          <w:rFonts w:hint="default" w:ascii="Times New Roman" w:hAnsi="Times New Roman" w:eastAsia="宋体" w:cs="Times New Roman"/>
          <w:color w:val="auto"/>
          <w:highlight w:val="none"/>
          <w:lang w:val="en-US" w:eastAsia="zh-CN"/>
        </w:rPr>
        <w:t>可行性研究报告</w:t>
      </w:r>
      <w:r>
        <w:rPr>
          <w:rFonts w:hint="default" w:ascii="Times New Roman" w:hAnsi="Times New Roman" w:eastAsia="宋体" w:cs="Times New Roman"/>
          <w:color w:val="auto"/>
          <w:highlight w:val="none"/>
        </w:rPr>
        <w:t>予以了</w:t>
      </w:r>
      <w:r>
        <w:rPr>
          <w:rFonts w:hint="default" w:ascii="Times New Roman" w:hAnsi="Times New Roman" w:eastAsia="宋体" w:cs="Times New Roman"/>
          <w:color w:val="auto"/>
          <w:highlight w:val="none"/>
          <w:lang w:val="en-US" w:eastAsia="zh-CN"/>
        </w:rPr>
        <w:t>批复</w:t>
      </w:r>
      <w:r>
        <w:rPr>
          <w:rFonts w:hint="default" w:ascii="Times New Roman" w:hAnsi="Times New Roman" w:eastAsia="宋体" w:cs="Times New Roman"/>
          <w:color w:val="auto"/>
          <w:highlight w:val="none"/>
        </w:rPr>
        <w:t>。</w:t>
      </w:r>
      <w:r>
        <w:rPr>
          <w:rFonts w:hint="default" w:ascii="Times New Roman" w:hAnsi="Times New Roman" w:cs="Times New Roman"/>
          <w:color w:val="auto"/>
          <w:highlight w:val="none"/>
          <w:lang w:val="en-US" w:eastAsia="zh-CN"/>
        </w:rPr>
        <w:t>因此，</w:t>
      </w:r>
      <w:r>
        <w:rPr>
          <w:rFonts w:hint="default" w:ascii="Times New Roman" w:hAnsi="Times New Roman" w:eastAsia="宋体" w:cs="Times New Roman"/>
          <w:color w:val="auto"/>
          <w:highlight w:val="none"/>
        </w:rPr>
        <w:t>本项目符合国家与地方产业政策。</w:t>
      </w:r>
    </w:p>
    <w:p>
      <w:pPr>
        <w:pStyle w:val="5"/>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规划符合性分析</w:t>
      </w:r>
      <w:bookmarkEnd w:id="44"/>
    </w:p>
    <w:p>
      <w:pPr>
        <w:pStyle w:val="6"/>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与</w:t>
      </w:r>
      <w:r>
        <w:rPr>
          <w:rFonts w:hint="eastAsia" w:ascii="Times New Roman" w:hAnsi="Times New Roman" w:eastAsia="宋体" w:cs="Times New Roman"/>
          <w:color w:val="auto"/>
          <w:highlight w:val="none"/>
        </w:rPr>
        <w:t>《“十四五”全国农业绿色发展规划》</w:t>
      </w:r>
      <w:r>
        <w:rPr>
          <w:rFonts w:hint="default" w:ascii="Times New Roman" w:hAnsi="Times New Roman" w:eastAsia="宋体" w:cs="Times New Roman"/>
          <w:color w:val="auto"/>
          <w:highlight w:val="none"/>
        </w:rPr>
        <w:t>的符合性分析</w:t>
      </w:r>
    </w:p>
    <w:p>
      <w:pPr>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rPr>
        <w:t>《“十四五”全国农业绿色发展规划》</w:t>
      </w:r>
      <w:r>
        <w:rPr>
          <w:rFonts w:hint="eastAsia" w:ascii="Times New Roman" w:hAnsi="Times New Roman" w:eastAsia="宋体" w:cs="Times New Roman"/>
          <w:color w:val="auto"/>
          <w:highlight w:val="none"/>
          <w:lang w:val="en-US" w:eastAsia="zh-CN"/>
        </w:rPr>
        <w:t>指出：“</w:t>
      </w:r>
      <w:r>
        <w:rPr>
          <w:rFonts w:hint="eastAsia" w:ascii="Times New Roman" w:hAnsi="Times New Roman" w:eastAsia="宋体" w:cs="Times New Roman"/>
          <w:color w:val="auto"/>
          <w:highlight w:val="none"/>
        </w:rPr>
        <w:t>推进废弃物资源化利用，支持在畜牧养殖大县、粮食和蔬菜主产区、生态保护重点区域开展绿色种养循环农业试点，整县推进粪肥就地消纳、就近还田。</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绿色种养循环农业试点。支持畜牧养殖大县、粮食和蔬菜主产区等重点区域，整县开展粪肥就地消纳、就近还田补奖试点，构建粪肥还田组织运行模式。</w:t>
      </w:r>
      <w:r>
        <w:rPr>
          <w:rFonts w:hint="eastAsia" w:ascii="Times New Roman" w:hAnsi="Times New Roman" w:eastAsia="宋体" w:cs="Times New Roman"/>
          <w:color w:val="auto"/>
          <w:highlight w:val="none"/>
          <w:lang w:eastAsia="zh-CN"/>
        </w:rPr>
        <w:t>”</w:t>
      </w:r>
    </w:p>
    <w:p>
      <w:pPr>
        <w:pStyle w:val="47"/>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本项目</w:t>
      </w:r>
      <w:r>
        <w:rPr>
          <w:rFonts w:hint="default" w:ascii="Times New Roman" w:hAnsi="Times New Roman" w:eastAsia="宋体" w:cs="Times New Roman"/>
          <w:color w:val="auto"/>
          <w:highlight w:val="none"/>
          <w:lang w:val="en-US" w:eastAsia="zh-CN"/>
        </w:rPr>
        <w:t>粪污经过堆肥后</w:t>
      </w:r>
      <w:r>
        <w:rPr>
          <w:rFonts w:hint="eastAsia" w:ascii="Times New Roman" w:hAnsi="Times New Roman" w:eastAsia="宋体" w:cs="Times New Roman"/>
          <w:color w:val="auto"/>
          <w:highlight w:val="none"/>
          <w:lang w:val="en-US" w:eastAsia="zh-CN"/>
        </w:rPr>
        <w:t>用于垫料及还田利用，实现</w:t>
      </w:r>
      <w:r>
        <w:rPr>
          <w:rFonts w:hint="eastAsia" w:ascii="Times New Roman" w:hAnsi="Times New Roman" w:eastAsia="宋体" w:cs="Times New Roman"/>
          <w:color w:val="auto"/>
          <w:highlight w:val="none"/>
        </w:rPr>
        <w:t>种养循环</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符合</w:t>
      </w:r>
      <w:r>
        <w:rPr>
          <w:rFonts w:hint="eastAsia" w:ascii="Times New Roman" w:hAnsi="Times New Roman" w:eastAsia="宋体" w:cs="Times New Roman"/>
          <w:color w:val="auto"/>
          <w:highlight w:val="none"/>
        </w:rPr>
        <w:t>《“十四五”全国农业绿色发展规划》</w:t>
      </w:r>
      <w:r>
        <w:rPr>
          <w:rFonts w:hint="eastAsia" w:ascii="Times New Roman" w:hAnsi="Times New Roman" w:eastAsia="宋体" w:cs="Times New Roman"/>
          <w:color w:val="auto"/>
          <w:highlight w:val="none"/>
          <w:lang w:val="en-US" w:eastAsia="zh-CN"/>
        </w:rPr>
        <w:t>要求。</w:t>
      </w:r>
    </w:p>
    <w:p>
      <w:pPr>
        <w:pStyle w:val="6"/>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与</w:t>
      </w:r>
      <w:r>
        <w:rPr>
          <w:rFonts w:hint="default" w:ascii="Times New Roman" w:hAnsi="Times New Roman" w:eastAsia="宋体" w:cs="Times New Roman"/>
          <w:color w:val="auto"/>
          <w:highlight w:val="none"/>
        </w:rPr>
        <w:t>《新疆生态环境保护“十四五”规划》的符合性分析</w:t>
      </w:r>
    </w:p>
    <w:p>
      <w:pPr>
        <w:keepNext w:val="0"/>
        <w:keepLines w:val="0"/>
        <w:widowControl/>
        <w:suppressLineNumbers w:val="0"/>
        <w:jc w:val="left"/>
        <w:rPr>
          <w:rFonts w:hint="eastAsia" w:cs="Times New Roman"/>
          <w:color w:val="auto"/>
          <w:highlight w:val="none"/>
          <w:lang w:val="en-US" w:eastAsia="zh-CN"/>
        </w:rPr>
      </w:pPr>
      <w:r>
        <w:rPr>
          <w:rFonts w:hint="default" w:cs="Times New Roman"/>
          <w:color w:val="auto"/>
          <w:highlight w:val="none"/>
          <w:lang w:val="en-US" w:eastAsia="zh-CN"/>
        </w:rPr>
        <w:t>《新疆生态环境保护“十四五”规划》</w:t>
      </w:r>
      <w:r>
        <w:rPr>
          <w:rFonts w:hint="eastAsia" w:cs="Times New Roman"/>
          <w:color w:val="auto"/>
          <w:highlight w:val="none"/>
          <w:lang w:val="en-US" w:eastAsia="zh-CN"/>
        </w:rPr>
        <w:t>中提出：“强化养殖业污染治理。推进畜禽粪污资源化利用，大力发展生态循环农业，全面规范规模化畜禽养殖场和养殖小区污染治理设施，加大畜禽养殖废弃物收集、贮存、处理、输送和施用等设施建设力度。推进畜禽养殖大县整县治理。到2025年，畜禽粪污综合利用率达到80%以上。”“推进化肥、农药减量增效，推进标准化规模养殖，加强畜禽粪污资源化利用，控制畜禽养殖和农田甲烷、氧化亚氮排放。加强废弃物资源化利用和低碳化处理，提高资源回收利用效率。”“深入推进农业绿色转型，大力发展节水农业，持续推进化肥农药减量增效，实施秸秆综合利用和农膜、农药包装物回收行动，加强畜禽粪污资源化利用；开展农村人居环境整治提升行动，因地制宜推进农村厕所革命、生活垃圾分类和生活污水治理，建立健全农村环境基础设施长效管护机制。”</w:t>
      </w:r>
    </w:p>
    <w:p>
      <w:pPr>
        <w:keepNext w:val="0"/>
        <w:keepLines w:val="0"/>
        <w:widowControl/>
        <w:suppressLineNumbers w:val="0"/>
        <w:jc w:val="left"/>
        <w:rPr>
          <w:rFonts w:hint="eastAsia" w:cs="Times New Roman"/>
          <w:color w:val="auto"/>
          <w:highlight w:val="none"/>
          <w:lang w:val="en-US" w:eastAsia="zh-CN"/>
        </w:rPr>
      </w:pPr>
      <w:r>
        <w:rPr>
          <w:rFonts w:hint="eastAsia" w:cs="Times New Roman"/>
          <w:color w:val="auto"/>
          <w:highlight w:val="none"/>
          <w:lang w:val="en-US" w:eastAsia="zh-CN"/>
        </w:rPr>
        <w:t>本项目</w:t>
      </w:r>
      <w:r>
        <w:rPr>
          <w:rFonts w:hint="default" w:cs="Times New Roman"/>
          <w:color w:val="auto"/>
          <w:highlight w:val="none"/>
          <w:lang w:val="en-US" w:eastAsia="zh-CN"/>
        </w:rPr>
        <w:t>粪污经过堆肥后</w:t>
      </w:r>
      <w:r>
        <w:rPr>
          <w:rFonts w:hint="eastAsia" w:cs="Times New Roman"/>
          <w:color w:val="auto"/>
          <w:highlight w:val="none"/>
          <w:lang w:val="en-US" w:eastAsia="zh-CN"/>
        </w:rPr>
        <w:t>用于垫料及还田利用，实现畜禽粪污资源化利用，符合</w:t>
      </w:r>
      <w:r>
        <w:rPr>
          <w:rFonts w:hint="default" w:cs="Times New Roman"/>
          <w:color w:val="auto"/>
          <w:highlight w:val="none"/>
          <w:lang w:val="en-US" w:eastAsia="zh-CN"/>
        </w:rPr>
        <w:t>《新疆生态环境保护“十四五”规划》</w:t>
      </w:r>
      <w:r>
        <w:rPr>
          <w:rFonts w:hint="eastAsia" w:cs="Times New Roman"/>
          <w:color w:val="auto"/>
          <w:highlight w:val="none"/>
          <w:lang w:val="en-US" w:eastAsia="zh-CN"/>
        </w:rPr>
        <w:t>要求。</w:t>
      </w:r>
    </w:p>
    <w:p>
      <w:pPr>
        <w:pStyle w:val="6"/>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与《新疆维吾尔自治区国民经济和社会发展第十四个五年规划和2035年远景目标纲要》的符合性分析</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纲要指出：“建设畜牧强区。实施畜牧业发展五大行动，持续做大</w:t>
      </w:r>
      <w:r>
        <w:rPr>
          <w:rFonts w:hint="default" w:ascii="Times New Roman" w:hAnsi="Times New Roman" w:eastAsia="宋体" w:cs="Times New Roman"/>
          <w:color w:val="auto"/>
          <w:highlight w:val="none"/>
          <w:lang w:eastAsia="zh-CN"/>
        </w:rPr>
        <w:t>奶牛</w:t>
      </w:r>
      <w:r>
        <w:rPr>
          <w:rFonts w:hint="default" w:ascii="Times New Roman" w:hAnsi="Times New Roman" w:eastAsia="宋体" w:cs="Times New Roman"/>
          <w:color w:val="auto"/>
          <w:highlight w:val="none"/>
        </w:rPr>
        <w:t>肉羊产业，加快推进奶业振兴，做优做强家禽产业，推进生猪产业转型升级，因地制宜发展特色养殖业，构建饲料、种源、扩繁、养殖、屠宰、加工全产业链，推动新疆由畜牧大区向畜牧强区转变。“十四五”末，全区畜牧业产值超过1100亿元。”“加强化肥农药减量化和土壤污染治理，强化白色污染治理，推进农作物秸秆和畜禽养殖废弃物资源化利用”。</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lang w:val="en-US" w:eastAsia="zh-CN"/>
        </w:rPr>
        <w:t>本项目为规模化养殖基地建设项目</w:t>
      </w:r>
      <w:r>
        <w:rPr>
          <w:rFonts w:hint="default" w:ascii="Times New Roman" w:hAnsi="Times New Roman" w:eastAsia="宋体" w:cs="Times New Roman"/>
          <w:color w:val="auto"/>
          <w:highlight w:val="none"/>
        </w:rPr>
        <w:t>，畜禽养殖废弃物</w:t>
      </w:r>
      <w:r>
        <w:rPr>
          <w:rFonts w:hint="default" w:ascii="Times New Roman" w:hAnsi="Times New Roman" w:cs="Times New Roman"/>
          <w:color w:val="auto"/>
          <w:highlight w:val="none"/>
          <w:lang w:val="en-US" w:eastAsia="zh-CN"/>
        </w:rPr>
        <w:t>均得到</w:t>
      </w:r>
      <w:r>
        <w:rPr>
          <w:rFonts w:hint="default" w:ascii="Times New Roman" w:hAnsi="Times New Roman" w:eastAsia="宋体" w:cs="Times New Roman"/>
          <w:color w:val="auto"/>
          <w:highlight w:val="none"/>
        </w:rPr>
        <w:t>资源化利用，符合《新疆维吾尔自治区国民经济和社会发展第十四个五年规划和2035年远景目标纲要》要求。</w:t>
      </w:r>
    </w:p>
    <w:p>
      <w:pPr>
        <w:pStyle w:val="6"/>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与《新疆维吾尔自治区畜牧业“十</w:t>
      </w:r>
      <w:r>
        <w:rPr>
          <w:rFonts w:hint="default" w:ascii="Times New Roman" w:hAnsi="Times New Roman" w:cs="Times New Roman"/>
          <w:color w:val="auto"/>
          <w:highlight w:val="none"/>
          <w:lang w:val="en-US" w:eastAsia="zh-CN"/>
        </w:rPr>
        <w:t>四</w:t>
      </w:r>
      <w:r>
        <w:rPr>
          <w:rFonts w:hint="default" w:ascii="Times New Roman" w:hAnsi="Times New Roman" w:eastAsia="宋体" w:cs="Times New Roman"/>
          <w:color w:val="auto"/>
          <w:highlight w:val="none"/>
        </w:rPr>
        <w:t>五”发展规划》符合性分析</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lang w:val="en-US" w:eastAsia="zh-CN"/>
        </w:rPr>
        <w:t>根据</w:t>
      </w:r>
      <w:r>
        <w:rPr>
          <w:rFonts w:hint="default" w:ascii="Times New Roman" w:hAnsi="Times New Roman" w:eastAsia="宋体" w:cs="Times New Roman"/>
          <w:color w:val="auto"/>
          <w:highlight w:val="none"/>
        </w:rPr>
        <w:t>《新疆维吾尔自治区畜牧业“十</w:t>
      </w:r>
      <w:r>
        <w:rPr>
          <w:rFonts w:hint="default" w:ascii="Times New Roman" w:hAnsi="Times New Roman" w:cs="Times New Roman"/>
          <w:color w:val="auto"/>
          <w:highlight w:val="none"/>
          <w:lang w:val="en-US" w:eastAsia="zh-CN"/>
        </w:rPr>
        <w:t>四</w:t>
      </w:r>
      <w:r>
        <w:rPr>
          <w:rFonts w:hint="default" w:ascii="Times New Roman" w:hAnsi="Times New Roman" w:eastAsia="宋体" w:cs="Times New Roman"/>
          <w:color w:val="auto"/>
          <w:highlight w:val="none"/>
        </w:rPr>
        <w:t>五”发展规划》提出“努力推进畜牧业绿色发展1.大力推动农牧循环发展。加强农牧统筹，坚持政府引导、企业主体、市场化运作，推进畜禽养殖重点县（市）制定实施县域种养循环发展规划，统筹种养发展空间，调整优化种植业结构，以畜禽粪污全量还田为重点，集成推广粪肥还田利用技术，构建种养结合、农林牧循环的可持续发展新格局。2.推进兽用抗菌药减量使用。指导养殖户科学合理使用兽药，严格执行兽用处方药制度和休药期制度，杜绝使用违禁药物。持续推进养殖环节兽用抗菌药使用减量行动，推广兽用抗菌药减量使用模式，研发推广微生态制剂、微生物发酵饲料、中药活性提取物等饲料添加剂替代兽用抗菌药，保障动物健康和食品安全。3.持续推进畜禽粪污资源化利用。落实有机肥加工企业用地、用电、有机肥使用补贴及畜禽粪污资源化利用机具纳入农机购置补贴等优惠政策，构建畜禽粪肥还田利用全产业链，形成养殖、种植、粪肥加工企业等多方共赢的市场化机制。重点支持规模养殖场开展粪污全量收集还田、固体粪便堆肥还田、液体粪污肥料化和生物质能源开发利用，确保全区畜禽粪污综合利用率达到国家要求。4.不断提高无害化集中处理能力。按照“统筹规划、属地负责，政府监管、市场运作，财政补助、保险联动“的原则，在畜禽养殖重点县、养殖集中区，推动各类养殖经营主体自行配套无害化处理设施设备，并采取高温湿化法、微生物发酵技术等工艺开展无害化处理，提高区域性无害化集中处理的综合能力。”</w:t>
      </w:r>
    </w:p>
    <w:p>
      <w:pPr>
        <w:pageBreakBefore w:val="0"/>
        <w:wordWrap/>
        <w:bidi w:val="0"/>
        <w:adjustRightInd w:val="0"/>
        <w:ind w:left="0" w:leftChars="0" w:right="0" w:rightChars="0" w:firstLine="480"/>
        <w:rPr>
          <w:rFonts w:hint="default" w:ascii="Times New Roman" w:hAnsi="Times New Roman" w:eastAsia="宋体" w:cs="Times New Roman"/>
          <w:color w:val="auto"/>
          <w:spacing w:val="0"/>
          <w:sz w:val="24"/>
          <w:highlight w:val="none"/>
        </w:rPr>
      </w:pPr>
      <w:r>
        <w:rPr>
          <w:rFonts w:hint="default" w:ascii="Times New Roman" w:hAnsi="Times New Roman" w:cs="Times New Roman"/>
          <w:color w:val="auto"/>
          <w:spacing w:val="0"/>
          <w:sz w:val="24"/>
          <w:highlight w:val="none"/>
          <w:lang w:eastAsia="zh-CN"/>
        </w:rPr>
        <w:t>本项目为</w:t>
      </w:r>
      <w:r>
        <w:rPr>
          <w:rFonts w:hint="eastAsia" w:cs="Times New Roman"/>
          <w:color w:val="auto"/>
          <w:spacing w:val="0"/>
          <w:sz w:val="24"/>
          <w:highlight w:val="none"/>
          <w:lang w:val="en-US" w:eastAsia="zh-CN"/>
        </w:rPr>
        <w:t>奶牛</w:t>
      </w:r>
      <w:r>
        <w:rPr>
          <w:rFonts w:hint="default" w:ascii="Times New Roman" w:hAnsi="Times New Roman" w:cs="Times New Roman"/>
          <w:color w:val="auto"/>
          <w:spacing w:val="0"/>
          <w:sz w:val="24"/>
          <w:highlight w:val="none"/>
          <w:lang w:eastAsia="zh-CN"/>
        </w:rPr>
        <w:t>规模化养殖基地建设项目</w:t>
      </w:r>
      <w:r>
        <w:rPr>
          <w:rFonts w:hint="default" w:ascii="Times New Roman" w:hAnsi="Times New Roman" w:eastAsia="宋体" w:cs="Times New Roman"/>
          <w:color w:val="auto"/>
          <w:spacing w:val="0"/>
          <w:sz w:val="24"/>
          <w:highlight w:val="none"/>
        </w:rPr>
        <w:t>，属于高效、产品安全、资源节约、环境友好畜牧业项目，同时项目建成后可为周边小型畜牧养殖户提供先进的养殖技术和经验，有利于农民增收和提高产品质量；项目采取干清粪，控制用水，粪污经过堆肥后</w:t>
      </w:r>
      <w:r>
        <w:rPr>
          <w:rFonts w:hint="eastAsia" w:cs="Times New Roman"/>
          <w:color w:val="auto"/>
          <w:spacing w:val="0"/>
          <w:sz w:val="24"/>
          <w:highlight w:val="none"/>
          <w:lang w:eastAsia="zh-CN"/>
        </w:rPr>
        <w:t>用于垫料及还田利用</w:t>
      </w:r>
      <w:r>
        <w:rPr>
          <w:rFonts w:hint="default" w:ascii="Times New Roman" w:hAnsi="Times New Roman" w:eastAsia="宋体" w:cs="Times New Roman"/>
          <w:color w:val="auto"/>
          <w:spacing w:val="0"/>
          <w:sz w:val="24"/>
          <w:highlight w:val="none"/>
        </w:rPr>
        <w:t>。</w:t>
      </w:r>
      <w:r>
        <w:rPr>
          <w:rFonts w:hint="default" w:ascii="Times New Roman" w:hAnsi="Times New Roman" w:eastAsia="宋体" w:cs="Times New Roman"/>
          <w:color w:val="auto"/>
          <w:spacing w:val="0"/>
          <w:sz w:val="24"/>
          <w:highlight w:val="none"/>
          <w:lang w:val="en-US" w:eastAsia="zh-CN"/>
        </w:rPr>
        <w:t>建设项目</w:t>
      </w:r>
      <w:r>
        <w:rPr>
          <w:rFonts w:hint="default" w:ascii="Times New Roman" w:hAnsi="Times New Roman" w:eastAsia="宋体" w:cs="Times New Roman"/>
          <w:color w:val="auto"/>
          <w:spacing w:val="0"/>
          <w:sz w:val="24"/>
          <w:highlight w:val="none"/>
        </w:rPr>
        <w:t>符合《新疆维吾尔自治区畜牧业“十</w:t>
      </w:r>
      <w:r>
        <w:rPr>
          <w:rFonts w:hint="default" w:ascii="Times New Roman" w:hAnsi="Times New Roman" w:cs="Times New Roman"/>
          <w:color w:val="auto"/>
          <w:spacing w:val="0"/>
          <w:sz w:val="24"/>
          <w:highlight w:val="none"/>
          <w:lang w:val="en-US" w:eastAsia="zh-CN"/>
        </w:rPr>
        <w:t>四</w:t>
      </w:r>
      <w:r>
        <w:rPr>
          <w:rFonts w:hint="default" w:ascii="Times New Roman" w:hAnsi="Times New Roman" w:eastAsia="宋体" w:cs="Times New Roman"/>
          <w:color w:val="auto"/>
          <w:spacing w:val="0"/>
          <w:sz w:val="24"/>
          <w:highlight w:val="none"/>
        </w:rPr>
        <w:t>五”发展规划》。</w:t>
      </w:r>
    </w:p>
    <w:p>
      <w:pPr>
        <w:pStyle w:val="6"/>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rPr>
      </w:pPr>
      <w:r>
        <w:rPr>
          <w:rFonts w:hint="eastAsia" w:ascii="Times New Roman" w:hAnsi="Times New Roman" w:cs="Times New Roman"/>
          <w:color w:val="auto"/>
          <w:highlight w:val="none"/>
          <w:lang w:val="en-US" w:eastAsia="zh-CN"/>
        </w:rPr>
        <w:t>与《</w:t>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HYPERLINK "http://xjtc.gov.cn/upload/history/main/_local/4/c8/64/764e97de2e72c3ae25342593b3e_253d096b_26513.docx" </w:instrText>
      </w:r>
      <w:r>
        <w:rPr>
          <w:rFonts w:hint="default" w:ascii="Times New Roman" w:hAnsi="Times New Roman" w:eastAsia="宋体" w:cs="Times New Roman"/>
          <w:color w:val="auto"/>
          <w:highlight w:val="none"/>
        </w:rPr>
        <w:fldChar w:fldCharType="separate"/>
      </w:r>
      <w:r>
        <w:rPr>
          <w:rFonts w:hint="eastAsia" w:ascii="Times New Roman" w:hAnsi="Times New Roman" w:eastAsia="宋体" w:cs="Times New Roman"/>
          <w:color w:val="auto"/>
          <w:highlight w:val="none"/>
        </w:rPr>
        <w:t>塔城地区国民经济和社会发展第十四个五年规划和2035年远景目标纲要</w:t>
      </w:r>
      <w:r>
        <w:rPr>
          <w:rFonts w:hint="eastAsia" w:ascii="Times New Roman" w:hAnsi="Times New Roman" w:eastAsia="宋体" w:cs="Times New Roman"/>
          <w:color w:val="auto"/>
          <w:highlight w:val="none"/>
        </w:rPr>
        <w:fldChar w:fldCharType="end"/>
      </w:r>
      <w:r>
        <w:rPr>
          <w:rFonts w:hint="eastAsia"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符合性</w:t>
      </w:r>
      <w:r>
        <w:rPr>
          <w:rFonts w:hint="eastAsia" w:ascii="Times New Roman" w:hAnsi="Times New Roman" w:cs="Times New Roman"/>
          <w:color w:val="auto"/>
          <w:highlight w:val="none"/>
          <w:lang w:val="en-US" w:eastAsia="zh-CN"/>
        </w:rPr>
        <w:t>分析</w:t>
      </w:r>
    </w:p>
    <w:p>
      <w:pPr>
        <w:pageBreakBefore w:val="0"/>
        <w:wordWrap/>
        <w:bidi w:val="0"/>
        <w:adjustRightInd w:val="0"/>
        <w:ind w:left="0" w:leftChars="0" w:right="0" w:rightChars="0" w:firstLine="480"/>
        <w:rPr>
          <w:rFonts w:hint="eastAsia" w:ascii="Times New Roman" w:hAnsi="Times New Roman" w:eastAsia="宋体" w:cs="Times New Roman"/>
          <w:color w:val="auto"/>
          <w:spacing w:val="0"/>
          <w:sz w:val="24"/>
          <w:highlight w:val="none"/>
          <w:lang w:eastAsia="zh-CN"/>
        </w:rPr>
      </w:pPr>
      <w:r>
        <w:rPr>
          <w:rFonts w:hint="eastAsia" w:ascii="Times New Roman" w:hAnsi="Times New Roman" w:eastAsia="宋体" w:cs="Times New Roman"/>
          <w:color w:val="auto"/>
          <w:spacing w:val="0"/>
          <w:sz w:val="24"/>
          <w:highlight w:val="none"/>
          <w:lang w:val="en-US" w:eastAsia="zh-CN"/>
        </w:rPr>
        <w:t>《</w:t>
      </w:r>
      <w:r>
        <w:rPr>
          <w:rFonts w:hint="default" w:ascii="Times New Roman" w:hAnsi="Times New Roman" w:eastAsia="宋体" w:cs="Times New Roman"/>
          <w:color w:val="auto"/>
          <w:spacing w:val="0"/>
          <w:sz w:val="24"/>
          <w:highlight w:val="none"/>
        </w:rPr>
        <w:fldChar w:fldCharType="begin"/>
      </w:r>
      <w:r>
        <w:rPr>
          <w:rFonts w:hint="default" w:ascii="Times New Roman" w:hAnsi="Times New Roman" w:eastAsia="宋体" w:cs="Times New Roman"/>
          <w:color w:val="auto"/>
          <w:spacing w:val="0"/>
          <w:sz w:val="24"/>
          <w:highlight w:val="none"/>
        </w:rPr>
        <w:instrText xml:space="preserve"> HYPERLINK "http://xjtc.gov.cn/upload/history/main/_local/4/c8/64/764e97de2e72c3ae25342593b3e_253d096b_26513.docx" </w:instrText>
      </w:r>
      <w:r>
        <w:rPr>
          <w:rFonts w:hint="default" w:ascii="Times New Roman" w:hAnsi="Times New Roman" w:eastAsia="宋体" w:cs="Times New Roman"/>
          <w:color w:val="auto"/>
          <w:spacing w:val="0"/>
          <w:sz w:val="24"/>
          <w:highlight w:val="none"/>
        </w:rPr>
        <w:fldChar w:fldCharType="separate"/>
      </w:r>
      <w:r>
        <w:rPr>
          <w:rFonts w:hint="eastAsia" w:ascii="Times New Roman" w:hAnsi="Times New Roman" w:eastAsia="宋体" w:cs="Times New Roman"/>
          <w:color w:val="auto"/>
          <w:spacing w:val="0"/>
          <w:sz w:val="24"/>
          <w:highlight w:val="none"/>
        </w:rPr>
        <w:t>塔城地区国民经济和社会发展第十四个五年规划和2035年远景目标纲要</w:t>
      </w:r>
      <w:r>
        <w:rPr>
          <w:rFonts w:hint="eastAsia" w:ascii="Times New Roman" w:hAnsi="Times New Roman" w:eastAsia="宋体" w:cs="Times New Roman"/>
          <w:color w:val="auto"/>
          <w:spacing w:val="0"/>
          <w:sz w:val="24"/>
          <w:highlight w:val="none"/>
        </w:rPr>
        <w:fldChar w:fldCharType="end"/>
      </w:r>
      <w:r>
        <w:rPr>
          <w:rFonts w:hint="eastAsia" w:ascii="Times New Roman" w:hAnsi="Times New Roman" w:eastAsia="宋体" w:cs="Times New Roman"/>
          <w:color w:val="auto"/>
          <w:spacing w:val="0"/>
          <w:sz w:val="24"/>
          <w:highlight w:val="none"/>
          <w:lang w:eastAsia="zh-CN"/>
        </w:rPr>
        <w:t>》</w:t>
      </w:r>
      <w:r>
        <w:rPr>
          <w:rFonts w:hint="eastAsia" w:ascii="Times New Roman" w:hAnsi="Times New Roman" w:eastAsia="宋体" w:cs="Times New Roman"/>
          <w:color w:val="auto"/>
          <w:spacing w:val="0"/>
          <w:sz w:val="24"/>
          <w:highlight w:val="none"/>
          <w:lang w:val="en-US" w:eastAsia="zh-CN"/>
        </w:rPr>
        <w:t>中提出：“</w:t>
      </w:r>
      <w:r>
        <w:rPr>
          <w:rFonts w:hint="eastAsia" w:ascii="Times New Roman" w:hAnsi="Times New Roman" w:eastAsia="宋体" w:cs="Times New Roman"/>
          <w:color w:val="auto"/>
          <w:spacing w:val="0"/>
          <w:sz w:val="24"/>
          <w:highlight w:val="none"/>
        </w:rPr>
        <w:t>推动畜牧业高质量发展。</w:t>
      </w:r>
      <w:r>
        <w:rPr>
          <w:rFonts w:hint="eastAsia" w:ascii="Times New Roman" w:hAnsi="Times New Roman" w:eastAsia="宋体" w:cs="Times New Roman"/>
          <w:color w:val="auto"/>
          <w:spacing w:val="0"/>
          <w:sz w:val="24"/>
          <w:highlight w:val="none"/>
          <w:lang w:eastAsia="zh-CN"/>
        </w:rPr>
        <w:t>坚持</w:t>
      </w:r>
      <w:r>
        <w:rPr>
          <w:rFonts w:hint="default" w:ascii="Times New Roman" w:hAnsi="Times New Roman" w:eastAsia="宋体" w:cs="Times New Roman"/>
          <w:color w:val="auto"/>
          <w:spacing w:val="0"/>
          <w:sz w:val="24"/>
          <w:highlight w:val="none"/>
        </w:rPr>
        <w:t>“高起点、高标准、高质量、高要求、高效益”</w:t>
      </w:r>
      <w:r>
        <w:rPr>
          <w:rFonts w:hint="eastAsia" w:ascii="Times New Roman" w:hAnsi="Times New Roman" w:eastAsia="宋体" w:cs="Times New Roman"/>
          <w:color w:val="auto"/>
          <w:spacing w:val="0"/>
          <w:sz w:val="24"/>
          <w:highlight w:val="none"/>
          <w:lang w:eastAsia="zh-CN"/>
        </w:rPr>
        <w:t>，</w:t>
      </w:r>
      <w:r>
        <w:rPr>
          <w:rFonts w:hint="default" w:ascii="Times New Roman" w:hAnsi="Times New Roman" w:eastAsia="宋体" w:cs="Times New Roman"/>
          <w:color w:val="auto"/>
          <w:spacing w:val="0"/>
          <w:sz w:val="24"/>
          <w:highlight w:val="none"/>
        </w:rPr>
        <w:t>巩固提升畜禽良种繁育体系、饲草料保障体系、畜牧业产业化经营体系、动物疫病防控体系建设水平，推动畜牧业“优质、高效、安全、生态”发展</w:t>
      </w:r>
      <w:r>
        <w:rPr>
          <w:rFonts w:hint="eastAsia" w:ascii="Times New Roman" w:hAnsi="Times New Roman" w:eastAsia="宋体" w:cs="Times New Roman"/>
          <w:color w:val="auto"/>
          <w:spacing w:val="0"/>
          <w:sz w:val="24"/>
          <w:highlight w:val="none"/>
        </w:rPr>
        <w:t>，构建起饲料、种源、扩繁、养殖、屠宰、加工全产业链。</w:t>
      </w:r>
      <w:r>
        <w:rPr>
          <w:rFonts w:hint="eastAsia" w:ascii="Times New Roman" w:hAnsi="Times New Roman" w:eastAsia="宋体" w:cs="Times New Roman"/>
          <w:color w:val="auto"/>
          <w:spacing w:val="0"/>
          <w:sz w:val="24"/>
          <w:highlight w:val="none"/>
          <w:lang w:eastAsia="zh-CN"/>
        </w:rPr>
        <w:t>”“</w:t>
      </w:r>
      <w:r>
        <w:rPr>
          <w:rFonts w:hint="eastAsia" w:ascii="Times New Roman" w:hAnsi="Times New Roman" w:eastAsia="宋体" w:cs="Times New Roman"/>
          <w:color w:val="auto"/>
          <w:spacing w:val="0"/>
          <w:sz w:val="24"/>
          <w:highlight w:val="none"/>
        </w:rPr>
        <w:t>进一步推广农业废弃物资源化、农作物秸秆、畜禽养殖废弃物资源化综合利用，发展绿色低碳循环农业。</w:t>
      </w:r>
      <w:r>
        <w:rPr>
          <w:rFonts w:hint="eastAsia" w:ascii="Times New Roman" w:hAnsi="Times New Roman" w:eastAsia="宋体" w:cs="Times New Roman"/>
          <w:color w:val="auto"/>
          <w:spacing w:val="0"/>
          <w:sz w:val="24"/>
          <w:highlight w:val="none"/>
          <w:lang w:eastAsia="zh-CN"/>
        </w:rPr>
        <w:t>”</w:t>
      </w:r>
    </w:p>
    <w:p>
      <w:pPr>
        <w:pageBreakBefore w:val="0"/>
        <w:wordWrap/>
        <w:bidi w:val="0"/>
        <w:adjustRightInd w:val="0"/>
        <w:ind w:left="0" w:leftChars="0" w:right="0" w:rightChars="0" w:firstLine="480"/>
        <w:rPr>
          <w:rFonts w:hint="eastAsia" w:ascii="Times New Roman" w:hAnsi="Times New Roman" w:cs="Times New Roman"/>
          <w:color w:val="auto"/>
          <w:highlight w:val="none"/>
          <w:lang w:val="en-US" w:eastAsia="zh-CN"/>
        </w:rPr>
      </w:pPr>
      <w:r>
        <w:rPr>
          <w:rFonts w:hint="default" w:ascii="Times New Roman" w:hAnsi="Times New Roman" w:eastAsia="宋体" w:cs="Times New Roman"/>
          <w:color w:val="auto"/>
          <w:spacing w:val="0"/>
          <w:sz w:val="24"/>
          <w:highlight w:val="none"/>
          <w:lang w:eastAsia="zh-CN"/>
        </w:rPr>
        <w:t>本项目为</w:t>
      </w:r>
      <w:r>
        <w:rPr>
          <w:rFonts w:hint="eastAsia" w:ascii="Times New Roman" w:hAnsi="Times New Roman" w:eastAsia="宋体" w:cs="Times New Roman"/>
          <w:color w:val="auto"/>
          <w:spacing w:val="0"/>
          <w:sz w:val="24"/>
          <w:highlight w:val="none"/>
          <w:lang w:val="en-US" w:eastAsia="zh-CN"/>
        </w:rPr>
        <w:t>奶牛</w:t>
      </w:r>
      <w:r>
        <w:rPr>
          <w:rFonts w:hint="default" w:ascii="Times New Roman" w:hAnsi="Times New Roman" w:eastAsia="宋体" w:cs="Times New Roman"/>
          <w:color w:val="auto"/>
          <w:spacing w:val="0"/>
          <w:sz w:val="24"/>
          <w:highlight w:val="none"/>
          <w:lang w:eastAsia="zh-CN"/>
        </w:rPr>
        <w:t>规模化养殖基地建设项目</w:t>
      </w:r>
      <w:r>
        <w:rPr>
          <w:rFonts w:hint="default" w:ascii="Times New Roman" w:hAnsi="Times New Roman" w:eastAsia="宋体" w:cs="Times New Roman"/>
          <w:color w:val="auto"/>
          <w:spacing w:val="0"/>
          <w:sz w:val="24"/>
          <w:highlight w:val="none"/>
        </w:rPr>
        <w:t>，</w:t>
      </w:r>
      <w:r>
        <w:rPr>
          <w:rFonts w:hint="default" w:ascii="Times New Roman" w:hAnsi="Times New Roman" w:eastAsia="宋体" w:cs="Times New Roman"/>
          <w:color w:val="auto"/>
          <w:highlight w:val="none"/>
        </w:rPr>
        <w:t>畜禽养殖废弃物</w:t>
      </w:r>
      <w:r>
        <w:rPr>
          <w:rFonts w:hint="default" w:ascii="Times New Roman" w:hAnsi="Times New Roman" w:cs="Times New Roman"/>
          <w:color w:val="auto"/>
          <w:highlight w:val="none"/>
          <w:lang w:val="en-US" w:eastAsia="zh-CN"/>
        </w:rPr>
        <w:t>均得到</w:t>
      </w:r>
      <w:r>
        <w:rPr>
          <w:rFonts w:hint="default" w:ascii="Times New Roman" w:hAnsi="Times New Roman" w:eastAsia="宋体" w:cs="Times New Roman"/>
          <w:color w:val="auto"/>
          <w:highlight w:val="none"/>
        </w:rPr>
        <w:t>资源化利用，</w:t>
      </w:r>
      <w:r>
        <w:rPr>
          <w:rFonts w:hint="eastAsia" w:ascii="Times New Roman" w:hAnsi="Times New Roman" w:cs="Times New Roman"/>
          <w:color w:val="auto"/>
          <w:highlight w:val="none"/>
          <w:lang w:val="en-US" w:eastAsia="zh-CN"/>
        </w:rPr>
        <w:t>符合《</w:t>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HYPERLINK "http://xjtc.gov.cn/upload/history/main/_local/4/c8/64/764e97de2e72c3ae25342593b3e_253d096b_26513.docx" </w:instrText>
      </w:r>
      <w:r>
        <w:rPr>
          <w:rFonts w:hint="default" w:ascii="Times New Roman" w:hAnsi="Times New Roman" w:eastAsia="宋体" w:cs="Times New Roman"/>
          <w:color w:val="auto"/>
          <w:highlight w:val="none"/>
        </w:rPr>
        <w:fldChar w:fldCharType="separate"/>
      </w:r>
      <w:r>
        <w:rPr>
          <w:rFonts w:hint="eastAsia" w:ascii="Times New Roman" w:hAnsi="Times New Roman" w:eastAsia="宋体" w:cs="Times New Roman"/>
          <w:color w:val="auto"/>
          <w:highlight w:val="none"/>
        </w:rPr>
        <w:t>塔城地区国民经济和社会发展第十四个五年规划和2035年远景目标纲要</w:t>
      </w:r>
      <w:r>
        <w:rPr>
          <w:rFonts w:hint="eastAsia" w:ascii="Times New Roman" w:hAnsi="Times New Roman" w:eastAsia="宋体" w:cs="Times New Roman"/>
          <w:color w:val="auto"/>
          <w:highlight w:val="none"/>
        </w:rPr>
        <w:fldChar w:fldCharType="end"/>
      </w:r>
      <w:r>
        <w:rPr>
          <w:rFonts w:hint="eastAsia" w:ascii="Times New Roman" w:hAnsi="Times New Roman" w:cs="Times New Roman"/>
          <w:color w:val="auto"/>
          <w:highlight w:val="none"/>
          <w:lang w:val="en-US" w:eastAsia="zh-CN"/>
        </w:rPr>
        <w:t>》的要求。</w:t>
      </w:r>
    </w:p>
    <w:p>
      <w:pPr>
        <w:pStyle w:val="6"/>
        <w:pageBreakBefore w:val="0"/>
        <w:wordWrap/>
        <w:bidi w:val="0"/>
        <w:adjustRightInd w:val="0"/>
        <w:ind w:left="0" w:leftChars="0" w:right="0" w:rightChars="0" w:firstLine="0" w:firstLineChars="0"/>
        <w:rPr>
          <w:rFonts w:hint="default"/>
          <w:color w:val="auto"/>
          <w:lang w:val="en-US" w:eastAsia="zh-CN"/>
        </w:rPr>
      </w:pPr>
      <w:r>
        <w:rPr>
          <w:rFonts w:hint="eastAsia" w:cs="Times New Roman"/>
          <w:color w:val="auto"/>
          <w:highlight w:val="none"/>
          <w:lang w:val="en-US" w:eastAsia="zh-CN"/>
        </w:rPr>
        <w:t>与</w:t>
      </w:r>
      <w:r>
        <w:rPr>
          <w:rFonts w:hint="eastAsia" w:cs="Times New Roman"/>
          <w:color w:val="auto"/>
          <w:highlight w:val="none"/>
          <w:lang w:eastAsia="zh-CN"/>
        </w:rPr>
        <w:t>《</w:t>
      </w:r>
      <w:r>
        <w:rPr>
          <w:rFonts w:hint="eastAsia" w:cs="Times New Roman"/>
          <w:color w:val="auto"/>
          <w:highlight w:val="none"/>
          <w:lang w:val="en-US" w:eastAsia="zh-CN"/>
        </w:rPr>
        <w:t>塔城地区</w:t>
      </w:r>
      <w:r>
        <w:rPr>
          <w:rFonts w:hint="default" w:ascii="Times New Roman" w:hAnsi="Times New Roman" w:eastAsia="宋体" w:cs="Times New Roman"/>
          <w:color w:val="auto"/>
          <w:highlight w:val="none"/>
        </w:rPr>
        <w:t>生态环境保护“十四五”规划</w:t>
      </w:r>
      <w:r>
        <w:rPr>
          <w:rFonts w:hint="eastAsia" w:cs="Times New Roman"/>
          <w:color w:val="auto"/>
          <w:highlight w:val="none"/>
          <w:lang w:eastAsia="zh-CN"/>
        </w:rPr>
        <w:t>》</w:t>
      </w:r>
      <w:r>
        <w:rPr>
          <w:rFonts w:hint="default" w:ascii="Times New Roman" w:hAnsi="Times New Roman" w:eastAsia="宋体" w:cs="Times New Roman"/>
          <w:color w:val="auto"/>
          <w:highlight w:val="none"/>
        </w:rPr>
        <w:t>符合性分析</w:t>
      </w:r>
    </w:p>
    <w:p>
      <w:pPr>
        <w:pageBreakBefore w:val="0"/>
        <w:wordWrap/>
        <w:bidi w:val="0"/>
        <w:adjustRightInd w:val="0"/>
        <w:ind w:left="0" w:leftChars="0" w:right="0" w:rightChars="0" w:firstLine="480"/>
        <w:rPr>
          <w:rFonts w:hint="eastAsia" w:ascii="Times New Roman" w:hAnsi="Times New Roman" w:eastAsia="宋体" w:cs="Times New Roman"/>
          <w:color w:val="auto"/>
          <w:spacing w:val="0"/>
          <w:sz w:val="24"/>
          <w:highlight w:val="none"/>
          <w:lang w:eastAsia="zh-CN"/>
        </w:rPr>
      </w:pPr>
      <w:r>
        <w:rPr>
          <w:rFonts w:hint="eastAsia" w:ascii="Times New Roman" w:hAnsi="Times New Roman" w:eastAsia="宋体" w:cs="Times New Roman"/>
          <w:color w:val="auto"/>
          <w:spacing w:val="0"/>
          <w:sz w:val="24"/>
          <w:highlight w:val="none"/>
          <w:lang w:eastAsia="zh-CN"/>
        </w:rPr>
        <w:t>《</w:t>
      </w:r>
      <w:r>
        <w:rPr>
          <w:rFonts w:hint="eastAsia" w:ascii="Times New Roman" w:hAnsi="Times New Roman" w:eastAsia="宋体" w:cs="Times New Roman"/>
          <w:color w:val="auto"/>
          <w:spacing w:val="0"/>
          <w:sz w:val="24"/>
          <w:highlight w:val="none"/>
          <w:lang w:val="en-US" w:eastAsia="zh-CN"/>
        </w:rPr>
        <w:t>塔城地区</w:t>
      </w:r>
      <w:r>
        <w:rPr>
          <w:rFonts w:hint="default" w:ascii="Times New Roman" w:hAnsi="Times New Roman" w:eastAsia="宋体" w:cs="Times New Roman"/>
          <w:color w:val="auto"/>
          <w:spacing w:val="0"/>
          <w:sz w:val="24"/>
          <w:highlight w:val="none"/>
          <w:lang w:eastAsia="zh-CN"/>
        </w:rPr>
        <w:t>生态环境保护“十四五”规划</w:t>
      </w:r>
      <w:r>
        <w:rPr>
          <w:rFonts w:hint="eastAsia" w:ascii="Times New Roman" w:hAnsi="Times New Roman" w:eastAsia="宋体" w:cs="Times New Roman"/>
          <w:color w:val="auto"/>
          <w:spacing w:val="0"/>
          <w:sz w:val="24"/>
          <w:highlight w:val="none"/>
          <w:lang w:eastAsia="zh-CN"/>
        </w:rPr>
        <w:t>》</w:t>
      </w:r>
      <w:r>
        <w:rPr>
          <w:rFonts w:hint="eastAsia" w:ascii="Times New Roman" w:hAnsi="Times New Roman" w:eastAsia="宋体" w:cs="Times New Roman"/>
          <w:color w:val="auto"/>
          <w:spacing w:val="0"/>
          <w:sz w:val="24"/>
          <w:highlight w:val="none"/>
          <w:lang w:val="en-US" w:eastAsia="zh-CN"/>
        </w:rPr>
        <w:t>中提出：“</w:t>
      </w:r>
      <w:r>
        <w:rPr>
          <w:rFonts w:hint="eastAsia" w:ascii="Times New Roman" w:hAnsi="Times New Roman" w:eastAsia="宋体" w:cs="Times New Roman"/>
          <w:color w:val="auto"/>
          <w:spacing w:val="0"/>
          <w:sz w:val="24"/>
          <w:highlight w:val="none"/>
          <w:lang w:eastAsia="zh-CN"/>
        </w:rPr>
        <w:t>继续推进新建、改建、扩建的规模化畜禽养殖场（小区）应实行干湿分流、粪便污水资源化利用等措施。”“</w:t>
      </w:r>
      <w:r>
        <w:rPr>
          <w:rFonts w:hint="default" w:ascii="Times New Roman" w:hAnsi="Times New Roman" w:eastAsia="宋体" w:cs="Times New Roman"/>
          <w:color w:val="auto"/>
          <w:spacing w:val="0"/>
          <w:sz w:val="24"/>
          <w:highlight w:val="none"/>
          <w:lang w:eastAsia="zh-CN"/>
        </w:rPr>
        <w:t>强化养殖业污染治理。推进畜禽粪污资源化利用，大力发展生态循环农业，推广粪污全量收集还田、污水肥料化利用等模式，探索政府购买服务机制，推进畜禽养殖大县整县治理</w:t>
      </w:r>
      <w:r>
        <w:rPr>
          <w:rFonts w:hint="eastAsia" w:ascii="Times New Roman" w:hAnsi="Times New Roman" w:eastAsia="宋体" w:cs="Times New Roman"/>
          <w:color w:val="auto"/>
          <w:spacing w:val="0"/>
          <w:sz w:val="24"/>
          <w:highlight w:val="none"/>
          <w:lang w:eastAsia="zh-CN"/>
        </w:rPr>
        <w:t>。”“</w:t>
      </w:r>
      <w:r>
        <w:rPr>
          <w:rFonts w:hint="default" w:ascii="Times New Roman" w:hAnsi="Times New Roman" w:eastAsia="宋体" w:cs="Times New Roman"/>
          <w:color w:val="auto"/>
          <w:spacing w:val="0"/>
          <w:sz w:val="24"/>
          <w:highlight w:val="none"/>
          <w:lang w:eastAsia="zh-CN"/>
        </w:rPr>
        <w:t>推广畜禽粪污全量收集还田、污水肥料化利用等模式。</w:t>
      </w:r>
      <w:r>
        <w:rPr>
          <w:rFonts w:hint="eastAsia" w:ascii="Times New Roman" w:hAnsi="Times New Roman" w:eastAsia="宋体" w:cs="Times New Roman"/>
          <w:color w:val="auto"/>
          <w:spacing w:val="0"/>
          <w:sz w:val="24"/>
          <w:highlight w:val="none"/>
          <w:lang w:eastAsia="zh-CN"/>
        </w:rPr>
        <w:t>”</w:t>
      </w:r>
    </w:p>
    <w:p>
      <w:pPr>
        <w:pStyle w:val="47"/>
        <w:rPr>
          <w:rFonts w:hint="default" w:ascii="Times New Roman" w:hAnsi="Times New Roman" w:eastAsia="宋体" w:cs="Times New Roman"/>
          <w:color w:val="auto"/>
          <w:spacing w:val="0"/>
          <w:sz w:val="24"/>
          <w:highlight w:val="none"/>
          <w:lang w:val="en-US" w:eastAsia="zh-CN"/>
        </w:rPr>
      </w:pPr>
      <w:r>
        <w:rPr>
          <w:rFonts w:hint="default" w:ascii="Times New Roman" w:hAnsi="Times New Roman" w:eastAsia="宋体" w:cs="Times New Roman"/>
          <w:color w:val="auto"/>
          <w:spacing w:val="0"/>
          <w:sz w:val="24"/>
          <w:highlight w:val="none"/>
          <w:lang w:eastAsia="zh-CN"/>
        </w:rPr>
        <w:t>本项目为</w:t>
      </w:r>
      <w:r>
        <w:rPr>
          <w:rFonts w:hint="eastAsia" w:ascii="Times New Roman" w:hAnsi="Times New Roman" w:eastAsia="宋体" w:cs="Times New Roman"/>
          <w:color w:val="auto"/>
          <w:spacing w:val="0"/>
          <w:sz w:val="24"/>
          <w:highlight w:val="none"/>
          <w:lang w:val="en-US" w:eastAsia="zh-CN"/>
        </w:rPr>
        <w:t>奶牛</w:t>
      </w:r>
      <w:r>
        <w:rPr>
          <w:rFonts w:hint="default" w:ascii="Times New Roman" w:hAnsi="Times New Roman" w:eastAsia="宋体" w:cs="Times New Roman"/>
          <w:color w:val="auto"/>
          <w:spacing w:val="0"/>
          <w:sz w:val="24"/>
          <w:highlight w:val="none"/>
          <w:lang w:eastAsia="zh-CN"/>
        </w:rPr>
        <w:t>规模化养殖基地建设项目，</w:t>
      </w:r>
      <w:r>
        <w:rPr>
          <w:rFonts w:hint="eastAsia" w:ascii="Times New Roman" w:hAnsi="Times New Roman" w:eastAsia="宋体" w:cs="Times New Roman"/>
          <w:color w:val="auto"/>
          <w:spacing w:val="0"/>
          <w:sz w:val="24"/>
          <w:highlight w:val="none"/>
          <w:lang w:val="en-US" w:eastAsia="zh-CN"/>
        </w:rPr>
        <w:t>采用干清粪的方式，</w:t>
      </w:r>
      <w:r>
        <w:rPr>
          <w:rFonts w:hint="default" w:ascii="Times New Roman" w:hAnsi="Times New Roman" w:eastAsia="宋体" w:cs="Times New Roman"/>
          <w:color w:val="auto"/>
          <w:spacing w:val="0"/>
          <w:sz w:val="24"/>
          <w:highlight w:val="none"/>
          <w:lang w:val="en-US" w:eastAsia="zh-CN"/>
        </w:rPr>
        <w:t>粪污经过堆肥后</w:t>
      </w:r>
      <w:r>
        <w:rPr>
          <w:rFonts w:hint="eastAsia" w:ascii="Times New Roman" w:hAnsi="Times New Roman" w:eastAsia="宋体" w:cs="Times New Roman"/>
          <w:color w:val="auto"/>
          <w:spacing w:val="0"/>
          <w:sz w:val="24"/>
          <w:highlight w:val="none"/>
          <w:lang w:val="en-US" w:eastAsia="zh-CN"/>
        </w:rPr>
        <w:t>用于垫料及还田利用，</w:t>
      </w:r>
      <w:r>
        <w:rPr>
          <w:rFonts w:hint="default" w:ascii="Times New Roman" w:hAnsi="Times New Roman" w:eastAsia="宋体" w:cs="Times New Roman"/>
          <w:color w:val="auto"/>
          <w:spacing w:val="0"/>
          <w:sz w:val="24"/>
          <w:highlight w:val="none"/>
          <w:lang w:eastAsia="zh-CN"/>
        </w:rPr>
        <w:t>畜禽养殖废弃物</w:t>
      </w:r>
      <w:r>
        <w:rPr>
          <w:rFonts w:hint="default" w:ascii="Times New Roman" w:hAnsi="Times New Roman" w:eastAsia="宋体" w:cs="Times New Roman"/>
          <w:color w:val="auto"/>
          <w:spacing w:val="0"/>
          <w:sz w:val="24"/>
          <w:highlight w:val="none"/>
          <w:lang w:val="en-US" w:eastAsia="zh-CN"/>
        </w:rPr>
        <w:t>均得到</w:t>
      </w:r>
      <w:r>
        <w:rPr>
          <w:rFonts w:hint="default" w:ascii="Times New Roman" w:hAnsi="Times New Roman" w:eastAsia="宋体" w:cs="Times New Roman"/>
          <w:color w:val="auto"/>
          <w:spacing w:val="0"/>
          <w:sz w:val="24"/>
          <w:highlight w:val="none"/>
          <w:lang w:eastAsia="zh-CN"/>
        </w:rPr>
        <w:t>资源化利用</w:t>
      </w:r>
      <w:r>
        <w:rPr>
          <w:rFonts w:hint="eastAsia" w:ascii="Times New Roman" w:hAnsi="Times New Roman" w:eastAsia="宋体" w:cs="Times New Roman"/>
          <w:color w:val="auto"/>
          <w:spacing w:val="0"/>
          <w:sz w:val="24"/>
          <w:highlight w:val="none"/>
          <w:lang w:eastAsia="zh-CN"/>
        </w:rPr>
        <w:t>，</w:t>
      </w:r>
      <w:r>
        <w:rPr>
          <w:rFonts w:hint="eastAsia" w:ascii="Times New Roman" w:hAnsi="Times New Roman" w:eastAsia="宋体" w:cs="Times New Roman"/>
          <w:color w:val="auto"/>
          <w:spacing w:val="0"/>
          <w:sz w:val="24"/>
          <w:highlight w:val="none"/>
          <w:lang w:val="en-US" w:eastAsia="zh-CN"/>
        </w:rPr>
        <w:t>符合</w:t>
      </w:r>
      <w:r>
        <w:rPr>
          <w:rFonts w:hint="eastAsia" w:ascii="Times New Roman" w:hAnsi="Times New Roman" w:eastAsia="宋体" w:cs="Times New Roman"/>
          <w:color w:val="auto"/>
          <w:spacing w:val="0"/>
          <w:sz w:val="24"/>
          <w:highlight w:val="none"/>
          <w:lang w:eastAsia="zh-CN"/>
        </w:rPr>
        <w:t>《</w:t>
      </w:r>
      <w:r>
        <w:rPr>
          <w:rFonts w:hint="eastAsia" w:ascii="Times New Roman" w:hAnsi="Times New Roman" w:eastAsia="宋体" w:cs="Times New Roman"/>
          <w:color w:val="auto"/>
          <w:spacing w:val="0"/>
          <w:sz w:val="24"/>
          <w:highlight w:val="none"/>
          <w:lang w:val="en-US" w:eastAsia="zh-CN"/>
        </w:rPr>
        <w:t>塔城地区</w:t>
      </w:r>
      <w:r>
        <w:rPr>
          <w:rFonts w:hint="default" w:ascii="Times New Roman" w:hAnsi="Times New Roman" w:eastAsia="宋体" w:cs="Times New Roman"/>
          <w:color w:val="auto"/>
          <w:spacing w:val="0"/>
          <w:sz w:val="24"/>
          <w:highlight w:val="none"/>
          <w:lang w:eastAsia="zh-CN"/>
        </w:rPr>
        <w:t>生态环境保护“十四五”规划</w:t>
      </w:r>
      <w:r>
        <w:rPr>
          <w:rFonts w:hint="eastAsia" w:ascii="Times New Roman" w:hAnsi="Times New Roman" w:eastAsia="宋体" w:cs="Times New Roman"/>
          <w:color w:val="auto"/>
          <w:spacing w:val="0"/>
          <w:sz w:val="24"/>
          <w:highlight w:val="none"/>
          <w:lang w:eastAsia="zh-CN"/>
        </w:rPr>
        <w:t>》</w:t>
      </w:r>
      <w:r>
        <w:rPr>
          <w:rFonts w:hint="eastAsia" w:ascii="Times New Roman" w:hAnsi="Times New Roman" w:eastAsia="宋体" w:cs="Times New Roman"/>
          <w:color w:val="auto"/>
          <w:spacing w:val="0"/>
          <w:sz w:val="24"/>
          <w:highlight w:val="none"/>
          <w:lang w:val="en-US" w:eastAsia="zh-CN"/>
        </w:rPr>
        <w:t>的要求。</w:t>
      </w:r>
    </w:p>
    <w:p>
      <w:pPr>
        <w:pStyle w:val="5"/>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rPr>
      </w:pPr>
      <w:bookmarkStart w:id="45" w:name="_Toc31693"/>
      <w:r>
        <w:rPr>
          <w:rFonts w:hint="default" w:ascii="Times New Roman" w:hAnsi="Times New Roman" w:eastAsia="宋体" w:cs="Times New Roman"/>
          <w:color w:val="auto"/>
          <w:highlight w:val="none"/>
        </w:rPr>
        <w:t>与相关法律法规的符合性分析</w:t>
      </w:r>
      <w:bookmarkEnd w:id="45"/>
    </w:p>
    <w:p>
      <w:pPr>
        <w:pStyle w:val="6"/>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与《中华人民共和国畜牧法》（2015年修正）符合性分析 </w:t>
      </w:r>
    </w:p>
    <w:p>
      <w:pPr>
        <w:pageBreakBefore w:val="0"/>
        <w:wordWrap/>
        <w:bidi w:val="0"/>
        <w:adjustRightInd w:val="0"/>
        <w:ind w:left="0" w:leftChars="0" w:right="0" w:rightChars="0" w:firstLine="480"/>
        <w:rPr>
          <w:rFonts w:hint="default" w:ascii="Times New Roman" w:hAnsi="Times New Roman" w:eastAsia="宋体" w:cs="Times New Roman"/>
          <w:color w:val="auto"/>
          <w:spacing w:val="0"/>
          <w:sz w:val="24"/>
          <w:szCs w:val="22"/>
          <w:highlight w:val="none"/>
        </w:rPr>
      </w:pPr>
      <w:r>
        <w:rPr>
          <w:rFonts w:hint="default" w:ascii="Times New Roman" w:hAnsi="Times New Roman" w:eastAsia="宋体" w:cs="Times New Roman"/>
          <w:color w:val="auto"/>
          <w:spacing w:val="0"/>
          <w:sz w:val="24"/>
          <w:highlight w:val="none"/>
        </w:rPr>
        <w:t>根据《中华人民共和国畜牧法》，第三十九条</w:t>
      </w:r>
      <w:r>
        <w:rPr>
          <w:rFonts w:hint="default" w:ascii="Times New Roman" w:hAnsi="Times New Roman" w:cs="Times New Roman"/>
          <w:color w:val="auto"/>
          <w:spacing w:val="0"/>
          <w:sz w:val="24"/>
          <w:highlight w:val="none"/>
          <w:lang w:val="en-US" w:eastAsia="zh-CN"/>
        </w:rPr>
        <w:t xml:space="preserve"> </w:t>
      </w:r>
      <w:r>
        <w:rPr>
          <w:rFonts w:hint="default" w:ascii="Times New Roman" w:hAnsi="Times New Roman" w:eastAsia="宋体" w:cs="Times New Roman"/>
          <w:color w:val="auto"/>
          <w:spacing w:val="0"/>
          <w:sz w:val="24"/>
          <w:highlight w:val="none"/>
        </w:rPr>
        <w:t>畜禽养殖场、养殖小区应当具备下列条件：（一）有与其饲养规模相适应的生产场所和配套的生产设施；（二）有为其服务的畜牧兽医技术人员；（三）具备法律、行政法规和国务院畜牧兽医行政主管部门规定的防疫条件；（四）有对畜禽粪便、废水和其他固体废弃物进行综合利用的沼气池等设施或者其他无害化处理设施；（五）具备法律、行政法规规定的其他条件。第四十条</w:t>
      </w:r>
      <w:r>
        <w:rPr>
          <w:rFonts w:hint="default" w:ascii="Times New Roman" w:hAnsi="Times New Roman" w:cs="Times New Roman"/>
          <w:color w:val="auto"/>
          <w:spacing w:val="0"/>
          <w:sz w:val="24"/>
          <w:highlight w:val="none"/>
          <w:lang w:val="en-US" w:eastAsia="zh-CN"/>
        </w:rPr>
        <w:t xml:space="preserve"> </w:t>
      </w:r>
      <w:r>
        <w:rPr>
          <w:rFonts w:hint="default" w:ascii="Times New Roman" w:hAnsi="Times New Roman" w:eastAsia="宋体" w:cs="Times New Roman"/>
          <w:color w:val="auto"/>
          <w:spacing w:val="0"/>
          <w:sz w:val="24"/>
          <w:highlight w:val="none"/>
        </w:rPr>
        <w:t>禁止在下列区域内建设畜禽养殖场、养殖小区：（一）生活饮用水的水源保护区，风景名胜区，以及自然保护区的核心区和缓冲区；（二）城镇居民区、文化教育科学研究区等人口集中区域；（三）法律、法规规定的其他禁养区域。第四十二条</w:t>
      </w:r>
      <w:r>
        <w:rPr>
          <w:rFonts w:hint="default" w:ascii="Times New Roman" w:hAnsi="Times New Roman" w:cs="Times New Roman"/>
          <w:color w:val="auto"/>
          <w:spacing w:val="0"/>
          <w:sz w:val="24"/>
          <w:highlight w:val="none"/>
          <w:lang w:val="en-US" w:eastAsia="zh-CN"/>
        </w:rPr>
        <w:t xml:space="preserve"> </w:t>
      </w:r>
      <w:r>
        <w:rPr>
          <w:rFonts w:hint="default" w:ascii="Times New Roman" w:hAnsi="Times New Roman" w:eastAsia="宋体" w:cs="Times New Roman"/>
          <w:color w:val="auto"/>
          <w:spacing w:val="0"/>
          <w:sz w:val="24"/>
          <w:highlight w:val="none"/>
        </w:rPr>
        <w:t>畜禽养殖场应当为其饲养的畜禽提供适当的繁殖条件和生存、生长环境。第四十四条</w:t>
      </w:r>
      <w:r>
        <w:rPr>
          <w:rFonts w:hint="default" w:ascii="Times New Roman" w:hAnsi="Times New Roman" w:cs="Times New Roman"/>
          <w:color w:val="auto"/>
          <w:spacing w:val="0"/>
          <w:sz w:val="24"/>
          <w:highlight w:val="none"/>
          <w:lang w:val="en-US" w:eastAsia="zh-CN"/>
        </w:rPr>
        <w:t xml:space="preserve"> </w:t>
      </w:r>
      <w:r>
        <w:rPr>
          <w:rFonts w:hint="default" w:ascii="Times New Roman" w:hAnsi="Times New Roman" w:eastAsia="宋体" w:cs="Times New Roman"/>
          <w:color w:val="auto"/>
          <w:spacing w:val="0"/>
          <w:sz w:val="24"/>
          <w:highlight w:val="none"/>
        </w:rPr>
        <w:t>从事畜禽养殖，应当依照《中华人民共和国动物防疫法》的规定，做好畜禽疫病的防治工作。第四十六条</w:t>
      </w:r>
      <w:r>
        <w:rPr>
          <w:rFonts w:hint="default" w:ascii="Times New Roman" w:hAnsi="Times New Roman" w:cs="Times New Roman"/>
          <w:color w:val="auto"/>
          <w:spacing w:val="0"/>
          <w:sz w:val="24"/>
          <w:highlight w:val="none"/>
          <w:lang w:val="en-US" w:eastAsia="zh-CN"/>
        </w:rPr>
        <w:t xml:space="preserve"> </w:t>
      </w:r>
      <w:r>
        <w:rPr>
          <w:rFonts w:hint="default" w:ascii="Times New Roman" w:hAnsi="Times New Roman" w:eastAsia="宋体" w:cs="Times New Roman"/>
          <w:color w:val="auto"/>
          <w:spacing w:val="0"/>
          <w:sz w:val="24"/>
          <w:highlight w:val="none"/>
        </w:rPr>
        <w:t>畜禽养殖场、养殖小区应当保证畜禽粪便、废水及其他固体废弃物综合利用或者无害化处理设施的正常运转，保证污染物达标排放，防止污染环境。畜禽养殖场、养殖小区违法排放畜禽粪便、废水及其他固体废弃物，造成环境污染危害的，应当排除危害，依法赔偿损失。国家支持畜禽养殖场、养殖小区建设畜禽粪便、废水及其他固体废弃物的综合利用设施。</w:t>
      </w:r>
    </w:p>
    <w:p>
      <w:pPr>
        <w:pageBreakBefore w:val="0"/>
        <w:wordWrap/>
        <w:bidi w:val="0"/>
        <w:adjustRightInd w:val="0"/>
        <w:ind w:left="0" w:leftChars="0" w:right="0" w:rightChars="0" w:firstLine="480"/>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本项目位于</w:t>
      </w:r>
      <w:r>
        <w:rPr>
          <w:rFonts w:hint="default" w:ascii="Times New Roman" w:hAnsi="Times New Roman" w:cs="Times New Roman"/>
          <w:color w:val="auto"/>
          <w:highlight w:val="none"/>
          <w:lang w:val="en-US" w:eastAsia="zh-CN"/>
        </w:rPr>
        <w:t>塔城市博孜达克镇三园子村</w:t>
      </w:r>
      <w:r>
        <w:rPr>
          <w:rFonts w:hint="default" w:ascii="Times New Roman" w:hAnsi="Times New Roman" w:eastAsia="宋体" w:cs="Times New Roman"/>
          <w:color w:val="auto"/>
          <w:szCs w:val="22"/>
          <w:highlight w:val="none"/>
        </w:rPr>
        <w:t>，</w:t>
      </w:r>
      <w:r>
        <w:rPr>
          <w:rFonts w:hint="eastAsia" w:cs="Times New Roman"/>
          <w:color w:val="auto"/>
          <w:szCs w:val="22"/>
          <w:highlight w:val="none"/>
          <w:lang w:val="en-US" w:eastAsia="zh-CN"/>
        </w:rPr>
        <w:t>新建</w:t>
      </w:r>
      <w:r>
        <w:rPr>
          <w:rFonts w:hint="default" w:ascii="Times New Roman" w:hAnsi="Times New Roman" w:eastAsia="宋体" w:cs="Times New Roman"/>
          <w:color w:val="auto"/>
          <w:highlight w:val="none"/>
        </w:rPr>
        <w:t>与其饲养规模相适应的生产场所和配套的生产设施</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有为其服务的畜牧兽医技术人员</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具备法律、行政法规和国务院畜牧兽医行政主管部门规定的防疫条件</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项目设置了粪污的综合利用设施，粪污经堆肥后</w:t>
      </w:r>
      <w:r>
        <w:rPr>
          <w:rFonts w:hint="default" w:ascii="Times New Roman" w:hAnsi="Times New Roman" w:cs="Times New Roman"/>
          <w:color w:val="auto"/>
          <w:highlight w:val="none"/>
          <w:lang w:eastAsia="zh-CN"/>
        </w:rPr>
        <w:t>还田利用</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szCs w:val="22"/>
          <w:highlight w:val="none"/>
        </w:rPr>
        <w:t>选址不在上述的禁止区域，项目建设符合《中华人民共和国畜牧法》相关要求。</w:t>
      </w:r>
    </w:p>
    <w:p>
      <w:pPr>
        <w:pStyle w:val="6"/>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rPr>
      </w:pPr>
      <w:r>
        <w:rPr>
          <w:rFonts w:hint="eastAsia" w:ascii="Times New Roman" w:hAnsi="Times New Roman" w:cs="Times New Roman"/>
          <w:color w:val="auto"/>
          <w:highlight w:val="none"/>
          <w:lang w:val="en-US" w:eastAsia="zh-CN"/>
        </w:rPr>
        <w:t>与</w:t>
      </w:r>
      <w:r>
        <w:rPr>
          <w:rFonts w:hint="default" w:ascii="Times New Roman" w:hAnsi="Times New Roman" w:eastAsia="宋体" w:cs="Times New Roman"/>
          <w:color w:val="auto"/>
          <w:highlight w:val="none"/>
        </w:rPr>
        <w:t>《畜禽规模养殖污染防治条例》符合性分析</w:t>
      </w:r>
    </w:p>
    <w:p>
      <w:pPr>
        <w:pStyle w:val="56"/>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highlight w:val="none"/>
          <w:lang w:val="en-US" w:eastAsia="zh-CN"/>
        </w:rPr>
      </w:pPr>
      <w:r>
        <w:rPr>
          <w:rFonts w:hint="eastAsia" w:ascii="Times New Roman" w:hAnsi="Times New Roman" w:cs="Times New Roman"/>
          <w:snapToGrid w:val="0"/>
          <w:color w:val="auto"/>
          <w:highlight w:val="none"/>
          <w:lang w:val="en-US" w:eastAsia="zh-CN"/>
        </w:rPr>
        <w:t>表1.3-1   项目与</w:t>
      </w:r>
      <w:r>
        <w:rPr>
          <w:rFonts w:hint="default" w:ascii="Times New Roman" w:hAnsi="Times New Roman" w:eastAsia="宋体" w:cs="Times New Roman"/>
          <w:snapToGrid w:val="0"/>
          <w:color w:val="auto"/>
          <w:highlight w:val="none"/>
        </w:rPr>
        <w:t>《畜禽规模养殖污染防治条例》</w:t>
      </w:r>
      <w:r>
        <w:rPr>
          <w:rFonts w:hint="eastAsia" w:ascii="Times New Roman" w:hAnsi="Times New Roman" w:cs="Times New Roman"/>
          <w:snapToGrid w:val="0"/>
          <w:color w:val="auto"/>
          <w:highlight w:val="none"/>
          <w:lang w:val="en-US" w:eastAsia="zh-CN"/>
        </w:rPr>
        <w:t>的</w:t>
      </w:r>
      <w:r>
        <w:rPr>
          <w:rFonts w:hint="default" w:ascii="Times New Roman" w:hAnsi="Times New Roman" w:eastAsia="宋体" w:cs="Times New Roman"/>
          <w:color w:val="auto"/>
          <w:highlight w:val="none"/>
        </w:rPr>
        <w:t>符合性</w:t>
      </w:r>
      <w:r>
        <w:rPr>
          <w:rFonts w:hint="eastAsia" w:ascii="Times New Roman" w:hAnsi="Times New Roman" w:cs="Times New Roman"/>
          <w:snapToGrid w:val="0"/>
          <w:color w:val="auto"/>
          <w:highlight w:val="none"/>
          <w:lang w:val="en-US" w:eastAsia="zh-CN"/>
        </w:rPr>
        <w:t>分析</w:t>
      </w:r>
    </w:p>
    <w:tbl>
      <w:tblPr>
        <w:tblStyle w:val="39"/>
        <w:tblW w:w="879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91"/>
        <w:gridCol w:w="3021"/>
        <w:gridCol w:w="10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91"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要求</w:t>
            </w:r>
          </w:p>
        </w:tc>
        <w:tc>
          <w:tcPr>
            <w:tcW w:w="3021"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本项目</w:t>
            </w:r>
          </w:p>
        </w:tc>
        <w:tc>
          <w:tcPr>
            <w:tcW w:w="1078"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是否符合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91"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第十</w:t>
            </w:r>
            <w:r>
              <w:rPr>
                <w:rFonts w:hint="eastAsia" w:ascii="Times New Roman" w:hAnsi="Times New Roman" w:cs="Times New Roman"/>
                <w:color w:val="auto"/>
                <w:sz w:val="21"/>
                <w:szCs w:val="21"/>
                <w:highlight w:val="none"/>
                <w:lang w:val="en-US" w:eastAsia="zh-CN"/>
              </w:rPr>
              <w:t>一</w:t>
            </w:r>
            <w:r>
              <w:rPr>
                <w:rFonts w:hint="eastAsia" w:ascii="Times New Roman" w:hAnsi="Times New Roman" w:eastAsia="宋体" w:cs="Times New Roman"/>
                <w:color w:val="auto"/>
                <w:sz w:val="21"/>
                <w:szCs w:val="21"/>
                <w:highlight w:val="none"/>
                <w:lang w:val="en-US" w:eastAsia="zh-CN"/>
              </w:rPr>
              <w:t>条</w:t>
            </w:r>
            <w:r>
              <w:rPr>
                <w:rFonts w:hint="eastAsia" w:ascii="Times New Roman" w:hAnsi="Times New Roman"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rPr>
              <w:t>禁止在下列区域内建设畜禽养殖场、养殖小区：（一）饮用水水源保护区，风景名胜区；（二）自然保护区的核心区和缓冲区；（三）城镇居民区、文化教育科学研究区等人口集中区域；（四）法律、法规规定的其他禁止养殖区域。</w:t>
            </w:r>
          </w:p>
        </w:tc>
        <w:tc>
          <w:tcPr>
            <w:tcW w:w="3021"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本项</w:t>
            </w:r>
            <w:r>
              <w:rPr>
                <w:rFonts w:hint="default" w:ascii="Times New Roman" w:hAnsi="Times New Roman" w:eastAsia="宋体" w:cs="Times New Roman"/>
                <w:snapToGrid w:val="0"/>
                <w:color w:val="auto"/>
                <w:sz w:val="21"/>
                <w:szCs w:val="21"/>
                <w:highlight w:val="none"/>
              </w:rPr>
              <w:t>目位于</w:t>
            </w:r>
            <w:r>
              <w:rPr>
                <w:rFonts w:hint="default" w:ascii="Times New Roman" w:hAnsi="Times New Roman" w:eastAsia="宋体" w:cs="Times New Roman"/>
                <w:snapToGrid w:val="0"/>
                <w:color w:val="auto"/>
                <w:sz w:val="21"/>
                <w:szCs w:val="21"/>
                <w:highlight w:val="none"/>
                <w:lang w:eastAsia="zh-CN"/>
              </w:rPr>
              <w:t>塔城市博孜达克镇三园子村</w:t>
            </w:r>
            <w:r>
              <w:rPr>
                <w:rFonts w:hint="default" w:ascii="Times New Roman" w:hAnsi="Times New Roman" w:eastAsia="宋体" w:cs="Times New Roman"/>
                <w:snapToGrid w:val="0"/>
                <w:color w:val="auto"/>
                <w:sz w:val="21"/>
                <w:szCs w:val="21"/>
                <w:highlight w:val="none"/>
              </w:rPr>
              <w:t>。</w:t>
            </w:r>
            <w:r>
              <w:rPr>
                <w:rFonts w:hint="default" w:ascii="Times New Roman" w:hAnsi="Times New Roman" w:eastAsia="宋体" w:cs="Times New Roman"/>
                <w:color w:val="auto"/>
                <w:sz w:val="21"/>
                <w:szCs w:val="21"/>
                <w:highlight w:val="none"/>
                <w:lang w:val="en-US" w:eastAsia="zh-CN"/>
              </w:rPr>
              <w:t>根据</w:t>
            </w:r>
            <w:r>
              <w:rPr>
                <w:rFonts w:hint="default" w:ascii="Times New Roman" w:hAnsi="Times New Roman" w:eastAsia="宋体" w:cs="Times New Roman"/>
                <w:color w:val="auto"/>
                <w:sz w:val="21"/>
                <w:szCs w:val="21"/>
                <w:highlight w:val="none"/>
              </w:rPr>
              <w:t>现场调查，项目区周围无</w:t>
            </w:r>
            <w:r>
              <w:rPr>
                <w:rFonts w:hint="default" w:ascii="Times New Roman" w:hAnsi="Times New Roman" w:eastAsia="宋体" w:cs="Times New Roman"/>
                <w:snapToGrid w:val="0"/>
                <w:color w:val="auto"/>
                <w:sz w:val="21"/>
                <w:szCs w:val="21"/>
                <w:highlight w:val="none"/>
              </w:rPr>
              <w:t>饮用水水源保护区</w:t>
            </w:r>
            <w:r>
              <w:rPr>
                <w:rFonts w:hint="default" w:ascii="Times New Roman" w:hAnsi="Times New Roman" w:eastAsia="宋体" w:cs="Times New Roman"/>
                <w:color w:val="auto"/>
                <w:sz w:val="21"/>
                <w:szCs w:val="21"/>
                <w:highlight w:val="none"/>
              </w:rPr>
              <w:t>、风景名胜区、自然保护区的核心区和缓冲区、</w:t>
            </w:r>
            <w:r>
              <w:rPr>
                <w:rFonts w:hint="default" w:ascii="Times New Roman" w:hAnsi="Times New Roman" w:eastAsia="宋体" w:cs="Times New Roman"/>
                <w:snapToGrid w:val="0"/>
                <w:color w:val="auto"/>
                <w:sz w:val="21"/>
                <w:szCs w:val="21"/>
                <w:highlight w:val="none"/>
              </w:rPr>
              <w:t>城镇居民区、文化教育科学研究区等人口集中区域</w:t>
            </w:r>
            <w:r>
              <w:rPr>
                <w:rFonts w:hint="eastAsia" w:cs="Times New Roman"/>
                <w:snapToGrid w:val="0"/>
                <w:color w:val="auto"/>
                <w:sz w:val="21"/>
                <w:szCs w:val="21"/>
                <w:highlight w:val="none"/>
                <w:lang w:val="en-US" w:eastAsia="zh-CN"/>
              </w:rPr>
              <w:t>，</w:t>
            </w:r>
            <w:r>
              <w:rPr>
                <w:rFonts w:hint="default" w:ascii="Times New Roman" w:hAnsi="Times New Roman" w:eastAsia="宋体" w:cs="Times New Roman"/>
                <w:snapToGrid w:val="0"/>
                <w:color w:val="auto"/>
                <w:sz w:val="21"/>
                <w:szCs w:val="21"/>
                <w:highlight w:val="none"/>
              </w:rPr>
              <w:t>且本项目不在禁养区</w:t>
            </w:r>
            <w:r>
              <w:rPr>
                <w:rFonts w:hint="eastAsia" w:cs="Times New Roman"/>
                <w:snapToGrid w:val="0"/>
                <w:color w:val="auto"/>
                <w:sz w:val="21"/>
                <w:szCs w:val="21"/>
                <w:highlight w:val="none"/>
                <w:lang w:eastAsia="zh-CN"/>
              </w:rPr>
              <w:t>。</w:t>
            </w:r>
          </w:p>
        </w:tc>
        <w:tc>
          <w:tcPr>
            <w:tcW w:w="1078"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rPr>
            </w:pPr>
          </w:p>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rPr>
            </w:pPr>
          </w:p>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91"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第十三条 畜禽养殖场、养殖小区应当根据养殖规模和污染防治需要，建设相应的畜禽粪便、污水与雨水分流设施，畜禽粪便、污水的贮存设施，粪污厌氧消化和堆沤、有机肥加工、制取沼气、沼渣沼液分离和输送、污水处理、畜禽尸体处理等综合利用和无害化处理设施。已经委托他人对畜禽养殖废弃物代为综合利用和无害化处理的，可以不自行建设综合利用和无害化处理设施。 </w:t>
            </w:r>
          </w:p>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 xml:space="preserve">未建设污染防治配套设施、自行建设的配套设施不合格，或者未委托他人对畜禽养殖废弃物进行综合利用和无害化处理的，畜禽养殖场、养殖小区不得投入生产或者使用。 </w:t>
            </w:r>
          </w:p>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 xml:space="preserve">畜禽养殖场、养殖小区自行建设污染防治配套设施的，应当确保其正常运行。 </w:t>
            </w:r>
          </w:p>
        </w:tc>
        <w:tc>
          <w:tcPr>
            <w:tcW w:w="3021"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本项目建设畜禽粪便、污水与雨水分流设施，设置堆粪场、集污池及安全填埋井。</w:t>
            </w:r>
          </w:p>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本项目建设污染防治配套设施并确保其正常运行。</w:t>
            </w:r>
          </w:p>
        </w:tc>
        <w:tc>
          <w:tcPr>
            <w:tcW w:w="1078"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91"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 xml:space="preserve">第十九条 从事畜禽养殖活动和畜禽养殖废弃物处理活动，应当及时对畜禽粪便、畜禽尸体、污水等进行收集、贮存、清运，防止恶臭和畜禽养殖废弃物渗出、泄漏。 </w:t>
            </w:r>
          </w:p>
        </w:tc>
        <w:tc>
          <w:tcPr>
            <w:tcW w:w="3021"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牛舍采用干清粪、粪污日产日清</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病死牛尸体</w:t>
            </w:r>
            <w:r>
              <w:rPr>
                <w:rFonts w:hint="eastAsia" w:ascii="Times New Roman" w:hAnsi="Times New Roman" w:eastAsia="宋体" w:cs="Times New Roman"/>
                <w:color w:val="auto"/>
                <w:sz w:val="21"/>
                <w:szCs w:val="21"/>
                <w:highlight w:val="none"/>
                <w:lang w:val="en-US" w:eastAsia="zh-CN"/>
              </w:rPr>
              <w:t>及时</w:t>
            </w:r>
            <w:r>
              <w:rPr>
                <w:rFonts w:hint="default" w:ascii="Times New Roman" w:hAnsi="Times New Roman" w:eastAsia="宋体" w:cs="Times New Roman"/>
                <w:color w:val="auto"/>
                <w:sz w:val="21"/>
                <w:szCs w:val="21"/>
                <w:highlight w:val="none"/>
                <w:lang w:val="en-US" w:eastAsia="zh-CN"/>
              </w:rPr>
              <w:t>由</w:t>
            </w:r>
            <w:r>
              <w:rPr>
                <w:rFonts w:hint="eastAsia" w:ascii="Times New Roman" w:hAnsi="Times New Roman" w:eastAsia="宋体" w:cs="Times New Roman"/>
                <w:color w:val="auto"/>
                <w:sz w:val="21"/>
                <w:szCs w:val="21"/>
                <w:highlight w:val="none"/>
                <w:lang w:val="en-US" w:eastAsia="zh-CN"/>
              </w:rPr>
              <w:t>安全填埋井填埋。污水暂存于集污池，</w:t>
            </w:r>
            <w:r>
              <w:rPr>
                <w:rFonts w:hint="eastAsia" w:ascii="Times New Roman" w:hAnsi="Times New Roman" w:eastAsia="宋体" w:cs="Times New Roman"/>
                <w:color w:val="auto"/>
                <w:spacing w:val="-6"/>
                <w:sz w:val="21"/>
                <w:szCs w:val="21"/>
                <w:highlight w:val="none"/>
                <w:lang w:val="en-US" w:eastAsia="zh-CN"/>
              </w:rPr>
              <w:t>定期拉运至</w:t>
            </w:r>
            <w:r>
              <w:rPr>
                <w:rFonts w:hint="eastAsia" w:cs="Times New Roman"/>
                <w:color w:val="auto"/>
                <w:spacing w:val="-6"/>
                <w:sz w:val="21"/>
                <w:szCs w:val="21"/>
                <w:highlight w:val="none"/>
                <w:lang w:val="en-US" w:eastAsia="zh-CN"/>
              </w:rPr>
              <w:t>塔城市污水厂</w:t>
            </w:r>
            <w:r>
              <w:rPr>
                <w:rFonts w:hint="eastAsia" w:ascii="Times New Roman" w:hAnsi="Times New Roman" w:eastAsia="宋体" w:cs="Times New Roman"/>
                <w:color w:val="auto"/>
                <w:spacing w:val="-6"/>
                <w:sz w:val="21"/>
                <w:szCs w:val="21"/>
                <w:highlight w:val="none"/>
                <w:lang w:val="en-US" w:eastAsia="zh-CN"/>
              </w:rPr>
              <w:t>处理。</w:t>
            </w:r>
          </w:p>
        </w:tc>
        <w:tc>
          <w:tcPr>
            <w:tcW w:w="1078"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91"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 xml:space="preserve">第二十一条 染疫畜禽以及染疫畜禽排泄物、染疫畜禽产品、病死或者死因不明的畜禽尸体等病害畜禽养殖废弃物，应当按照有关法律、法规和国务院农牧主管部门的规定，进行深埋、化制、焚烧等无害化处理，不得随意处置。 </w:t>
            </w:r>
          </w:p>
        </w:tc>
        <w:tc>
          <w:tcPr>
            <w:tcW w:w="3021"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如场区内传染性疾病发生，第一时间报及时报告县级以上畜牧主管部门，并在专业人员指导下采取扑杀和焚烧等紧急措施，避免传染病在场区及周围地区蔓延</w:t>
            </w:r>
          </w:p>
        </w:tc>
        <w:tc>
          <w:tcPr>
            <w:tcW w:w="1078"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符合</w:t>
            </w:r>
          </w:p>
        </w:tc>
      </w:tr>
    </w:tbl>
    <w:p>
      <w:pPr>
        <w:pStyle w:val="6"/>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与《中华人民共和国动物防疫法》符合性分析</w:t>
      </w:r>
    </w:p>
    <w:p>
      <w:pPr>
        <w:pStyle w:val="47"/>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根据《中华人民共和国动物防疫法》</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第七条</w:t>
      </w:r>
      <w:r>
        <w:rPr>
          <w:rFonts w:hint="default"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rPr>
        <w:t>从事动物饲养、屠宰、经营、隔离、运输以及动物产品生产、经营、加工、贮藏等活动的单位和个人，依照本法和国务院农业农村主管部门的规定，做好免疫、消毒、检测、隔离、净化、消灭、无害化处理等动物防疫工作，承担动物防疫相关责任。</w:t>
      </w:r>
    </w:p>
    <w:p>
      <w:pPr>
        <w:pageBreakBefore w:val="0"/>
        <w:wordWrap/>
        <w:bidi w:val="0"/>
        <w:adjustRightInd w:val="0"/>
        <w:ind w:left="0" w:leftChars="0" w:right="0" w:rightChars="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本项目</w:t>
      </w:r>
      <w:r>
        <w:rPr>
          <w:rFonts w:hint="default" w:ascii="Times New Roman" w:hAnsi="Times New Roman" w:eastAsia="宋体" w:cs="Times New Roman"/>
          <w:color w:val="auto"/>
          <w:highlight w:val="none"/>
        </w:rPr>
        <w:t>建成后会按要求做好免疫、消毒、检测、隔离、净化、消灭、无害化处理等动物防疫工作，承担动物防疫相关责任</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kern w:val="2"/>
          <w:sz w:val="24"/>
          <w:szCs w:val="24"/>
          <w:highlight w:val="none"/>
          <w:lang w:val="en-US" w:eastAsia="zh-CN" w:bidi="ar-SA"/>
        </w:rPr>
        <w:t>病死牛尸体</w:t>
      </w:r>
      <w:r>
        <w:rPr>
          <w:rFonts w:hint="default" w:ascii="Times New Roman" w:hAnsi="Times New Roman" w:eastAsia="宋体" w:cs="Times New Roman"/>
          <w:color w:val="auto"/>
          <w:highlight w:val="none"/>
        </w:rPr>
        <w:t>由</w:t>
      </w:r>
      <w:r>
        <w:rPr>
          <w:rFonts w:hint="default" w:ascii="Times New Roman" w:hAnsi="Times New Roman" w:cs="Times New Roman"/>
          <w:color w:val="auto"/>
          <w:highlight w:val="none"/>
          <w:lang w:val="en-US" w:eastAsia="zh-CN"/>
        </w:rPr>
        <w:t>安全填埋井填埋</w:t>
      </w:r>
      <w:r>
        <w:rPr>
          <w:rFonts w:hint="default" w:ascii="Times New Roman" w:hAnsi="Times New Roman" w:eastAsia="宋体" w:cs="Times New Roman"/>
          <w:color w:val="auto"/>
          <w:highlight w:val="none"/>
          <w:lang w:eastAsia="zh-CN"/>
        </w:rPr>
        <w:t>。</w:t>
      </w:r>
    </w:p>
    <w:p>
      <w:pPr>
        <w:pStyle w:val="6"/>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与《新疆维吾尔自治区环境保护条例》符合性分析 </w:t>
      </w:r>
    </w:p>
    <w:p>
      <w:pPr>
        <w:pStyle w:val="17"/>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条例中第三十五条规定：“畜禽养殖场、养殖小区应当根据养殖规模和污染防治需要，建设相应的畜禽粪便、污水贮存、污水处理和畜禽尸体处理等综合利用和无害化处理设施；采取科学饲养方式和废弃物处理工艺等有效措施，防止环境污染。禁止在饮用水水源保护区、风景名胜区、自然保护区的核心区和缓冲区、城镇居民区、文化教育科学研究区等人口集中区域以及法律、法规规定的其他禁止养殖区域建设畜禽养殖场、养殖小区。”</w:t>
      </w:r>
    </w:p>
    <w:p>
      <w:pPr>
        <w:pStyle w:val="17"/>
        <w:pageBreakBefore w:val="0"/>
        <w:wordWrap/>
        <w:bidi w:val="0"/>
        <w:adjustRightInd w:val="0"/>
        <w:ind w:left="0" w:leftChars="0" w:right="0" w:rightChars="0" w:firstLine="480"/>
        <w:rPr>
          <w:rFonts w:hint="default" w:ascii="Times New Roman" w:hAnsi="Times New Roman" w:cs="Times New Roman"/>
          <w:color w:val="auto"/>
          <w:highlight w:val="none"/>
          <w:lang w:eastAsia="zh-CN"/>
        </w:rPr>
      </w:pPr>
      <w:r>
        <w:rPr>
          <w:rFonts w:hint="default" w:ascii="Times New Roman" w:hAnsi="Times New Roman" w:eastAsia="宋体" w:cs="Times New Roman"/>
          <w:color w:val="auto"/>
          <w:highlight w:val="none"/>
        </w:rPr>
        <w:t>本项目选址不涉及禁养区、饮用水水源保护区、风景名胜区、自然保护区的核心区和缓冲区、城镇居民区、文化教育科学研究区等人口集中区域；项目养殖场配套建设有畜禽粪污贮存等综合利用和无害化处理设施，</w:t>
      </w:r>
      <w:r>
        <w:rPr>
          <w:rFonts w:hint="default" w:ascii="Times New Roman" w:hAnsi="Times New Roman" w:eastAsia="宋体" w:cs="Times New Roman"/>
          <w:color w:val="auto"/>
          <w:kern w:val="2"/>
          <w:sz w:val="24"/>
          <w:szCs w:val="24"/>
          <w:highlight w:val="none"/>
          <w:lang w:val="en-US" w:eastAsia="zh-CN" w:bidi="ar-SA"/>
        </w:rPr>
        <w:t>病死牛尸体</w:t>
      </w:r>
      <w:r>
        <w:rPr>
          <w:rFonts w:hint="default" w:ascii="Times New Roman" w:hAnsi="Times New Roman" w:eastAsia="宋体" w:cs="Times New Roman"/>
          <w:color w:val="auto"/>
          <w:highlight w:val="none"/>
        </w:rPr>
        <w:t>由</w:t>
      </w:r>
      <w:r>
        <w:rPr>
          <w:rFonts w:hint="default" w:ascii="Times New Roman" w:hAnsi="Times New Roman" w:cs="Times New Roman"/>
          <w:color w:val="auto"/>
          <w:highlight w:val="none"/>
          <w:lang w:val="en-US" w:eastAsia="zh-CN"/>
        </w:rPr>
        <w:t>安全填埋井填埋</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highlight w:val="none"/>
          <w:lang w:val="en-US" w:eastAsia="zh-CN"/>
        </w:rPr>
        <w:t>项目</w:t>
      </w:r>
      <w:r>
        <w:rPr>
          <w:rFonts w:hint="default" w:ascii="Times New Roman" w:hAnsi="Times New Roman" w:eastAsia="宋体" w:cs="Times New Roman"/>
          <w:color w:val="auto"/>
          <w:highlight w:val="none"/>
        </w:rPr>
        <w:t>建设符合《新疆维吾尔自治区环境保护条例》相关要求。</w:t>
      </w:r>
    </w:p>
    <w:p>
      <w:pPr>
        <w:pStyle w:val="5"/>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rPr>
      </w:pPr>
      <w:bookmarkStart w:id="46" w:name="_Toc13756"/>
      <w:r>
        <w:rPr>
          <w:rFonts w:hint="default" w:ascii="Times New Roman" w:hAnsi="Times New Roman" w:eastAsia="宋体" w:cs="Times New Roman"/>
          <w:color w:val="auto"/>
          <w:highlight w:val="none"/>
        </w:rPr>
        <w:t>与相关政策、技术规范符合性分析</w:t>
      </w:r>
      <w:bookmarkEnd w:id="46"/>
    </w:p>
    <w:p>
      <w:pPr>
        <w:pStyle w:val="6"/>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与《国务院办公厅关于加快推进畜禽养殖废弃物资源化利用的意见》（国办发[2017]48号）符合性分析</w:t>
      </w:r>
    </w:p>
    <w:p>
      <w:pPr>
        <w:pStyle w:val="17"/>
        <w:pageBreakBefore w:val="0"/>
        <w:wordWrap/>
        <w:bidi w:val="0"/>
        <w:adjustRightInd w:val="0"/>
        <w:ind w:left="0" w:leftChars="0" w:right="0" w:rightChars="0" w:firstLine="480"/>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意见中指出：</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以畜牧大县和规模养殖场为重点，以沼气和生物天然气为主要处理方向，以农用有机肥和农村能源为主要利用方向，健全制度体系，强化责任落实，完善扶持政策，严格执法监管，加强科技支撑，强化装备保障，全面推进畜禽养殖废弃物资源化利用，加快构建种养结合、农牧循环的可持续发展新格局，为全面建成小康社会提供有力支撑</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因地制宜，多元利用。根据不同区域、不同畜种、不同规模，以肥料化利用为基础，采取经济高效适用的处理模式，宜肥则肥，宜气则气，宜电则电，实现粪污就地就近利用。</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新建或改扩建畜禽规模养殖场，应突出养分综合利用，配套与养殖规模和处理工艺相适应的粪污消纳用地，配备必要的粪污收集、贮存、处理、利用设施，依法进行环境影响评价。</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构建种养循环发展机制。畜牧大县要科学编制种养循环发展规划，实行以地定畜，促进种养业在布局上相协调，精准规划引导畜牧业发展。</w:t>
      </w:r>
      <w:r>
        <w:rPr>
          <w:rFonts w:hint="eastAsia" w:ascii="Times New Roman" w:hAnsi="Times New Roman" w:eastAsia="宋体" w:cs="Times New Roman"/>
          <w:color w:val="auto"/>
          <w:highlight w:val="none"/>
          <w:lang w:eastAsia="zh-CN"/>
        </w:rPr>
        <w:t>”</w:t>
      </w:r>
    </w:p>
    <w:p>
      <w:pPr>
        <w:pStyle w:val="17"/>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本项目属于</w:t>
      </w:r>
      <w:r>
        <w:rPr>
          <w:rFonts w:hint="eastAsia" w:cs="Times New Roman"/>
          <w:color w:val="auto"/>
          <w:highlight w:val="none"/>
          <w:lang w:val="en-US" w:eastAsia="zh-CN"/>
        </w:rPr>
        <w:t>奶牛</w:t>
      </w:r>
      <w:r>
        <w:rPr>
          <w:rFonts w:hint="default" w:ascii="Times New Roman" w:hAnsi="Times New Roman" w:eastAsia="宋体" w:cs="Times New Roman"/>
          <w:color w:val="auto"/>
          <w:highlight w:val="none"/>
        </w:rPr>
        <w:t>规模化养殖项目，配套建设有自动喂养、饮水等现代化装备，采用干清粪技术，</w:t>
      </w:r>
      <w:r>
        <w:rPr>
          <w:rFonts w:hint="default" w:ascii="Times New Roman" w:hAnsi="Times New Roman" w:eastAsia="宋体" w:cs="Times New Roman"/>
          <w:color w:val="auto"/>
          <w:spacing w:val="-6"/>
          <w:sz w:val="24"/>
          <w:highlight w:val="none"/>
        </w:rPr>
        <w:t>粪污经过堆肥后</w:t>
      </w:r>
      <w:r>
        <w:rPr>
          <w:rFonts w:hint="eastAsia" w:cs="Times New Roman"/>
          <w:color w:val="auto"/>
          <w:spacing w:val="-6"/>
          <w:sz w:val="24"/>
          <w:highlight w:val="none"/>
          <w:lang w:eastAsia="zh-CN"/>
        </w:rPr>
        <w:t>用于垫料及还田利用</w:t>
      </w:r>
      <w:r>
        <w:rPr>
          <w:rFonts w:hint="default" w:ascii="Times New Roman" w:hAnsi="Times New Roman" w:eastAsia="宋体" w:cs="Times New Roman"/>
          <w:color w:val="auto"/>
          <w:highlight w:val="none"/>
        </w:rPr>
        <w:t>，项目符合《国务院办公厅关于加快推进畜禽养殖废弃物资源化利用的意见》要求。</w:t>
      </w:r>
    </w:p>
    <w:p>
      <w:pPr>
        <w:pStyle w:val="6"/>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与《关于在畜禽养殖废弃物资源化利用过程中加强环境监管的通知》（环水体[2017]120号）符合性分析 </w:t>
      </w:r>
    </w:p>
    <w:p>
      <w:pPr>
        <w:pStyle w:val="17"/>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通知中指出“规模养殖场应当根据养殖规模和污染防治需要，建设相应的畜禽粪便、污水与雨水分流设施，畜禽粪便、污水贮存设施，粪污厌氧消化和堆沤、有机肥加工、制取沼气、沼渣沼液分离和输送、污水处理、畜禽尸体处理等综合利用和无害化处理设施。”</w:t>
      </w:r>
    </w:p>
    <w:p>
      <w:pPr>
        <w:pStyle w:val="17"/>
        <w:pageBreakBefore w:val="0"/>
        <w:wordWrap/>
        <w:bidi w:val="0"/>
        <w:adjustRightInd w:val="0"/>
        <w:ind w:left="0" w:leftChars="0" w:right="0" w:rightChars="0" w:firstLine="480"/>
        <w:rPr>
          <w:rFonts w:hint="default" w:ascii="Times New Roman" w:hAnsi="Times New Roman" w:eastAsia="宋体" w:cs="Times New Roman"/>
          <w:color w:val="auto"/>
          <w:highlight w:val="yellow"/>
        </w:rPr>
      </w:pPr>
      <w:r>
        <w:rPr>
          <w:rFonts w:hint="default" w:ascii="Times New Roman" w:hAnsi="Times New Roman" w:eastAsia="宋体" w:cs="Times New Roman"/>
          <w:color w:val="auto"/>
          <w:highlight w:val="none"/>
        </w:rPr>
        <w:t>本项目场区</w:t>
      </w:r>
      <w:r>
        <w:rPr>
          <w:rFonts w:hint="default" w:ascii="Times New Roman" w:hAnsi="Times New Roman" w:cs="Times New Roman"/>
          <w:color w:val="auto"/>
          <w:highlight w:val="none"/>
          <w:lang w:eastAsia="zh-CN"/>
        </w:rPr>
        <w:t>在道路两侧设排水沟收集雨水，排至绿化带</w:t>
      </w:r>
      <w:r>
        <w:rPr>
          <w:rFonts w:hint="default" w:ascii="Times New Roman" w:hAnsi="Times New Roman" w:eastAsia="宋体" w:cs="Times New Roman"/>
          <w:color w:val="auto"/>
          <w:highlight w:val="none"/>
          <w:lang w:val="en-US" w:eastAsia="zh-CN"/>
        </w:rPr>
        <w:t>，以</w:t>
      </w:r>
      <w:r>
        <w:rPr>
          <w:rFonts w:hint="default" w:ascii="Times New Roman" w:hAnsi="Times New Roman" w:eastAsia="宋体" w:cs="Times New Roman"/>
          <w:color w:val="auto"/>
          <w:highlight w:val="none"/>
        </w:rPr>
        <w:t>防雨水流入到</w:t>
      </w:r>
      <w:r>
        <w:rPr>
          <w:rFonts w:hint="default" w:ascii="Times New Roman" w:hAnsi="Times New Roman" w:eastAsia="宋体" w:cs="Times New Roman"/>
          <w:color w:val="auto"/>
          <w:highlight w:val="none"/>
          <w:lang w:val="en-US" w:eastAsia="zh-CN"/>
        </w:rPr>
        <w:t>牛舍</w:t>
      </w:r>
      <w:r>
        <w:rPr>
          <w:rFonts w:hint="default" w:ascii="Times New Roman" w:hAnsi="Times New Roman" w:eastAsia="宋体" w:cs="Times New Roman"/>
          <w:color w:val="auto"/>
          <w:highlight w:val="none"/>
        </w:rPr>
        <w:t>内</w:t>
      </w:r>
      <w:r>
        <w:rPr>
          <w:rFonts w:hint="default" w:ascii="Times New Roman" w:hAnsi="Times New Roman" w:cs="Times New Roman"/>
          <w:color w:val="auto"/>
          <w:highlight w:val="none"/>
          <w:lang w:eastAsia="zh-CN"/>
        </w:rPr>
        <w:t>。</w:t>
      </w:r>
      <w:r>
        <w:rPr>
          <w:rFonts w:hint="eastAsia" w:cs="Times New Roman"/>
          <w:color w:val="auto"/>
          <w:kern w:val="0"/>
          <w:sz w:val="24"/>
          <w:szCs w:val="24"/>
          <w:highlight w:val="none"/>
          <w:lang w:val="en-US" w:eastAsia="zh-CN" w:bidi="ar"/>
        </w:rPr>
        <w:t>牛尿进入垫料中，</w:t>
      </w:r>
      <w:r>
        <w:rPr>
          <w:rFonts w:hint="default" w:ascii="Times New Roman" w:hAnsi="Times New Roman" w:eastAsia="宋体" w:cs="Times New Roman"/>
          <w:color w:val="auto"/>
          <w:kern w:val="0"/>
          <w:sz w:val="24"/>
          <w:szCs w:val="24"/>
          <w:highlight w:val="none"/>
          <w:lang w:val="en-US" w:eastAsia="zh-CN" w:bidi="ar"/>
        </w:rPr>
        <w:t>部分自然蒸发，剩余</w:t>
      </w:r>
      <w:r>
        <w:rPr>
          <w:rFonts w:hint="eastAsia" w:cs="Times New Roman"/>
          <w:color w:val="auto"/>
          <w:kern w:val="0"/>
          <w:sz w:val="24"/>
          <w:szCs w:val="24"/>
          <w:highlight w:val="none"/>
          <w:lang w:val="en-US" w:eastAsia="zh-CN" w:bidi="ar"/>
        </w:rPr>
        <w:t>部分与垫料</w:t>
      </w:r>
      <w:r>
        <w:rPr>
          <w:rFonts w:hint="default" w:ascii="Times New Roman" w:hAnsi="Times New Roman" w:eastAsia="宋体" w:cs="Times New Roman"/>
          <w:color w:val="auto"/>
          <w:kern w:val="0"/>
          <w:sz w:val="24"/>
          <w:szCs w:val="24"/>
          <w:highlight w:val="none"/>
          <w:lang w:val="en-US" w:eastAsia="zh-CN" w:bidi="ar"/>
        </w:rPr>
        <w:t>一起进入</w:t>
      </w:r>
      <w:r>
        <w:rPr>
          <w:rFonts w:hint="default" w:ascii="Times New Roman" w:hAnsi="Times New Roman" w:cs="Times New Roman"/>
          <w:color w:val="auto"/>
          <w:kern w:val="0"/>
          <w:sz w:val="24"/>
          <w:szCs w:val="24"/>
          <w:highlight w:val="none"/>
          <w:lang w:val="en-US" w:eastAsia="zh-CN" w:bidi="ar"/>
        </w:rPr>
        <w:t>堆粪场</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spacing w:val="-6"/>
          <w:sz w:val="24"/>
          <w:highlight w:val="none"/>
        </w:rPr>
        <w:t>粪污经过堆肥</w:t>
      </w:r>
      <w:r>
        <w:rPr>
          <w:rFonts w:hint="default" w:ascii="Times New Roman" w:hAnsi="Times New Roman" w:cs="Times New Roman"/>
          <w:color w:val="auto"/>
          <w:spacing w:val="-6"/>
          <w:sz w:val="24"/>
          <w:highlight w:val="none"/>
          <w:lang w:eastAsia="zh-CN"/>
        </w:rPr>
        <w:t>后</w:t>
      </w:r>
      <w:r>
        <w:rPr>
          <w:rFonts w:hint="eastAsia" w:cs="Times New Roman"/>
          <w:color w:val="auto"/>
          <w:spacing w:val="-6"/>
          <w:sz w:val="24"/>
          <w:highlight w:val="none"/>
          <w:lang w:eastAsia="zh-CN"/>
        </w:rPr>
        <w:t>用于垫料及还田利用</w:t>
      </w:r>
      <w:r>
        <w:rPr>
          <w:rFonts w:hint="default" w:ascii="Times New Roman" w:hAnsi="Times New Roman" w:cs="Times New Roman"/>
          <w:color w:val="auto"/>
          <w:spacing w:val="-6"/>
          <w:sz w:val="24"/>
          <w:highlight w:val="none"/>
          <w:lang w:eastAsia="zh-CN"/>
        </w:rPr>
        <w:t>。</w:t>
      </w:r>
      <w:r>
        <w:rPr>
          <w:rFonts w:hint="eastAsia" w:cs="Times New Roman"/>
          <w:color w:val="auto"/>
          <w:spacing w:val="-6"/>
          <w:sz w:val="24"/>
          <w:highlight w:val="none"/>
          <w:lang w:eastAsia="zh-CN"/>
        </w:rPr>
        <w:t>挤奶厅设备和地面清洗废水</w:t>
      </w:r>
      <w:r>
        <w:rPr>
          <w:rFonts w:hint="default" w:ascii="Times New Roman" w:hAnsi="Times New Roman" w:cs="Times New Roman"/>
          <w:color w:val="auto"/>
          <w:spacing w:val="-6"/>
          <w:sz w:val="24"/>
          <w:highlight w:val="none"/>
          <w:lang w:eastAsia="zh-CN"/>
        </w:rPr>
        <w:t>及生活污水经集污池收集后</w:t>
      </w:r>
      <w:r>
        <w:rPr>
          <w:rFonts w:hint="default" w:ascii="Times New Roman" w:hAnsi="Times New Roman" w:cs="Times New Roman"/>
          <w:color w:val="auto"/>
          <w:spacing w:val="-6"/>
          <w:sz w:val="24"/>
          <w:highlight w:val="none"/>
          <w:lang w:val="en-US" w:eastAsia="zh-CN"/>
        </w:rPr>
        <w:t>定期</w:t>
      </w:r>
      <w:r>
        <w:rPr>
          <w:rFonts w:hint="eastAsia" w:cs="Times New Roman"/>
          <w:color w:val="auto"/>
          <w:spacing w:val="-6"/>
          <w:sz w:val="24"/>
          <w:highlight w:val="none"/>
          <w:lang w:val="en-US" w:eastAsia="zh-CN"/>
        </w:rPr>
        <w:t>清掏拉运</w:t>
      </w:r>
      <w:r>
        <w:rPr>
          <w:rFonts w:hint="default" w:ascii="Times New Roman" w:hAnsi="Times New Roman" w:cs="Times New Roman"/>
          <w:color w:val="auto"/>
          <w:spacing w:val="-6"/>
          <w:sz w:val="24"/>
          <w:highlight w:val="none"/>
          <w:lang w:eastAsia="zh-CN"/>
        </w:rPr>
        <w:t>。</w:t>
      </w:r>
      <w:r>
        <w:rPr>
          <w:rFonts w:hint="default" w:ascii="Times New Roman" w:hAnsi="Times New Roman" w:cs="Times New Roman"/>
          <w:color w:val="auto"/>
          <w:spacing w:val="-6"/>
          <w:sz w:val="24"/>
          <w:highlight w:val="none"/>
          <w:lang w:val="en-US" w:eastAsia="zh-CN"/>
        </w:rPr>
        <w:t>病死牛尸体</w:t>
      </w:r>
      <w:r>
        <w:rPr>
          <w:rFonts w:hint="default" w:ascii="Times New Roman" w:hAnsi="Times New Roman" w:cs="Times New Roman"/>
          <w:color w:val="auto"/>
          <w:spacing w:val="-6"/>
          <w:sz w:val="24"/>
          <w:highlight w:val="none"/>
          <w:lang w:eastAsia="zh-CN"/>
        </w:rPr>
        <w:t>由</w:t>
      </w:r>
      <w:r>
        <w:rPr>
          <w:rFonts w:hint="default" w:ascii="Times New Roman" w:hAnsi="Times New Roman" w:cs="Times New Roman"/>
          <w:color w:val="auto"/>
          <w:highlight w:val="none"/>
          <w:lang w:val="en-US" w:eastAsia="zh-CN"/>
        </w:rPr>
        <w:t>安全填埋井填埋。</w:t>
      </w:r>
      <w:r>
        <w:rPr>
          <w:rFonts w:hint="default" w:ascii="Times New Roman" w:hAnsi="Times New Roman" w:eastAsia="宋体" w:cs="Times New Roman"/>
          <w:color w:val="auto"/>
          <w:highlight w:val="none"/>
        </w:rPr>
        <w:t>因此，项目建设符合环水体[2017]120号文件要求。</w:t>
      </w:r>
    </w:p>
    <w:p>
      <w:pPr>
        <w:pStyle w:val="6"/>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与《关于加强固定污染源氮磷污染防治的通知》（环水体[2018]16号）符合性分析</w:t>
      </w:r>
    </w:p>
    <w:p>
      <w:pPr>
        <w:pStyle w:val="17"/>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通知中指出“各地要高度重视氮磷污染防治工作，以重点行业企业、污水集中处理设施、规模化畜禽养殖场氮磷排放达标整治为突破口，强化固定污染源氮磷污染防治；重点流域要以实施排污许可制为契机和抓手，严格控制并逐步削减重点行业氮磷排放总量，推动流域水质改善。”</w:t>
      </w:r>
    </w:p>
    <w:p>
      <w:pPr>
        <w:pStyle w:val="17"/>
        <w:pageBreakBefore w:val="0"/>
        <w:wordWrap/>
        <w:bidi w:val="0"/>
        <w:adjustRightInd w:val="0"/>
        <w:ind w:left="0" w:leftChars="0" w:right="0" w:rightChars="0" w:firstLine="480"/>
        <w:rPr>
          <w:rFonts w:hint="default" w:ascii="Times New Roman" w:hAnsi="Times New Roman" w:eastAsia="宋体" w:cs="Times New Roman"/>
          <w:color w:val="auto"/>
          <w:highlight w:val="yellow"/>
        </w:rPr>
      </w:pPr>
      <w:r>
        <w:rPr>
          <w:rFonts w:hint="default" w:ascii="Times New Roman" w:hAnsi="Times New Roman" w:eastAsia="宋体" w:cs="Times New Roman"/>
          <w:color w:val="auto"/>
          <w:highlight w:val="none"/>
        </w:rPr>
        <w:t>本项目为</w:t>
      </w:r>
      <w:r>
        <w:rPr>
          <w:rFonts w:hint="eastAsia" w:cs="Times New Roman"/>
          <w:color w:val="auto"/>
          <w:highlight w:val="none"/>
          <w:lang w:val="en-US" w:eastAsia="zh-CN"/>
        </w:rPr>
        <w:t>奶牛</w:t>
      </w:r>
      <w:r>
        <w:rPr>
          <w:rFonts w:hint="default" w:ascii="Times New Roman" w:hAnsi="Times New Roman" w:eastAsia="宋体" w:cs="Times New Roman"/>
          <w:color w:val="auto"/>
          <w:highlight w:val="none"/>
        </w:rPr>
        <w:t>规模化畜禽养殖场，</w:t>
      </w:r>
      <w:r>
        <w:rPr>
          <w:rFonts w:hint="eastAsia" w:cs="Times New Roman"/>
          <w:color w:val="auto"/>
          <w:kern w:val="0"/>
          <w:sz w:val="24"/>
          <w:szCs w:val="24"/>
          <w:highlight w:val="none"/>
          <w:lang w:val="en-US" w:eastAsia="zh-CN" w:bidi="ar"/>
        </w:rPr>
        <w:t>牛尿进入垫料中，</w:t>
      </w:r>
      <w:r>
        <w:rPr>
          <w:rFonts w:hint="default" w:ascii="Times New Roman" w:hAnsi="Times New Roman" w:eastAsia="宋体" w:cs="Times New Roman"/>
          <w:color w:val="auto"/>
          <w:kern w:val="0"/>
          <w:sz w:val="24"/>
          <w:szCs w:val="24"/>
          <w:highlight w:val="none"/>
          <w:lang w:val="en-US" w:eastAsia="zh-CN" w:bidi="ar"/>
        </w:rPr>
        <w:t>部分自然蒸发，剩余</w:t>
      </w:r>
      <w:r>
        <w:rPr>
          <w:rFonts w:hint="eastAsia" w:cs="Times New Roman"/>
          <w:color w:val="auto"/>
          <w:kern w:val="0"/>
          <w:sz w:val="24"/>
          <w:szCs w:val="24"/>
          <w:highlight w:val="none"/>
          <w:lang w:val="en-US" w:eastAsia="zh-CN" w:bidi="ar"/>
        </w:rPr>
        <w:t>部分与垫料</w:t>
      </w:r>
      <w:r>
        <w:rPr>
          <w:rFonts w:hint="default" w:ascii="Times New Roman" w:hAnsi="Times New Roman" w:eastAsia="宋体" w:cs="Times New Roman"/>
          <w:color w:val="auto"/>
          <w:kern w:val="0"/>
          <w:sz w:val="24"/>
          <w:szCs w:val="24"/>
          <w:highlight w:val="none"/>
          <w:lang w:val="en-US" w:eastAsia="zh-CN" w:bidi="ar"/>
        </w:rPr>
        <w:t>一起进入</w:t>
      </w:r>
      <w:r>
        <w:rPr>
          <w:rFonts w:hint="default" w:ascii="Times New Roman" w:hAnsi="Times New Roman" w:cs="Times New Roman"/>
          <w:color w:val="auto"/>
          <w:kern w:val="0"/>
          <w:sz w:val="24"/>
          <w:szCs w:val="24"/>
          <w:highlight w:val="none"/>
          <w:lang w:val="en-US" w:eastAsia="zh-CN" w:bidi="ar"/>
        </w:rPr>
        <w:t>堆粪场</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spacing w:val="-6"/>
          <w:sz w:val="24"/>
          <w:highlight w:val="none"/>
        </w:rPr>
        <w:t>粪污经过堆肥后</w:t>
      </w:r>
      <w:r>
        <w:rPr>
          <w:rFonts w:hint="eastAsia" w:cs="Times New Roman"/>
          <w:color w:val="auto"/>
          <w:spacing w:val="-6"/>
          <w:sz w:val="24"/>
          <w:highlight w:val="none"/>
          <w:lang w:eastAsia="zh-CN"/>
        </w:rPr>
        <w:t>用于垫料及还田利用</w:t>
      </w:r>
      <w:r>
        <w:rPr>
          <w:rFonts w:hint="default" w:ascii="Times New Roman" w:hAnsi="Times New Roman" w:cs="Times New Roman"/>
          <w:color w:val="auto"/>
          <w:spacing w:val="-6"/>
          <w:sz w:val="24"/>
          <w:highlight w:val="none"/>
          <w:lang w:eastAsia="zh-CN"/>
        </w:rPr>
        <w:t>。</w:t>
      </w:r>
      <w:r>
        <w:rPr>
          <w:rFonts w:hint="eastAsia" w:cs="Times New Roman"/>
          <w:color w:val="auto"/>
          <w:highlight w:val="none"/>
          <w:lang w:val="en-US" w:eastAsia="zh-CN"/>
        </w:rPr>
        <w:t>挤奶厅设备和地面清洗废水</w:t>
      </w:r>
      <w:r>
        <w:rPr>
          <w:rFonts w:hint="default" w:ascii="Times New Roman" w:hAnsi="Times New Roman" w:cs="Times New Roman"/>
          <w:color w:val="auto"/>
          <w:highlight w:val="none"/>
          <w:lang w:val="en-US" w:eastAsia="zh-CN"/>
        </w:rPr>
        <w:t>及</w:t>
      </w:r>
      <w:r>
        <w:rPr>
          <w:rFonts w:hint="default" w:ascii="Times New Roman" w:hAnsi="Times New Roman" w:eastAsia="宋体" w:cs="Times New Roman"/>
          <w:color w:val="auto"/>
          <w:highlight w:val="none"/>
          <w:lang w:eastAsia="zh-CN"/>
        </w:rPr>
        <w:t>生活污水进入</w:t>
      </w:r>
      <w:r>
        <w:rPr>
          <w:rFonts w:hint="default" w:ascii="Times New Roman" w:hAnsi="Times New Roman" w:cs="Times New Roman"/>
          <w:color w:val="auto"/>
          <w:highlight w:val="none"/>
          <w:lang w:eastAsia="zh-CN"/>
        </w:rPr>
        <w:t>集污池收集后</w:t>
      </w:r>
      <w:r>
        <w:rPr>
          <w:rFonts w:hint="default" w:ascii="Times New Roman" w:hAnsi="Times New Roman" w:eastAsia="宋体" w:cs="Times New Roman"/>
          <w:color w:val="auto"/>
          <w:highlight w:val="none"/>
          <w:lang w:val="en-US" w:eastAsia="zh-CN"/>
        </w:rPr>
        <w:t>定期</w:t>
      </w:r>
      <w:r>
        <w:rPr>
          <w:rFonts w:hint="eastAsia" w:cs="Times New Roman"/>
          <w:color w:val="auto"/>
          <w:highlight w:val="none"/>
          <w:lang w:val="en-US" w:eastAsia="zh-CN"/>
        </w:rPr>
        <w:t>清掏拉运</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本项目污水</w:t>
      </w:r>
      <w:r>
        <w:rPr>
          <w:rFonts w:hint="default" w:ascii="Times New Roman" w:hAnsi="Times New Roman" w:eastAsia="宋体" w:cs="Times New Roman"/>
          <w:color w:val="auto"/>
          <w:highlight w:val="none"/>
        </w:rPr>
        <w:t>不</w:t>
      </w:r>
      <w:r>
        <w:rPr>
          <w:rFonts w:hint="default" w:ascii="Times New Roman" w:hAnsi="Times New Roman" w:cs="Times New Roman"/>
          <w:color w:val="auto"/>
          <w:highlight w:val="none"/>
          <w:lang w:val="en-US" w:eastAsia="zh-CN"/>
        </w:rPr>
        <w:t>进入</w:t>
      </w:r>
      <w:r>
        <w:rPr>
          <w:rFonts w:hint="default" w:ascii="Times New Roman" w:hAnsi="Times New Roman" w:eastAsia="宋体" w:cs="Times New Roman"/>
          <w:color w:val="auto"/>
          <w:highlight w:val="none"/>
        </w:rPr>
        <w:t>地表水体，不会对区域流域水质造成污染，符合环水体[2018]16号文件要求。</w:t>
      </w:r>
    </w:p>
    <w:p>
      <w:pPr>
        <w:pStyle w:val="6"/>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《农业农村部办公厅 生态环境部办公厅关于进一步明确畜禽粪污还田利用要求强化养殖污染监管的通知》（农办牧〔2020〕23号）符合性分析</w:t>
      </w:r>
    </w:p>
    <w:p>
      <w:pPr>
        <w:pStyle w:val="56"/>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表1.3-</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 xml:space="preserve">  《农业农村部办公厅 生态环境部办公厅关于进一步明确畜禽粪污还田利用要求强化养殖污染监管的通知》相符性分析一览表</w:t>
      </w:r>
    </w:p>
    <w:tbl>
      <w:tblPr>
        <w:tblStyle w:val="39"/>
        <w:tblW w:w="879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64"/>
        <w:gridCol w:w="1948"/>
        <w:gridCol w:w="10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64"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要求</w:t>
            </w:r>
          </w:p>
        </w:tc>
        <w:tc>
          <w:tcPr>
            <w:tcW w:w="1948"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本项目</w:t>
            </w:r>
          </w:p>
        </w:tc>
        <w:tc>
          <w:tcPr>
            <w:tcW w:w="1078"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是否符合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64"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鼓励畜禽粪污还田利用。国家支持畜禽养殖场户建设畜禽粪污无害化处理和资源化利用设施，鼓励采取粪肥还田、制取沼气、生产有机肥等方式进行资源化利用。已获得环评批复的规模养殖场在建设和运营过程中，如需将粪污处理由达标排放（含按农田灌溉水标准排放）变更为资源化利用（不含商业化沼气工程和商品有机肥生产），在项目竣工环保验收前变更的，按照非重大变动纳入竣工环境保护验收管理；在竣工环保验收后变更的，按照改建项目依法开展环评。</w:t>
            </w:r>
          </w:p>
        </w:tc>
        <w:tc>
          <w:tcPr>
            <w:tcW w:w="1948"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本</w:t>
            </w:r>
            <w:r>
              <w:rPr>
                <w:rFonts w:hint="default" w:ascii="Times New Roman" w:hAnsi="Times New Roman" w:eastAsia="宋体" w:cs="Times New Roman"/>
                <w:color w:val="auto"/>
                <w:sz w:val="21"/>
                <w:szCs w:val="21"/>
                <w:highlight w:val="none"/>
              </w:rPr>
              <w:t>项目粪污经过堆肥后</w:t>
            </w:r>
            <w:r>
              <w:rPr>
                <w:rFonts w:hint="eastAsia" w:cs="Times New Roman"/>
                <w:color w:val="auto"/>
                <w:sz w:val="21"/>
                <w:szCs w:val="21"/>
                <w:highlight w:val="none"/>
                <w:lang w:eastAsia="zh-CN"/>
              </w:rPr>
              <w:t>用于垫料及还田利用</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rPr>
              <w:t>实现粪污资源化利用</w:t>
            </w:r>
            <w:r>
              <w:rPr>
                <w:rFonts w:hint="default" w:ascii="Times New Roman" w:hAnsi="Times New Roman" w:cs="Times New Roman"/>
                <w:color w:val="auto"/>
                <w:sz w:val="21"/>
                <w:szCs w:val="21"/>
                <w:highlight w:val="none"/>
                <w:lang w:val="en-US" w:eastAsia="zh-CN"/>
              </w:rPr>
              <w:t>。</w:t>
            </w:r>
          </w:p>
        </w:tc>
        <w:tc>
          <w:tcPr>
            <w:tcW w:w="1078"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rPr>
            </w:pPr>
          </w:p>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rPr>
            </w:pPr>
          </w:p>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64"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明确还田利用标准规范。畜禽粪污的处理应根据排放去向或利用方式的不同执行相应的标准规范。对配套土地充足的养殖场户，粪污经无害化处理后还田利用具体要求及限量应符合《畜禽粪便无害化处理技术规范》（GB/T 36195）和《畜禽粪便还田技术规范》（GB/T 25246），配套土地面积应达到《畜禽粪污土地承载力测算技术指南》（以下简称《指南》）要求的最小面积。对配套土地不足的养殖场户，粪污经处理后向环境排放的，应符合《畜禽养殖业污染物排放标准》（GB 18596）和地方有关排放标准。用于农田灌溉的，应符合《农田灌溉水质标准》（GB5084）。</w:t>
            </w:r>
          </w:p>
        </w:tc>
        <w:tc>
          <w:tcPr>
            <w:tcW w:w="1948"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rPr>
              <w:t>本项目粪污经无害化处理后</w:t>
            </w:r>
            <w:r>
              <w:rPr>
                <w:rFonts w:hint="default" w:ascii="Times New Roman" w:hAnsi="Times New Roman" w:cs="Times New Roman"/>
                <w:color w:val="auto"/>
                <w:sz w:val="21"/>
                <w:szCs w:val="21"/>
                <w:highlight w:val="none"/>
                <w:lang w:val="en-US" w:eastAsia="zh-CN"/>
              </w:rPr>
              <w:t>回还田利用，</w:t>
            </w:r>
            <w:r>
              <w:rPr>
                <w:rFonts w:hint="default" w:ascii="Times New Roman" w:hAnsi="Times New Roman" w:eastAsia="宋体" w:cs="Times New Roman"/>
                <w:color w:val="auto"/>
                <w:sz w:val="21"/>
                <w:szCs w:val="21"/>
                <w:highlight w:val="none"/>
                <w:lang w:val="en-US"/>
              </w:rPr>
              <w:t>符合《畜禽粪便无害化处理技术规范》（GB/T 36195）和《畜禽粪便还田技术规范》（GB/T 25246）。</w:t>
            </w:r>
          </w:p>
        </w:tc>
        <w:tc>
          <w:tcPr>
            <w:tcW w:w="1078"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rPr>
            </w:pPr>
          </w:p>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符合</w:t>
            </w:r>
          </w:p>
        </w:tc>
      </w:tr>
    </w:tbl>
    <w:p>
      <w:pPr>
        <w:pStyle w:val="6"/>
        <w:keepNext/>
        <w:keepLines/>
        <w:pageBreakBefore w:val="0"/>
        <w:widowControl w:val="0"/>
        <w:kinsoku/>
        <w:wordWrap/>
        <w:overflowPunct/>
        <w:topLinePunct w:val="0"/>
        <w:autoSpaceDE/>
        <w:autoSpaceDN/>
        <w:bidi w:val="0"/>
        <w:adjustRightInd w:val="0"/>
        <w:snapToGrid w:val="0"/>
        <w:spacing w:before="157" w:beforeLines="50"/>
        <w:ind w:left="0" w:leftChars="0" w:right="0" w:righ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《畜禽粪便无害化处理技术规范》（GB/T 36195-2018）符合性分析</w:t>
      </w:r>
    </w:p>
    <w:p>
      <w:pPr>
        <w:pStyle w:val="56"/>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表1.3-</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《畜禽粪便无害化处理技术规范》（GB/T 36195-2018）符合性分析一览表</w:t>
      </w:r>
    </w:p>
    <w:tbl>
      <w:tblPr>
        <w:tblStyle w:val="3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85" w:type="dxa"/>
          <w:bottom w:w="0" w:type="dxa"/>
          <w:right w:w="85" w:type="dxa"/>
        </w:tblCellMar>
      </w:tblPr>
      <w:tblGrid>
        <w:gridCol w:w="624"/>
        <w:gridCol w:w="5341"/>
        <w:gridCol w:w="1652"/>
        <w:gridCol w:w="10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3438" w:type="pct"/>
            <w:gridSpan w:val="2"/>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要求</w:t>
            </w:r>
          </w:p>
        </w:tc>
        <w:tc>
          <w:tcPr>
            <w:tcW w:w="952"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本项目</w:t>
            </w:r>
          </w:p>
        </w:tc>
        <w:tc>
          <w:tcPr>
            <w:tcW w:w="609"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yellow"/>
                <w:lang w:val="en-US"/>
              </w:rPr>
            </w:pPr>
            <w:r>
              <w:rPr>
                <w:rFonts w:hint="default" w:ascii="Times New Roman" w:hAnsi="Times New Roman" w:eastAsia="宋体" w:cs="Times New Roman"/>
                <w:color w:val="auto"/>
                <w:sz w:val="21"/>
                <w:szCs w:val="21"/>
                <w:highlight w:val="none"/>
                <w:lang w:val="en-US"/>
              </w:rPr>
              <w:t>是否符合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90" w:hRule="atLeast"/>
          <w:jc w:val="center"/>
        </w:trPr>
        <w:tc>
          <w:tcPr>
            <w:tcW w:w="360"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粪便收集、贮存和运输</w:t>
            </w:r>
          </w:p>
        </w:tc>
        <w:tc>
          <w:tcPr>
            <w:tcW w:w="3078"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left"/>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粪便生产过程宜采用干清粪工艺，实施雨污分流，减少污染物排放量。</w:t>
            </w:r>
          </w:p>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left"/>
              <w:textAlignment w:val="auto"/>
              <w:rPr>
                <w:rFonts w:hint="default" w:ascii="Times New Roman" w:hAnsi="Times New Roman" w:eastAsia="宋体" w:cs="Times New Roman"/>
                <w:color w:val="auto"/>
                <w:spacing w:val="-4"/>
                <w:sz w:val="21"/>
                <w:szCs w:val="21"/>
                <w:highlight w:val="none"/>
                <w:lang w:val="en-US"/>
              </w:rPr>
            </w:pPr>
            <w:r>
              <w:rPr>
                <w:rFonts w:hint="default" w:ascii="Times New Roman" w:hAnsi="Times New Roman" w:eastAsia="宋体" w:cs="Times New Roman"/>
                <w:color w:val="auto"/>
                <w:spacing w:val="-4"/>
                <w:sz w:val="21"/>
                <w:szCs w:val="21"/>
                <w:highlight w:val="none"/>
                <w:lang w:val="en-US"/>
              </w:rPr>
              <w:t>畜禽粪污贮存设施应符合GB/T27622的规定。</w:t>
            </w:r>
          </w:p>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left"/>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畜禽养殖污水贮存设施应符合GB/T 26624的规定。</w:t>
            </w:r>
          </w:p>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left"/>
              <w:textAlignment w:val="auto"/>
              <w:rPr>
                <w:rFonts w:hint="default" w:ascii="Times New Roman" w:hAnsi="Times New Roman" w:eastAsia="宋体" w:cs="Times New Roman"/>
                <w:color w:val="auto"/>
                <w:spacing w:val="-6"/>
                <w:sz w:val="21"/>
                <w:szCs w:val="21"/>
                <w:highlight w:val="none"/>
                <w:lang w:val="en-US"/>
              </w:rPr>
            </w:pPr>
            <w:r>
              <w:rPr>
                <w:rFonts w:hint="default" w:ascii="Times New Roman" w:hAnsi="Times New Roman" w:eastAsia="宋体" w:cs="Times New Roman"/>
                <w:color w:val="auto"/>
                <w:spacing w:val="-6"/>
                <w:sz w:val="21"/>
                <w:szCs w:val="21"/>
                <w:highlight w:val="none"/>
                <w:lang w:val="en-US"/>
              </w:rPr>
              <w:t>畜禽粪便收集、运输过程中，应采取防遗撒、防渗漏等措施。</w:t>
            </w:r>
          </w:p>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left"/>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cs="Times New Roman"/>
                <w:color w:val="auto"/>
                <w:sz w:val="21"/>
                <w:szCs w:val="21"/>
                <w:highlight w:val="none"/>
              </w:rPr>
              <w:t>新建、扩建和改建畜禽养殖场和养殖小区应设置粪污处理区，建设畜禽粪便处理设施；没有粪污处理设施的应补建。</w:t>
            </w:r>
          </w:p>
        </w:tc>
        <w:tc>
          <w:tcPr>
            <w:tcW w:w="952"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8"/>
                <w:sz w:val="21"/>
                <w:szCs w:val="21"/>
                <w:highlight w:val="none"/>
                <w:lang w:val="en-US"/>
              </w:rPr>
            </w:pPr>
            <w:r>
              <w:rPr>
                <w:rFonts w:hint="default" w:ascii="Times New Roman" w:hAnsi="Times New Roman" w:eastAsia="宋体" w:cs="Times New Roman"/>
                <w:color w:val="auto"/>
                <w:spacing w:val="-8"/>
                <w:sz w:val="21"/>
                <w:szCs w:val="21"/>
                <w:highlight w:val="none"/>
                <w:lang w:val="en-US"/>
              </w:rPr>
              <w:t>本项目采用干清粪工艺，实施雨污分流。粪污贮存设施均防渗。</w:t>
            </w:r>
          </w:p>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畜禽粪便收集、运输采使用清粪车，可有效防遗撒、防渗漏。</w:t>
            </w:r>
          </w:p>
        </w:tc>
        <w:tc>
          <w:tcPr>
            <w:tcW w:w="609"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yellow"/>
                <w:lang w:val="en-US"/>
              </w:rPr>
            </w:pPr>
            <w:r>
              <w:rPr>
                <w:rFonts w:hint="default" w:ascii="Times New Roman" w:hAnsi="Times New Roman" w:eastAsia="宋体" w:cs="Times New Roman"/>
                <w:color w:val="auto"/>
                <w:sz w:val="21"/>
                <w:szCs w:val="21"/>
                <w:highlight w:val="none"/>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jc w:val="center"/>
        </w:trPr>
        <w:tc>
          <w:tcPr>
            <w:tcW w:w="360"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粪便处理</w:t>
            </w:r>
          </w:p>
        </w:tc>
        <w:tc>
          <w:tcPr>
            <w:tcW w:w="3078" w:type="pct"/>
            <w:tcBorders>
              <w:tl2br w:val="nil"/>
              <w:tr2bl w:val="nil"/>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宜采用反应器、静态剁式等好氧堆肥技术进行无害化处理，其堆体温度维持50度以上的时间不少于7d，或45度以上不少于14d。</w:t>
            </w:r>
            <w:r>
              <w:rPr>
                <w:rFonts w:hint="default" w:ascii="Times New Roman" w:hAnsi="Times New Roman" w:cs="Times New Roman"/>
                <w:color w:val="auto"/>
                <w:sz w:val="21"/>
                <w:szCs w:val="21"/>
                <w:highlight w:val="none"/>
              </w:rPr>
              <w:t>畜禽粪便处理应坚持减量化、资源化和无害化的原则。畜禽粪便处理过程应满足安全和卫生要求，避免二次污染发生。畜禽养殖场、养殖小区的粪污处理区布局应按照NY/T 682的规定执行</w:t>
            </w:r>
          </w:p>
        </w:tc>
        <w:tc>
          <w:tcPr>
            <w:tcW w:w="952"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本项目粪污采用好氧堆肥技术进行无害化处理</w:t>
            </w:r>
          </w:p>
        </w:tc>
        <w:tc>
          <w:tcPr>
            <w:tcW w:w="609"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符合</w:t>
            </w:r>
          </w:p>
        </w:tc>
      </w:tr>
    </w:tbl>
    <w:p>
      <w:pPr>
        <w:bidi w:val="0"/>
        <w:rPr>
          <w:rFonts w:hint="default"/>
          <w:color w:val="auto"/>
        </w:rPr>
      </w:pPr>
    </w:p>
    <w:p>
      <w:pPr>
        <w:pStyle w:val="6"/>
        <w:keepNext/>
        <w:keepLines/>
        <w:pageBreakBefore w:val="0"/>
        <w:widowControl w:val="0"/>
        <w:kinsoku/>
        <w:wordWrap/>
        <w:overflowPunct/>
        <w:topLinePunct w:val="0"/>
        <w:autoSpaceDE/>
        <w:autoSpaceDN/>
        <w:bidi w:val="0"/>
        <w:adjustRightInd w:val="0"/>
        <w:snapToGrid w:val="0"/>
        <w:spacing w:before="157" w:beforeLines="50"/>
        <w:ind w:left="0" w:leftChars="0" w:right="0" w:rightChars="0" w:firstLine="0" w:firstLineChars="0"/>
        <w:textAlignment w:val="auto"/>
        <w:rPr>
          <w:rFonts w:hint="default" w:ascii="Times New Roman" w:hAnsi="Times New Roman" w:eastAsia="宋体" w:cs="Times New Roman"/>
          <w:color w:val="auto"/>
          <w:highlight w:val="none"/>
        </w:rPr>
      </w:pPr>
      <w:r>
        <w:rPr>
          <w:rFonts w:hint="eastAsia" w:ascii="Times New Roman" w:hAnsi="Times New Roman" w:cs="Times New Roman"/>
          <w:color w:val="auto"/>
          <w:highlight w:val="none"/>
          <w:lang w:val="en-US" w:eastAsia="zh-CN"/>
        </w:rPr>
        <w:t>与</w:t>
      </w:r>
      <w:r>
        <w:rPr>
          <w:rFonts w:hint="default" w:ascii="Times New Roman" w:hAnsi="Times New Roman" w:eastAsia="宋体" w:cs="Times New Roman"/>
          <w:color w:val="auto"/>
          <w:highlight w:val="none"/>
        </w:rPr>
        <w:t>《畜禽粪便还田技术规范》（GB/T 25246-2010）符合性分析</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《畜禽粪便还田技术规范》（GB/T 25246-2010）要求畜禽粪便还田前，应进行处理，且充分腐熟并杀灭病原菌、虫卵和杂草种子。</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2"/>
          <w:sz w:val="24"/>
          <w:szCs w:val="24"/>
          <w:highlight w:val="none"/>
          <w:lang w:val="en-US" w:eastAsia="zh-CN" w:bidi="ar-SA"/>
        </w:rPr>
        <w:t>本项目</w:t>
      </w:r>
      <w:r>
        <w:rPr>
          <w:rFonts w:hint="default" w:ascii="Times New Roman" w:hAnsi="Times New Roman" w:eastAsia="宋体" w:cs="Times New Roman"/>
          <w:color w:val="auto"/>
          <w:spacing w:val="-6"/>
          <w:sz w:val="24"/>
          <w:highlight w:val="none"/>
        </w:rPr>
        <w:t>粪污经过堆肥后</w:t>
      </w:r>
      <w:r>
        <w:rPr>
          <w:rFonts w:hint="eastAsia" w:cs="Times New Roman"/>
          <w:color w:val="auto"/>
          <w:spacing w:val="-6"/>
          <w:sz w:val="24"/>
          <w:highlight w:val="none"/>
          <w:lang w:eastAsia="zh-CN"/>
        </w:rPr>
        <w:t>用于垫料及还田利用</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highlight w:val="none"/>
        </w:rPr>
        <w:t>符合《畜禽粪便还田技术规范》（GB/T 25246-2010）要求。</w:t>
      </w:r>
    </w:p>
    <w:p>
      <w:pPr>
        <w:pStyle w:val="6"/>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与《水污染防治行动计划》符合性分析 </w:t>
      </w:r>
    </w:p>
    <w:p>
      <w:pPr>
        <w:pStyle w:val="17"/>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《水污染防治行动计划》中指出：“自2016年起，新建、改建、扩建规模化畜禽养殖场</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小区</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要实施雨污分流、粪便污水资源化利用。”</w:t>
      </w:r>
    </w:p>
    <w:p>
      <w:pPr>
        <w:pStyle w:val="17"/>
        <w:pageBreakBefore w:val="0"/>
        <w:wordWrap/>
        <w:bidi w:val="0"/>
        <w:adjustRightInd w:val="0"/>
        <w:ind w:left="0" w:leftChars="0" w:right="0" w:rightChars="0" w:firstLine="480"/>
        <w:rPr>
          <w:rFonts w:hint="default" w:ascii="Times New Roman" w:hAnsi="Times New Roman" w:eastAsia="宋体" w:cs="Times New Roman"/>
          <w:color w:val="auto"/>
          <w:highlight w:val="yellow"/>
        </w:rPr>
      </w:pPr>
      <w:r>
        <w:rPr>
          <w:rFonts w:hint="default" w:ascii="Times New Roman" w:hAnsi="Times New Roman" w:cs="Times New Roman"/>
          <w:color w:val="auto"/>
          <w:highlight w:val="none"/>
          <w:lang w:val="en-US" w:eastAsia="zh-CN"/>
        </w:rPr>
        <w:t>本</w:t>
      </w:r>
      <w:r>
        <w:rPr>
          <w:rFonts w:hint="default" w:ascii="Times New Roman" w:hAnsi="Times New Roman" w:eastAsia="宋体" w:cs="Times New Roman"/>
          <w:color w:val="auto"/>
          <w:highlight w:val="none"/>
        </w:rPr>
        <w:t>项目雨污进行分流，</w:t>
      </w:r>
      <w:r>
        <w:rPr>
          <w:rFonts w:hint="default" w:ascii="Times New Roman" w:hAnsi="Times New Roman" w:cs="Times New Roman"/>
          <w:color w:val="auto"/>
          <w:highlight w:val="none"/>
          <w:lang w:eastAsia="zh-CN"/>
        </w:rPr>
        <w:t>在道路两侧设排水沟收集雨水，排至绿化带</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以</w:t>
      </w:r>
      <w:r>
        <w:rPr>
          <w:rFonts w:hint="default" w:ascii="Times New Roman" w:hAnsi="Times New Roman" w:eastAsia="宋体" w:cs="Times New Roman"/>
          <w:color w:val="auto"/>
          <w:highlight w:val="none"/>
        </w:rPr>
        <w:t>防雨水流入到</w:t>
      </w:r>
      <w:r>
        <w:rPr>
          <w:rFonts w:hint="default" w:ascii="Times New Roman" w:hAnsi="Times New Roman" w:eastAsia="宋体" w:cs="Times New Roman"/>
          <w:color w:val="auto"/>
          <w:highlight w:val="none"/>
          <w:lang w:val="en-US" w:eastAsia="zh-CN"/>
        </w:rPr>
        <w:t>牛舍</w:t>
      </w:r>
      <w:r>
        <w:rPr>
          <w:rFonts w:hint="default" w:ascii="Times New Roman" w:hAnsi="Times New Roman" w:eastAsia="宋体" w:cs="Times New Roman"/>
          <w:color w:val="auto"/>
          <w:highlight w:val="none"/>
        </w:rPr>
        <w:t>内；</w:t>
      </w:r>
      <w:r>
        <w:rPr>
          <w:rFonts w:hint="eastAsia" w:cs="Times New Roman"/>
          <w:color w:val="auto"/>
          <w:highlight w:val="none"/>
          <w:lang w:val="en-US" w:eastAsia="zh-CN"/>
        </w:rPr>
        <w:t>挤奶厅设备和地面清洗废水</w:t>
      </w:r>
      <w:r>
        <w:rPr>
          <w:rFonts w:hint="default" w:ascii="Times New Roman" w:hAnsi="Times New Roman" w:cs="Times New Roman"/>
          <w:color w:val="auto"/>
          <w:highlight w:val="none"/>
          <w:lang w:val="en-US" w:eastAsia="zh-CN"/>
        </w:rPr>
        <w:t>及</w:t>
      </w:r>
      <w:r>
        <w:rPr>
          <w:rFonts w:hint="default" w:ascii="Times New Roman" w:hAnsi="Times New Roman" w:eastAsia="宋体" w:cs="Times New Roman"/>
          <w:color w:val="auto"/>
          <w:highlight w:val="none"/>
          <w:lang w:eastAsia="zh-CN"/>
        </w:rPr>
        <w:t>生活污水进入</w:t>
      </w:r>
      <w:r>
        <w:rPr>
          <w:rFonts w:hint="default" w:ascii="Times New Roman" w:hAnsi="Times New Roman" w:cs="Times New Roman"/>
          <w:color w:val="auto"/>
          <w:highlight w:val="none"/>
          <w:lang w:eastAsia="zh-CN"/>
        </w:rPr>
        <w:t>集污池收集后</w:t>
      </w:r>
      <w:r>
        <w:rPr>
          <w:rFonts w:hint="default" w:ascii="Times New Roman" w:hAnsi="Times New Roman" w:eastAsia="宋体" w:cs="Times New Roman"/>
          <w:color w:val="auto"/>
          <w:highlight w:val="none"/>
          <w:lang w:val="en-US" w:eastAsia="zh-CN"/>
        </w:rPr>
        <w:t>定期</w:t>
      </w:r>
      <w:r>
        <w:rPr>
          <w:rFonts w:hint="eastAsia" w:cs="Times New Roman"/>
          <w:color w:val="auto"/>
          <w:highlight w:val="none"/>
          <w:lang w:val="en-US" w:eastAsia="zh-CN"/>
        </w:rPr>
        <w:t>清掏拉运</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spacing w:val="-6"/>
          <w:sz w:val="24"/>
          <w:highlight w:val="none"/>
        </w:rPr>
        <w:t>粪污经过堆肥后</w:t>
      </w:r>
      <w:r>
        <w:rPr>
          <w:rFonts w:hint="eastAsia" w:cs="Times New Roman"/>
          <w:color w:val="auto"/>
          <w:spacing w:val="-6"/>
          <w:sz w:val="24"/>
          <w:highlight w:val="none"/>
          <w:lang w:eastAsia="zh-CN"/>
        </w:rPr>
        <w:t>用于垫料及还田利用</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项目建设符合《水污染防治行动计划》的要求。</w:t>
      </w:r>
    </w:p>
    <w:p>
      <w:pPr>
        <w:pStyle w:val="6"/>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与《新疆维吾尔自治区加快推进畜禽养殖废弃物资源化利用实施方案》的符合性分析</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方案中指出：“到2020年，全区建立科学规范、全责清晰、约束有力的畜禽养殖废弃物处理和资源化利用制度，构建种养循环发展机制，全区畜禽粪污综合利用率达75%以上，规模养殖场粪污处理设施装备配套率达到95%以上，大型规模养殖场粪污处理设施装备配套率提前一年达到100%，种植业有机肥利用率逐年提高。全面实现病死畜禽无害化、规范化、常态化处理。”方案中提出的工作目标与国家要求一致。</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lang w:val="en-US" w:eastAsia="zh-CN"/>
        </w:rPr>
        <w:t>本</w:t>
      </w:r>
      <w:r>
        <w:rPr>
          <w:rFonts w:hint="default" w:ascii="Times New Roman" w:hAnsi="Times New Roman" w:eastAsia="宋体" w:cs="Times New Roman"/>
          <w:color w:val="auto"/>
          <w:highlight w:val="none"/>
        </w:rPr>
        <w:t>项目</w:t>
      </w:r>
      <w:r>
        <w:rPr>
          <w:rFonts w:hint="default" w:ascii="Times New Roman" w:hAnsi="Times New Roman" w:eastAsia="宋体" w:cs="Times New Roman"/>
          <w:color w:val="auto"/>
          <w:spacing w:val="-6"/>
          <w:sz w:val="24"/>
          <w:highlight w:val="none"/>
        </w:rPr>
        <w:t>粪污经过堆肥后</w:t>
      </w:r>
      <w:r>
        <w:rPr>
          <w:rFonts w:hint="eastAsia" w:cs="Times New Roman"/>
          <w:color w:val="auto"/>
          <w:spacing w:val="-6"/>
          <w:sz w:val="24"/>
          <w:highlight w:val="none"/>
          <w:lang w:eastAsia="zh-CN"/>
        </w:rPr>
        <w:t>用于垫料及还田利用</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kern w:val="2"/>
          <w:sz w:val="24"/>
          <w:szCs w:val="24"/>
          <w:highlight w:val="none"/>
          <w:lang w:val="en-US" w:eastAsia="zh-CN" w:bidi="ar-SA"/>
        </w:rPr>
        <w:t>病死牛尸体</w:t>
      </w:r>
      <w:r>
        <w:rPr>
          <w:rFonts w:hint="default" w:ascii="Times New Roman" w:hAnsi="Times New Roman" w:eastAsia="宋体" w:cs="Times New Roman"/>
          <w:color w:val="auto"/>
          <w:highlight w:val="none"/>
        </w:rPr>
        <w:t>由</w:t>
      </w:r>
      <w:r>
        <w:rPr>
          <w:rFonts w:hint="default" w:ascii="Times New Roman" w:hAnsi="Times New Roman" w:cs="Times New Roman"/>
          <w:color w:val="auto"/>
          <w:highlight w:val="none"/>
          <w:lang w:val="en-US" w:eastAsia="zh-CN"/>
        </w:rPr>
        <w:t>安全填埋井填埋</w:t>
      </w:r>
      <w:r>
        <w:rPr>
          <w:rFonts w:hint="default" w:ascii="Times New Roman" w:hAnsi="Times New Roman" w:eastAsia="宋体" w:cs="Times New Roman"/>
          <w:color w:val="auto"/>
          <w:highlight w:val="none"/>
        </w:rPr>
        <w:t>，实现无害化、规范化、常态化处理</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项目建设符合《新疆维吾尔自治区加快推进畜禽养殖废弃物资源化利用实施方案》的要求。</w:t>
      </w:r>
    </w:p>
    <w:p>
      <w:pPr>
        <w:pStyle w:val="6"/>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与《关于做好畜禽规模养殖项目环境影响评价管理工作的通知》的符合性分析</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根据生态环境部办公厅《关于做好畜禽规模养殖项目环境影响评价管理工作的通知》</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环办环评〔2018〕31号</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文件，规模化养殖项目应从选址、粪污减量化、污染防治及环评信息公开方面强化措施。本项目与其符合性分析见表1.3-</w:t>
      </w:r>
      <w:r>
        <w:rPr>
          <w:rFonts w:hint="eastAsia" w:cs="Times New Roman"/>
          <w:color w:val="auto"/>
          <w:highlight w:val="none"/>
          <w:lang w:val="en-US" w:eastAsia="zh-CN"/>
        </w:rPr>
        <w:t>4</w:t>
      </w:r>
      <w:r>
        <w:rPr>
          <w:rFonts w:hint="default" w:ascii="Times New Roman" w:hAnsi="Times New Roman" w:eastAsia="宋体" w:cs="Times New Roman"/>
          <w:color w:val="auto"/>
          <w:highlight w:val="none"/>
        </w:rPr>
        <w:t>。</w:t>
      </w:r>
    </w:p>
    <w:p>
      <w:pPr>
        <w:pStyle w:val="50"/>
        <w:pageBreakBefore w:val="0"/>
        <w:widowControl w:val="0"/>
        <w:kinsoku/>
        <w:wordWrap/>
        <w:overflowPunct/>
        <w:topLinePunct w:val="0"/>
        <w:autoSpaceDE/>
        <w:autoSpaceDN/>
        <w:bidi w:val="0"/>
        <w:adjustRightInd w:val="0"/>
        <w:snapToGrid w:val="0"/>
        <w:spacing w:afterLines="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表1.3-</w:t>
      </w:r>
      <w:r>
        <w:rPr>
          <w:rFonts w:hint="eastAsia" w:ascii="Times New Roman" w:hAnsi="Times New Roman"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与《关于做好畜禽规模养殖项目环境影响评价管理工作的通知》的符合性分析一览表</w:t>
      </w:r>
    </w:p>
    <w:tbl>
      <w:tblPr>
        <w:tblStyle w:val="39"/>
        <w:tblpPr w:leftFromText="180" w:rightFromText="180" w:vertAnchor="text" w:tblpY="1"/>
        <w:tblOverlap w:val="never"/>
        <w:tblW w:w="5001" w:type="pct"/>
        <w:tblInd w:w="-3"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6026"/>
        <w:gridCol w:w="1739"/>
        <w:gridCol w:w="741"/>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25" w:hRule="atLeast"/>
        </w:trPr>
        <w:tc>
          <w:tcPr>
            <w:tcW w:w="3542"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环办环评〔2018〕31号文件要求</w:t>
            </w:r>
          </w:p>
        </w:tc>
        <w:tc>
          <w:tcPr>
            <w:tcW w:w="1022"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本项目情况</w:t>
            </w:r>
          </w:p>
        </w:tc>
        <w:tc>
          <w:tcPr>
            <w:tcW w:w="435"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符合性</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542"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一、优化项目选址，合理布置养殖场区</w:t>
            </w:r>
          </w:p>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一</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项目环评应充分论证选址的环境合理性，选址应避开当地划定的禁止养殖区域，并与区域主体功能区规划、环境功能区划、土地利用规划、城乡规划、畜牧业发展规划、畜禽养殖污染防治规划等规划相协调。当地未划定禁止养殖区域的，应避开饮用水水源保护区、风景名胜区、自然保护区的核心区和缓冲区、村镇人口集中区域，以及法律、法规规定的禁止养殖区域。</w:t>
            </w:r>
          </w:p>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二</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项目环评应结合环境保护要求优化养殖场区内部布置。畜禽养殖区及畜禽粪污贮存、处理和畜禽尸体无害化处理等产生恶臭影响的设施，应位于养殖场区主导风向的下风向位置，并尽量远离周边环境保护目标。参照《畜禽养殖业污染防治技术规范》，并根据恶臭污染物无组织排放源强，以及当地的环境及气象等因素，按照《环境影响评价技术导则 大气环境》要求计算大气环境防护距离，作为养殖场选址以及周边规划控制的依据，减轻对周围环境保护目标的不利影响。</w:t>
            </w:r>
          </w:p>
        </w:tc>
        <w:tc>
          <w:tcPr>
            <w:tcW w:w="1022"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本报告论证了项目选址的环境合理性；周围无</w:t>
            </w:r>
            <w:r>
              <w:rPr>
                <w:rFonts w:hint="default" w:ascii="Times New Roman" w:hAnsi="Times New Roman" w:cs="Times New Roman"/>
                <w:color w:val="auto"/>
                <w:sz w:val="21"/>
                <w:szCs w:val="21"/>
                <w:highlight w:val="none"/>
                <w:lang w:val="en-US" w:eastAsia="zh-CN"/>
              </w:rPr>
              <w:t>村镇人口集中区域及其他敏感目标</w:t>
            </w:r>
            <w:r>
              <w:rPr>
                <w:rFonts w:hint="default" w:ascii="Times New Roman" w:hAnsi="Times New Roman" w:eastAsia="宋体" w:cs="Times New Roman"/>
                <w:color w:val="auto"/>
                <w:sz w:val="21"/>
                <w:szCs w:val="21"/>
                <w:highlight w:val="none"/>
              </w:rPr>
              <w:t>；根据《环境影响评价技术导则 大气环境》（HJ2.2-2018）</w:t>
            </w:r>
            <w:r>
              <w:rPr>
                <w:rFonts w:hint="default" w:ascii="Times New Roman" w:hAnsi="Times New Roman" w:eastAsia="宋体" w:cs="Times New Roman"/>
                <w:color w:val="auto"/>
                <w:sz w:val="21"/>
                <w:szCs w:val="21"/>
                <w:highlight w:val="none"/>
                <w:lang w:val="en-US" w:eastAsia="zh-CN"/>
              </w:rPr>
              <w:t>要求计算</w:t>
            </w:r>
            <w:r>
              <w:rPr>
                <w:rFonts w:hint="default" w:ascii="Times New Roman" w:hAnsi="Times New Roman" w:eastAsia="宋体" w:cs="Times New Roman"/>
                <w:color w:val="auto"/>
                <w:sz w:val="21"/>
                <w:szCs w:val="21"/>
                <w:highlight w:val="none"/>
              </w:rPr>
              <w:t>，无需设置大气防护距离。</w:t>
            </w:r>
          </w:p>
        </w:tc>
        <w:tc>
          <w:tcPr>
            <w:tcW w:w="435"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780" w:hRule="atLeast"/>
        </w:trPr>
        <w:tc>
          <w:tcPr>
            <w:tcW w:w="3542"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二、加强粪污减量控制，促进畜禽养殖粪污资源化利用</w:t>
            </w:r>
          </w:p>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一</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项目环评应以农业绿色发展为导向，优化工艺，通过采取优化饲料配方、提高饲养技术等措施，从源头减少粪污的产生量。鼓励采取干清粪方式，采取水泡粪工艺的应最大限度降低用水量。场区应采取雨污分离措施，防止雨水进入粪污收集系统。</w:t>
            </w:r>
          </w:p>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二</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项目环评应结合地域、畜种、规模等特点以及地方相关部门制定的畜禽粪污综合利用目标等要求，加强畜禽养殖粪污资源化利用，因地制宜选择经济高效适用的处理利用模式，采取粪污全量收集还田利用、污水肥料化利用、粪便</w:t>
            </w:r>
            <w:r>
              <w:rPr>
                <w:rFonts w:hint="default" w:ascii="Times New Roman" w:hAnsi="Times New Roman" w:cs="Times New Roman"/>
                <w:color w:val="auto"/>
                <w:sz w:val="21"/>
                <w:szCs w:val="21"/>
                <w:highlight w:val="none"/>
                <w:lang w:eastAsia="zh-CN"/>
              </w:rPr>
              <w:t>垫料利用</w:t>
            </w:r>
            <w:r>
              <w:rPr>
                <w:rFonts w:hint="default" w:ascii="Times New Roman" w:hAnsi="Times New Roman" w:eastAsia="宋体" w:cs="Times New Roman"/>
                <w:color w:val="auto"/>
                <w:sz w:val="21"/>
                <w:szCs w:val="21"/>
                <w:highlight w:val="none"/>
              </w:rPr>
              <w:t>、异位发酵床、粪污专业化能源利用等模式处理利用畜禽粪污，促进畜禽规模养殖项目“种养结合”绿色发展。</w:t>
            </w:r>
          </w:p>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三</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鼓励根据土地承载能力确定畜禽养殖场的适宜养殖规模，土地承载能力可采用农业农村主管部门发布的测算技术方法确定。耕地面积大、土地消纳能力相对较高的区域，畜禽养殖场产生的粪污应力争实现全部就地就近资源化利用或委托第三方处理；当土地消纳能力不足时，应进一步提高资源化利用能力或适当减少养殖规模。鼓励依托符合环保要求的专业化粪污处理利用企业，提高畜禽养殖粪污集中收集利用能力。环评应明确畜禽养殖粪污资源化利用的主体，严格落实利用渠道或途径，确保资源化利用有效实施。</w:t>
            </w:r>
          </w:p>
        </w:tc>
        <w:tc>
          <w:tcPr>
            <w:tcW w:w="1022"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highlight w:val="none"/>
              </w:rPr>
              <w:t>本项目采用先进的饲养技术，从源头上减少了粪污的产生量；本项目采取干清粪方式，雨污进行分流，防止雨水进入粪污收集系统。粪污经过堆肥后</w:t>
            </w:r>
            <w:r>
              <w:rPr>
                <w:rFonts w:hint="eastAsia" w:cs="Times New Roman"/>
                <w:color w:val="auto"/>
                <w:sz w:val="21"/>
                <w:szCs w:val="21"/>
                <w:highlight w:val="none"/>
                <w:lang w:eastAsia="zh-CN"/>
              </w:rPr>
              <w:t>用于垫料及还田利用</w:t>
            </w:r>
            <w:r>
              <w:rPr>
                <w:rFonts w:hint="default" w:ascii="Times New Roman" w:hAnsi="Times New Roman" w:eastAsia="宋体" w:cs="Times New Roman"/>
                <w:color w:val="auto"/>
                <w:sz w:val="21"/>
                <w:szCs w:val="21"/>
                <w:highlight w:val="none"/>
              </w:rPr>
              <w:t>，做到了资源综合利用。</w:t>
            </w:r>
            <w:r>
              <w:rPr>
                <w:rFonts w:hint="eastAsia" w:cs="Times New Roman"/>
                <w:color w:val="auto"/>
                <w:sz w:val="21"/>
                <w:szCs w:val="21"/>
                <w:highlight w:val="none"/>
                <w:lang w:val="en-US" w:eastAsia="zh-CN"/>
              </w:rPr>
              <w:t>本项目配套供应的玉米地</w:t>
            </w:r>
            <w:r>
              <w:rPr>
                <w:rFonts w:hint="eastAsia" w:ascii="Times New Roman" w:hAnsi="Times New Roman" w:eastAsia="宋体" w:cs="Times New Roman"/>
                <w:color w:val="auto"/>
                <w:sz w:val="21"/>
                <w:szCs w:val="21"/>
                <w:highlight w:val="none"/>
                <w:lang w:val="en-US" w:eastAsia="zh-CN"/>
              </w:rPr>
              <w:t>可</w:t>
            </w:r>
            <w:r>
              <w:rPr>
                <w:rFonts w:hint="default" w:ascii="Times New Roman" w:hAnsi="Times New Roman" w:eastAsia="宋体" w:cs="Times New Roman"/>
                <w:color w:val="auto"/>
                <w:sz w:val="21"/>
                <w:szCs w:val="21"/>
                <w:highlight w:val="none"/>
              </w:rPr>
              <w:t>消纳</w:t>
            </w:r>
            <w:r>
              <w:rPr>
                <w:rFonts w:hint="eastAsia" w:ascii="Times New Roman" w:hAnsi="Times New Roman" w:eastAsia="宋体" w:cs="Times New Roman"/>
                <w:color w:val="auto"/>
                <w:sz w:val="21"/>
                <w:szCs w:val="21"/>
                <w:highlight w:val="none"/>
                <w:lang w:val="en-US" w:eastAsia="zh-CN"/>
              </w:rPr>
              <w:t>本项目产生的粪污</w:t>
            </w:r>
            <w:r>
              <w:rPr>
                <w:rFonts w:hint="default" w:ascii="Times New Roman" w:hAnsi="Times New Roman" w:eastAsia="宋体" w:cs="Times New Roman"/>
                <w:color w:val="auto"/>
                <w:sz w:val="21"/>
                <w:szCs w:val="21"/>
                <w:highlight w:val="none"/>
              </w:rPr>
              <w:t>。</w:t>
            </w:r>
          </w:p>
        </w:tc>
        <w:tc>
          <w:tcPr>
            <w:tcW w:w="435"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796" w:hRule="atLeast"/>
        </w:trPr>
        <w:tc>
          <w:tcPr>
            <w:tcW w:w="3542"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三、强化粪污治理措施，做好污染防治</w:t>
            </w:r>
          </w:p>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一</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项目环评应强化对粪污的治理措施，加强畜禽养殖粪污资源化利用过程中的污染控制，推进粪污资源的良性利用，应对无法资源化利用的粪污采取治理措施确保达标排放。畜禽规模养殖项目应配套建设与养殖规模相匹配的雨污分离设施，以及粪污贮存、处理和利用设施等，委托满足相关环保要求的第三方代为利用或者处理的，可不自行建设粪污处理或利用设施。</w:t>
            </w:r>
          </w:p>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二</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项目环评应明确畜禽粪污贮存、处理和利用措施。贮存池应采取有效的防雨、防渗和防溢流措施，防止畜禽粪污污染地下水。贮存池总有效容积应根据贮存期确定。进行资源化利用的畜禽粪污须处理并达到畜禽粪便还田、无害化处理等技术规范要求。畜禽规模养殖项目配套建设沼气工程的，应充分考虑沼气制备及贮存过程中的环境风险，制定环境风险防范措施及应急预案。</w:t>
            </w:r>
          </w:p>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pacing w:val="-6"/>
                <w:sz w:val="21"/>
                <w:szCs w:val="21"/>
                <w:highlight w:val="none"/>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三</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pacing w:val="-6"/>
                <w:sz w:val="21"/>
                <w:szCs w:val="21"/>
                <w:highlight w:val="none"/>
              </w:rPr>
              <w:t>畜禽养殖粪污作为肥料还田利用的，应明确畜禽养殖场与还田利用的林地、农田之间的输送系统及环境管理措施，严格控制肥水输送沿途的弃、撒和跑冒滴漏，防止进入外部水体。对无法采取资源化利用的畜禽</w:t>
            </w:r>
            <w:r>
              <w:rPr>
                <w:rFonts w:hint="default" w:ascii="Times New Roman" w:hAnsi="Times New Roman" w:cs="Times New Roman"/>
                <w:color w:val="auto"/>
                <w:spacing w:val="-6"/>
                <w:sz w:val="21"/>
                <w:szCs w:val="21"/>
                <w:highlight w:val="none"/>
                <w:lang w:eastAsia="zh-CN"/>
              </w:rPr>
              <w:t>生产废水</w:t>
            </w:r>
            <w:r>
              <w:rPr>
                <w:rFonts w:hint="default" w:ascii="Times New Roman" w:hAnsi="Times New Roman" w:eastAsia="宋体" w:cs="Times New Roman"/>
                <w:color w:val="auto"/>
                <w:spacing w:val="-6"/>
                <w:sz w:val="21"/>
                <w:szCs w:val="21"/>
                <w:highlight w:val="none"/>
              </w:rPr>
              <w:t>应明确处理措施及工艺，确保达标排放或消毒回用，排放去向应符合国家和地方的有关规定，不得排入敏感水域和有特殊功能的水域。</w:t>
            </w:r>
          </w:p>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四</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pacing w:val="-6"/>
                <w:sz w:val="21"/>
                <w:szCs w:val="21"/>
                <w:highlight w:val="none"/>
              </w:rPr>
              <w:t>依据相关法律法规和技术规范，制定明确的病死畜禽处理、处置方案，及时处理病死畜禽。针对畜禽规模养殖项目的恶臭影响， 可采取控制饲养密度、改善舍内通风、及时清粪、采用除臭剂、集中收集处理等措施，确保项目恶臭污染物达标排放。</w:t>
            </w:r>
          </w:p>
        </w:tc>
        <w:tc>
          <w:tcPr>
            <w:tcW w:w="1022"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6"/>
                <w:sz w:val="21"/>
                <w:szCs w:val="21"/>
                <w:highlight w:val="none"/>
              </w:rPr>
              <w:t>本项目雨污进行分流，防止雨水进入粪污收集系统。粪污经过堆肥后</w:t>
            </w:r>
            <w:r>
              <w:rPr>
                <w:rFonts w:hint="eastAsia" w:cs="Times New Roman"/>
                <w:color w:val="auto"/>
                <w:spacing w:val="-6"/>
                <w:sz w:val="21"/>
                <w:szCs w:val="21"/>
                <w:highlight w:val="none"/>
                <w:lang w:eastAsia="zh-CN"/>
              </w:rPr>
              <w:t>用于垫料及还田利用</w:t>
            </w:r>
            <w:r>
              <w:rPr>
                <w:rFonts w:hint="default" w:ascii="Times New Roman" w:hAnsi="Times New Roman" w:eastAsia="宋体" w:cs="Times New Roman"/>
                <w:color w:val="auto"/>
                <w:spacing w:val="-6"/>
                <w:sz w:val="21"/>
                <w:szCs w:val="21"/>
                <w:highlight w:val="none"/>
              </w:rPr>
              <w:t>，做到了资源综合利用。严格控制肥水输送沿途的弃、撒和跑冒滴漏，防止进入外部水体。</w:t>
            </w:r>
            <w:r>
              <w:rPr>
                <w:rFonts w:hint="eastAsia" w:cs="Times New Roman"/>
                <w:color w:val="auto"/>
                <w:spacing w:val="-6"/>
                <w:sz w:val="21"/>
                <w:szCs w:val="21"/>
                <w:highlight w:val="none"/>
                <w:lang w:eastAsia="zh-CN"/>
              </w:rPr>
              <w:t>挤奶厅设备和地面清洗废水</w:t>
            </w:r>
            <w:r>
              <w:rPr>
                <w:rFonts w:hint="default" w:ascii="Times New Roman" w:hAnsi="Times New Roman" w:cs="Times New Roman"/>
                <w:color w:val="auto"/>
                <w:spacing w:val="-6"/>
                <w:sz w:val="21"/>
                <w:szCs w:val="21"/>
                <w:highlight w:val="none"/>
                <w:lang w:eastAsia="zh-CN"/>
              </w:rPr>
              <w:t>及</w:t>
            </w:r>
            <w:r>
              <w:rPr>
                <w:rFonts w:hint="default" w:ascii="Times New Roman" w:hAnsi="Times New Roman" w:eastAsia="宋体" w:cs="Times New Roman"/>
                <w:color w:val="auto"/>
                <w:spacing w:val="-6"/>
                <w:sz w:val="21"/>
                <w:szCs w:val="21"/>
                <w:highlight w:val="none"/>
                <w:lang w:eastAsia="zh-CN"/>
              </w:rPr>
              <w:t>生活污水</w:t>
            </w:r>
            <w:r>
              <w:rPr>
                <w:rFonts w:hint="default" w:ascii="Times New Roman" w:hAnsi="Times New Roman" w:cs="Times New Roman"/>
                <w:color w:val="auto"/>
                <w:spacing w:val="-6"/>
                <w:sz w:val="21"/>
                <w:szCs w:val="21"/>
                <w:highlight w:val="none"/>
                <w:lang w:eastAsia="zh-CN"/>
              </w:rPr>
              <w:t>经集污池收集后</w:t>
            </w:r>
            <w:r>
              <w:rPr>
                <w:rFonts w:hint="default" w:ascii="Times New Roman" w:hAnsi="Times New Roman" w:eastAsia="宋体" w:cs="Times New Roman"/>
                <w:color w:val="auto"/>
                <w:spacing w:val="-6"/>
                <w:sz w:val="21"/>
                <w:szCs w:val="21"/>
                <w:highlight w:val="none"/>
                <w:lang w:val="en-US" w:eastAsia="zh-CN"/>
              </w:rPr>
              <w:t>定期</w:t>
            </w:r>
            <w:r>
              <w:rPr>
                <w:rFonts w:hint="eastAsia" w:cs="Times New Roman"/>
                <w:color w:val="auto"/>
                <w:spacing w:val="-6"/>
                <w:sz w:val="21"/>
                <w:szCs w:val="21"/>
                <w:highlight w:val="none"/>
                <w:lang w:val="en-US" w:eastAsia="zh-CN"/>
              </w:rPr>
              <w:t>清掏拉运</w:t>
            </w:r>
            <w:r>
              <w:rPr>
                <w:rFonts w:hint="default" w:ascii="Times New Roman" w:hAnsi="Times New Roman" w:eastAsia="宋体" w:cs="Times New Roman"/>
                <w:color w:val="auto"/>
                <w:spacing w:val="-6"/>
                <w:sz w:val="21"/>
                <w:szCs w:val="21"/>
                <w:highlight w:val="none"/>
              </w:rPr>
              <w:t>。针对畜禽规模养殖项目的恶臭影响提出了合理的除臭措施，可确保项目恶臭污染物达标排放。</w:t>
            </w:r>
          </w:p>
        </w:tc>
        <w:tc>
          <w:tcPr>
            <w:tcW w:w="435"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554" w:hRule="atLeast"/>
        </w:trPr>
        <w:tc>
          <w:tcPr>
            <w:tcW w:w="3542" w:type="pct"/>
            <w:tcBorders>
              <w:tl2br w:val="nil"/>
              <w:tr2bl w:val="nil"/>
            </w:tcBorders>
            <w:noWrap w:val="0"/>
            <w:vAlign w:val="center"/>
          </w:tcPr>
          <w:p>
            <w:pPr>
              <w:pStyle w:val="55"/>
              <w:pageBreakBefore w:val="0"/>
              <w:widowControl w:val="0"/>
              <w:numPr>
                <w:ilvl w:val="0"/>
                <w:numId w:val="4"/>
              </w:numPr>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落实环评信息公开要求，发挥公众参与的监督作用</w:t>
            </w:r>
          </w:p>
          <w:p>
            <w:pPr>
              <w:pStyle w:val="55"/>
              <w:pageBreakBefore w:val="0"/>
              <w:widowControl w:val="0"/>
              <w:numPr>
                <w:ilvl w:val="0"/>
                <w:numId w:val="4"/>
              </w:numPr>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单位在项目环评报告书报送审批前，应采取适当形式，遵循依法、有序、公开、便利的原则，公开征求意见并对真实性和结果负责。地方生态环境部门应按照相关要求，主动公开项目环评报告书受理情况、拟作出的审批意见和审批情况，保障公众环境保护知情权、参与权和监督权。强化对建设单位的监督约束，落实建设项目环评信息的全过程、全覆盖公开，确保公众能够方便获取建设项目环评信息。</w:t>
            </w:r>
          </w:p>
        </w:tc>
        <w:tc>
          <w:tcPr>
            <w:tcW w:w="1022"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本项目建设单位按照公众参与的相关要求进行了公示</w:t>
            </w:r>
          </w:p>
        </w:tc>
        <w:tc>
          <w:tcPr>
            <w:tcW w:w="435"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pPr>
        <w:pageBreakBefore w:val="0"/>
        <w:wordWrap/>
        <w:bidi w:val="0"/>
        <w:adjustRightInd w:val="0"/>
        <w:spacing w:line="360" w:lineRule="auto"/>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经分析，项目符合《关于做好畜禽规模养殖项目环境影响评价管理的通知》（环办环评〔2018〕31号）要求。</w:t>
      </w:r>
    </w:p>
    <w:p>
      <w:pPr>
        <w:pStyle w:val="6"/>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与《畜禽养殖业污染防治技术政策》的符合性分析</w:t>
      </w:r>
    </w:p>
    <w:p>
      <w:pPr>
        <w:pStyle w:val="50"/>
        <w:pageBreakBefore w:val="0"/>
        <w:widowControl w:val="0"/>
        <w:kinsoku/>
        <w:wordWrap/>
        <w:overflowPunct/>
        <w:topLinePunct w:val="0"/>
        <w:autoSpaceDE/>
        <w:autoSpaceDN/>
        <w:bidi w:val="0"/>
        <w:adjustRightInd w:val="0"/>
        <w:snapToGrid w:val="0"/>
        <w:spacing w:afterLines="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表1.3-</w:t>
      </w:r>
      <w:r>
        <w:rPr>
          <w:rFonts w:hint="eastAsia" w:ascii="Times New Roman" w:hAnsi="Times New Roman"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 xml:space="preserve">   与《畜禽养殖业污染防治技术政策》的符合性分析一览表</w:t>
      </w:r>
    </w:p>
    <w:tbl>
      <w:tblPr>
        <w:tblStyle w:val="39"/>
        <w:tblpPr w:leftFromText="180" w:rightFromText="180" w:vertAnchor="text" w:tblpY="1"/>
        <w:tblOverlap w:val="never"/>
        <w:tblW w:w="5034"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4969"/>
        <w:gridCol w:w="2872"/>
        <w:gridCol w:w="721"/>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969"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要求</w:t>
            </w:r>
          </w:p>
        </w:tc>
        <w:tc>
          <w:tcPr>
            <w:tcW w:w="2872"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本项目情况</w:t>
            </w:r>
          </w:p>
        </w:tc>
        <w:tc>
          <w:tcPr>
            <w:tcW w:w="721"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符合性</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8562" w:type="dxa"/>
            <w:gridSpan w:val="3"/>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b/>
                <w:bCs/>
                <w:color w:val="auto"/>
                <w:sz w:val="21"/>
                <w:szCs w:val="21"/>
                <w:highlight w:val="none"/>
              </w:rPr>
              <w:t>总则</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969"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畜禽养殖污染防治应遵循发展循环经济、低碳经济、生态农业与资源化综合利用的总体发展战略，促进畜禽养殖业向集约化、规模化发展，重视畜禽养殖的温室气体减排，逐步提高畜禽养殖污染防治技术水平，因地制宜地开展综合整治。</w:t>
            </w:r>
          </w:p>
        </w:tc>
        <w:tc>
          <w:tcPr>
            <w:tcW w:w="2872"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6"/>
                <w:kern w:val="0"/>
                <w:sz w:val="21"/>
                <w:szCs w:val="21"/>
                <w:highlight w:val="none"/>
                <w:lang w:val="en-US" w:eastAsia="zh-CN" w:bidi="ar-SA"/>
              </w:rPr>
              <w:t>采用干清粪工艺，粪污经过堆肥后</w:t>
            </w:r>
            <w:r>
              <w:rPr>
                <w:rFonts w:hint="eastAsia" w:cs="Times New Roman"/>
                <w:color w:val="auto"/>
                <w:spacing w:val="-6"/>
                <w:kern w:val="0"/>
                <w:sz w:val="21"/>
                <w:szCs w:val="21"/>
                <w:highlight w:val="none"/>
                <w:lang w:val="en-US" w:eastAsia="zh-CN" w:bidi="ar-SA"/>
              </w:rPr>
              <w:t>用于垫料及还田利用</w:t>
            </w:r>
            <w:r>
              <w:rPr>
                <w:rFonts w:hint="default" w:ascii="Times New Roman" w:hAnsi="Times New Roman" w:eastAsia="宋体" w:cs="Times New Roman"/>
                <w:color w:val="auto"/>
                <w:spacing w:val="-6"/>
                <w:kern w:val="0"/>
                <w:sz w:val="21"/>
                <w:szCs w:val="21"/>
                <w:highlight w:val="none"/>
                <w:lang w:val="en-US" w:eastAsia="zh-CN" w:bidi="ar-SA"/>
              </w:rPr>
              <w:t>，达到资源化综合利用。</w:t>
            </w:r>
            <w:r>
              <w:rPr>
                <w:rFonts w:hint="eastAsia" w:cs="Times New Roman"/>
                <w:color w:val="auto"/>
                <w:spacing w:val="-6"/>
                <w:kern w:val="0"/>
                <w:sz w:val="21"/>
                <w:szCs w:val="21"/>
                <w:highlight w:val="none"/>
                <w:lang w:val="en-US" w:eastAsia="zh-CN" w:bidi="ar-SA"/>
              </w:rPr>
              <w:t>本项目为</w:t>
            </w:r>
            <w:r>
              <w:rPr>
                <w:rFonts w:hint="default" w:ascii="Times New Roman" w:hAnsi="Times New Roman" w:eastAsia="宋体" w:cs="Times New Roman"/>
                <w:color w:val="auto"/>
                <w:highlight w:val="none"/>
              </w:rPr>
              <w:t>规模化畜禽养殖场</w:t>
            </w:r>
            <w:r>
              <w:rPr>
                <w:rFonts w:hint="eastAsia" w:cs="Times New Roman"/>
                <w:color w:val="auto"/>
                <w:highlight w:val="none"/>
                <w:lang w:eastAsia="zh-CN"/>
              </w:rPr>
              <w:t>。</w:t>
            </w:r>
          </w:p>
        </w:tc>
        <w:tc>
          <w:tcPr>
            <w:tcW w:w="721"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969"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畜禽养殖污染防治应贯彻“预防为主、防治结合，经济性和实用性相结合，管理措施和技术措施相结合，有效利用和全面处理相结合”的技术方针，实行“源头削减、清洁生产、资源化综合利用，防止二次污染”的技术路线。</w:t>
            </w:r>
          </w:p>
        </w:tc>
        <w:tc>
          <w:tcPr>
            <w:tcW w:w="2872"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6"/>
                <w:kern w:val="0"/>
                <w:sz w:val="21"/>
                <w:szCs w:val="21"/>
                <w:highlight w:val="none"/>
                <w:lang w:val="en-US" w:bidi="ar-SA"/>
              </w:rPr>
              <w:t>科学饲料配比</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清粪过程</w:t>
            </w:r>
            <w:r>
              <w:rPr>
                <w:rFonts w:hint="default" w:ascii="Times New Roman" w:hAnsi="Times New Roman" w:cs="Times New Roman"/>
                <w:color w:val="auto"/>
                <w:sz w:val="21"/>
                <w:szCs w:val="21"/>
                <w:highlight w:val="none"/>
                <w:lang w:val="en-US" w:eastAsia="zh-CN"/>
              </w:rPr>
              <w:t>采用干清粪工艺</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pacing w:val="-6"/>
                <w:sz w:val="21"/>
                <w:szCs w:val="21"/>
                <w:highlight w:val="none"/>
              </w:rPr>
              <w:t>粪污经过堆肥后</w:t>
            </w:r>
            <w:r>
              <w:rPr>
                <w:rFonts w:hint="eastAsia" w:cs="Times New Roman"/>
                <w:color w:val="auto"/>
                <w:spacing w:val="-6"/>
                <w:sz w:val="21"/>
                <w:szCs w:val="21"/>
                <w:highlight w:val="none"/>
                <w:lang w:eastAsia="zh-CN"/>
              </w:rPr>
              <w:t>用于垫料及还田利用</w:t>
            </w:r>
            <w:r>
              <w:rPr>
                <w:rFonts w:hint="default" w:ascii="Times New Roman" w:hAnsi="Times New Roman" w:cs="Times New Roman"/>
                <w:color w:val="auto"/>
                <w:spacing w:val="-6"/>
                <w:sz w:val="21"/>
                <w:szCs w:val="21"/>
                <w:highlight w:val="none"/>
                <w:lang w:eastAsia="zh-CN"/>
              </w:rPr>
              <w:t>，</w:t>
            </w:r>
            <w:r>
              <w:rPr>
                <w:rFonts w:hint="eastAsia" w:cs="Times New Roman"/>
                <w:color w:val="auto"/>
                <w:spacing w:val="-6"/>
                <w:sz w:val="21"/>
                <w:szCs w:val="21"/>
                <w:highlight w:val="none"/>
                <w:lang w:eastAsia="zh-CN"/>
              </w:rPr>
              <w:t>挤奶厅设备和地面清洗废水</w:t>
            </w:r>
            <w:r>
              <w:rPr>
                <w:rFonts w:hint="default" w:ascii="Times New Roman" w:hAnsi="Times New Roman" w:cs="Times New Roman"/>
                <w:color w:val="auto"/>
                <w:spacing w:val="-6"/>
                <w:sz w:val="21"/>
                <w:szCs w:val="21"/>
                <w:highlight w:val="none"/>
                <w:lang w:eastAsia="zh-CN"/>
              </w:rPr>
              <w:t>及</w:t>
            </w:r>
            <w:r>
              <w:rPr>
                <w:rFonts w:hint="default" w:ascii="Times New Roman" w:hAnsi="Times New Roman" w:eastAsia="宋体" w:cs="Times New Roman"/>
                <w:color w:val="auto"/>
                <w:spacing w:val="-6"/>
                <w:sz w:val="21"/>
                <w:szCs w:val="21"/>
                <w:highlight w:val="none"/>
                <w:lang w:eastAsia="zh-CN"/>
              </w:rPr>
              <w:t>生活污水</w:t>
            </w:r>
            <w:r>
              <w:rPr>
                <w:rFonts w:hint="default" w:ascii="Times New Roman" w:hAnsi="Times New Roman" w:cs="Times New Roman"/>
                <w:color w:val="auto"/>
                <w:spacing w:val="-6"/>
                <w:sz w:val="21"/>
                <w:szCs w:val="21"/>
                <w:highlight w:val="none"/>
                <w:lang w:eastAsia="zh-CN"/>
              </w:rPr>
              <w:t>经集污池收集后</w:t>
            </w:r>
            <w:r>
              <w:rPr>
                <w:rFonts w:hint="default" w:ascii="Times New Roman" w:hAnsi="Times New Roman" w:eastAsia="宋体" w:cs="Times New Roman"/>
                <w:color w:val="auto"/>
                <w:spacing w:val="-6"/>
                <w:sz w:val="21"/>
                <w:szCs w:val="21"/>
                <w:highlight w:val="none"/>
                <w:lang w:val="en-US" w:eastAsia="zh-CN"/>
              </w:rPr>
              <w:t>定期</w:t>
            </w:r>
            <w:r>
              <w:rPr>
                <w:rFonts w:hint="eastAsia" w:cs="Times New Roman"/>
                <w:color w:val="auto"/>
                <w:spacing w:val="-6"/>
                <w:sz w:val="21"/>
                <w:szCs w:val="21"/>
                <w:highlight w:val="none"/>
                <w:lang w:val="en-US" w:eastAsia="zh-CN"/>
              </w:rPr>
              <w:t>清掏拉运</w:t>
            </w:r>
            <w:r>
              <w:rPr>
                <w:rFonts w:hint="eastAsia" w:ascii="Times New Roman" w:hAnsi="Times New Roman" w:eastAsia="宋体" w:cs="Times New Roman"/>
                <w:color w:val="auto"/>
                <w:highlight w:val="none"/>
                <w:lang w:val="en-US" w:eastAsia="zh-CN"/>
              </w:rPr>
              <w:t>至</w:t>
            </w:r>
            <w:r>
              <w:rPr>
                <w:rFonts w:hint="eastAsia" w:cs="Times New Roman"/>
                <w:color w:val="auto"/>
                <w:highlight w:val="none"/>
                <w:lang w:val="en-US" w:eastAsia="zh-CN"/>
              </w:rPr>
              <w:t>塔城市污水厂</w:t>
            </w:r>
            <w:r>
              <w:rPr>
                <w:rFonts w:hint="eastAsia" w:ascii="Times New Roman" w:hAnsi="Times New Roman" w:eastAsia="宋体" w:cs="Times New Roman"/>
                <w:color w:val="auto"/>
                <w:highlight w:val="none"/>
              </w:rPr>
              <w:t>处理</w:t>
            </w:r>
            <w:r>
              <w:rPr>
                <w:rFonts w:hint="eastAsia" w:cs="Times New Roman"/>
                <w:color w:val="auto"/>
                <w:highlight w:val="none"/>
                <w:lang w:eastAsia="zh-CN"/>
              </w:rPr>
              <w:t>，</w:t>
            </w:r>
            <w:r>
              <w:rPr>
                <w:rFonts w:hint="eastAsia" w:cs="Times New Roman"/>
                <w:color w:val="auto"/>
                <w:highlight w:val="none"/>
                <w:lang w:val="en-US" w:eastAsia="zh-CN"/>
              </w:rPr>
              <w:t>满足</w:t>
            </w:r>
            <w:r>
              <w:rPr>
                <w:rFonts w:hint="eastAsia" w:ascii="Times New Roman" w:hAnsi="Times New Roman" w:eastAsia="宋体" w:cs="Times New Roman"/>
                <w:color w:val="auto"/>
                <w:sz w:val="21"/>
                <w:szCs w:val="21"/>
                <w:highlight w:val="none"/>
              </w:rPr>
              <w:t>“源头削减、清洁生产、资源化综合利用，防止二次污染”的技术路线</w:t>
            </w:r>
            <w:r>
              <w:rPr>
                <w:rFonts w:hint="eastAsia" w:cs="Times New Roman"/>
                <w:color w:val="auto"/>
                <w:sz w:val="21"/>
                <w:szCs w:val="21"/>
                <w:highlight w:val="none"/>
                <w:lang w:eastAsia="zh-CN"/>
              </w:rPr>
              <w:t>。</w:t>
            </w:r>
          </w:p>
        </w:tc>
        <w:tc>
          <w:tcPr>
            <w:tcW w:w="721"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969"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rPr>
              <w:t>全面规划、合理布局，贯彻执行当地人民政府颁布的畜禽养殖区划，严格遵守“禁养区”和“限养区”的规定，已有的畜禽养殖场（小区）应限期搬迁；结合当地城乡总体规划、环境保护规划和畜牧业发展规划，做好畜禽养殖污染防治规划，优化规模化畜禽养殖场（小区）及其污染防治设施的布局，避开饮用水水源地等环境敏感区域</w:t>
            </w:r>
            <w:r>
              <w:rPr>
                <w:rFonts w:hint="eastAsia" w:cs="Times New Roman"/>
                <w:color w:val="auto"/>
                <w:sz w:val="21"/>
                <w:szCs w:val="21"/>
                <w:highlight w:val="none"/>
                <w:lang w:eastAsia="zh-CN"/>
              </w:rPr>
              <w:t>。</w:t>
            </w:r>
          </w:p>
        </w:tc>
        <w:tc>
          <w:tcPr>
            <w:tcW w:w="2872"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firstLine="0" w:firstLineChars="0"/>
              <w:textAlignment w:val="auto"/>
              <w:rPr>
                <w:rFonts w:hint="default" w:ascii="Times New Roman" w:hAnsi="Times New Roman" w:eastAsia="宋体" w:cs="Times New Roman"/>
                <w:color w:val="auto"/>
                <w:spacing w:val="-6"/>
                <w:kern w:val="0"/>
                <w:sz w:val="21"/>
                <w:szCs w:val="21"/>
                <w:highlight w:val="none"/>
                <w:lang w:val="en-US" w:eastAsia="zh-CN" w:bidi="ar-SA"/>
              </w:rPr>
            </w:pPr>
            <w:r>
              <w:rPr>
                <w:rFonts w:hint="eastAsia" w:cs="Times New Roman"/>
                <w:color w:val="auto"/>
                <w:spacing w:val="-6"/>
                <w:kern w:val="0"/>
                <w:sz w:val="21"/>
                <w:szCs w:val="21"/>
                <w:highlight w:val="none"/>
                <w:lang w:val="en-US" w:eastAsia="zh-CN" w:bidi="ar-SA"/>
              </w:rPr>
              <w:t>本项目</w:t>
            </w:r>
            <w:r>
              <w:rPr>
                <w:rFonts w:hint="eastAsia" w:ascii="Times New Roman" w:hAnsi="Times New Roman" w:eastAsia="宋体" w:cs="Times New Roman"/>
                <w:color w:val="auto"/>
                <w:sz w:val="21"/>
                <w:szCs w:val="21"/>
                <w:highlight w:val="none"/>
              </w:rPr>
              <w:t>合理布局，</w:t>
            </w:r>
            <w:r>
              <w:rPr>
                <w:rFonts w:hint="eastAsia" w:cs="Times New Roman"/>
                <w:color w:val="auto"/>
                <w:sz w:val="21"/>
                <w:szCs w:val="21"/>
                <w:highlight w:val="none"/>
                <w:lang w:val="en-US" w:eastAsia="zh-CN"/>
              </w:rPr>
              <w:t>且</w:t>
            </w:r>
            <w:r>
              <w:rPr>
                <w:rFonts w:hint="default" w:ascii="Times New Roman" w:hAnsi="Times New Roman" w:cs="Times New Roman"/>
                <w:color w:val="auto"/>
                <w:highlight w:val="none"/>
                <w:lang w:eastAsia="zh-CN"/>
              </w:rPr>
              <w:t>本项目建设于塔城市</w:t>
            </w:r>
            <w:r>
              <w:rPr>
                <w:rFonts w:hint="eastAsia" w:ascii="Times New Roman" w:hAnsi="Times New Roman" w:cs="Times New Roman"/>
                <w:color w:val="auto"/>
                <w:highlight w:val="none"/>
                <w:lang w:eastAsia="zh-CN"/>
              </w:rPr>
              <w:t>博孜达克镇三园子村，</w:t>
            </w:r>
            <w:r>
              <w:rPr>
                <w:rFonts w:hint="eastAsia" w:ascii="Times New Roman" w:hAnsi="Times New Roman" w:cs="Times New Roman"/>
                <w:color w:val="auto"/>
                <w:highlight w:val="none"/>
                <w:lang w:val="en-US" w:eastAsia="zh-CN"/>
              </w:rPr>
              <w:t>不在</w:t>
            </w:r>
            <w:r>
              <w:rPr>
                <w:rFonts w:hint="eastAsia" w:ascii="Times New Roman" w:hAnsi="Times New Roman" w:cs="Times New Roman"/>
                <w:color w:val="auto"/>
                <w:highlight w:val="none"/>
                <w:lang w:eastAsia="zh-CN"/>
              </w:rPr>
              <w:t>禁养区、限养区</w:t>
            </w:r>
            <w:r>
              <w:rPr>
                <w:rFonts w:hint="eastAsia" w:ascii="Times New Roman" w:hAnsi="Times New Roman" w:cs="Times New Roman"/>
                <w:color w:val="auto"/>
                <w:highlight w:val="none"/>
                <w:lang w:val="en-US" w:eastAsia="zh-CN"/>
              </w:rPr>
              <w:t>范围内，所在区域属于</w:t>
            </w:r>
            <w:r>
              <w:rPr>
                <w:rFonts w:hint="eastAsia" w:ascii="Times New Roman" w:hAnsi="Times New Roman" w:cs="Times New Roman"/>
                <w:color w:val="auto"/>
                <w:highlight w:val="none"/>
                <w:lang w:eastAsia="zh-CN"/>
              </w:rPr>
              <w:t>可养区</w:t>
            </w:r>
            <w:r>
              <w:rPr>
                <w:rFonts w:hint="eastAsia" w:cs="Times New Roman"/>
                <w:color w:val="auto"/>
                <w:highlight w:val="none"/>
                <w:lang w:eastAsia="zh-CN"/>
              </w:rPr>
              <w:t>，</w:t>
            </w:r>
            <w:r>
              <w:rPr>
                <w:rFonts w:hint="eastAsia" w:cs="Times New Roman"/>
                <w:color w:val="auto"/>
                <w:highlight w:val="none"/>
                <w:lang w:val="en-US" w:eastAsia="zh-CN"/>
              </w:rPr>
              <w:t>避开</w:t>
            </w:r>
            <w:r>
              <w:rPr>
                <w:rFonts w:hint="eastAsia" w:ascii="Times New Roman" w:hAnsi="Times New Roman" w:eastAsia="宋体" w:cs="Times New Roman"/>
                <w:color w:val="auto"/>
                <w:sz w:val="21"/>
                <w:szCs w:val="21"/>
                <w:highlight w:val="none"/>
              </w:rPr>
              <w:t>饮用水水源地等环境敏感区域</w:t>
            </w:r>
            <w:r>
              <w:rPr>
                <w:rFonts w:hint="eastAsia" w:cs="Times New Roman"/>
                <w:color w:val="auto"/>
                <w:highlight w:val="none"/>
                <w:lang w:eastAsia="zh-CN"/>
              </w:rPr>
              <w:t>。</w:t>
            </w:r>
          </w:p>
        </w:tc>
        <w:tc>
          <w:tcPr>
            <w:tcW w:w="721"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4969"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发展清洁养殖，重视圈舍结构、粪污清理、饲料配比等环节的环境保护要求；注重在养殖过程中降低资源耗损和污染负荷，实现源头减排；提高末端治理效率，实现稳定达标排放和“近零排放”</w:t>
            </w:r>
            <w:r>
              <w:rPr>
                <w:rFonts w:hint="eastAsia" w:cs="Times New Roman"/>
                <w:color w:val="auto"/>
                <w:sz w:val="21"/>
                <w:szCs w:val="21"/>
                <w:highlight w:val="none"/>
                <w:lang w:eastAsia="zh-CN"/>
              </w:rPr>
              <w:t>。</w:t>
            </w:r>
          </w:p>
        </w:tc>
        <w:tc>
          <w:tcPr>
            <w:tcW w:w="2872"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firstLine="0" w:firstLineChars="0"/>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6"/>
                <w:kern w:val="0"/>
                <w:sz w:val="21"/>
                <w:szCs w:val="21"/>
                <w:highlight w:val="none"/>
                <w:lang w:val="en-US" w:bidi="ar-SA"/>
              </w:rPr>
              <w:t>科学饲料配比</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清粪</w:t>
            </w:r>
            <w:r>
              <w:rPr>
                <w:rFonts w:hint="default" w:ascii="Times New Roman" w:hAnsi="Times New Roman" w:cs="Times New Roman"/>
                <w:color w:val="auto"/>
                <w:sz w:val="21"/>
                <w:szCs w:val="21"/>
                <w:highlight w:val="none"/>
                <w:lang w:val="en-US" w:eastAsia="zh-CN"/>
              </w:rPr>
              <w:t>采用干清粪工艺</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pacing w:val="-6"/>
                <w:sz w:val="21"/>
                <w:szCs w:val="21"/>
                <w:highlight w:val="none"/>
              </w:rPr>
              <w:t>粪污经过堆肥后</w:t>
            </w:r>
            <w:r>
              <w:rPr>
                <w:rFonts w:hint="eastAsia" w:cs="Times New Roman"/>
                <w:color w:val="auto"/>
                <w:spacing w:val="-6"/>
                <w:sz w:val="21"/>
                <w:szCs w:val="21"/>
                <w:highlight w:val="none"/>
                <w:lang w:eastAsia="zh-CN"/>
              </w:rPr>
              <w:t>用于垫料及还田利用</w:t>
            </w:r>
            <w:r>
              <w:rPr>
                <w:rFonts w:hint="default" w:ascii="Times New Roman" w:hAnsi="Times New Roman" w:cs="Times New Roman"/>
                <w:color w:val="auto"/>
                <w:spacing w:val="-6"/>
                <w:sz w:val="21"/>
                <w:szCs w:val="21"/>
                <w:highlight w:val="none"/>
                <w:lang w:eastAsia="zh-CN"/>
              </w:rPr>
              <w:t>，</w:t>
            </w:r>
            <w:r>
              <w:rPr>
                <w:rFonts w:hint="eastAsia" w:cs="Times New Roman"/>
                <w:color w:val="auto"/>
                <w:spacing w:val="-6"/>
                <w:sz w:val="21"/>
                <w:szCs w:val="21"/>
                <w:highlight w:val="none"/>
                <w:lang w:eastAsia="zh-CN"/>
              </w:rPr>
              <w:t>挤奶厅设备和地面清洗废水</w:t>
            </w:r>
            <w:r>
              <w:rPr>
                <w:rFonts w:hint="default" w:ascii="Times New Roman" w:hAnsi="Times New Roman" w:cs="Times New Roman"/>
                <w:color w:val="auto"/>
                <w:spacing w:val="-6"/>
                <w:sz w:val="21"/>
                <w:szCs w:val="21"/>
                <w:highlight w:val="none"/>
                <w:lang w:eastAsia="zh-CN"/>
              </w:rPr>
              <w:t>及</w:t>
            </w:r>
            <w:r>
              <w:rPr>
                <w:rFonts w:hint="default" w:ascii="Times New Roman" w:hAnsi="Times New Roman" w:eastAsia="宋体" w:cs="Times New Roman"/>
                <w:color w:val="auto"/>
                <w:spacing w:val="-6"/>
                <w:sz w:val="21"/>
                <w:szCs w:val="21"/>
                <w:highlight w:val="none"/>
                <w:lang w:eastAsia="zh-CN"/>
              </w:rPr>
              <w:t>生活污水</w:t>
            </w:r>
            <w:r>
              <w:rPr>
                <w:rFonts w:hint="default" w:ascii="Times New Roman" w:hAnsi="Times New Roman" w:cs="Times New Roman"/>
                <w:color w:val="auto"/>
                <w:spacing w:val="-6"/>
                <w:sz w:val="21"/>
                <w:szCs w:val="21"/>
                <w:highlight w:val="none"/>
                <w:lang w:eastAsia="zh-CN"/>
              </w:rPr>
              <w:t>经集污池收集后</w:t>
            </w:r>
            <w:r>
              <w:rPr>
                <w:rFonts w:hint="default" w:ascii="Times New Roman" w:hAnsi="Times New Roman" w:eastAsia="宋体" w:cs="Times New Roman"/>
                <w:color w:val="auto"/>
                <w:spacing w:val="-6"/>
                <w:sz w:val="21"/>
                <w:szCs w:val="21"/>
                <w:highlight w:val="none"/>
                <w:lang w:val="en-US" w:eastAsia="zh-CN"/>
              </w:rPr>
              <w:t>定期</w:t>
            </w:r>
            <w:r>
              <w:rPr>
                <w:rFonts w:hint="eastAsia" w:cs="Times New Roman"/>
                <w:color w:val="auto"/>
                <w:spacing w:val="-6"/>
                <w:sz w:val="21"/>
                <w:szCs w:val="21"/>
                <w:highlight w:val="none"/>
                <w:lang w:val="en-US" w:eastAsia="zh-CN"/>
              </w:rPr>
              <w:t>清掏拉运</w:t>
            </w:r>
            <w:r>
              <w:rPr>
                <w:rFonts w:hint="eastAsia" w:ascii="Times New Roman" w:hAnsi="Times New Roman" w:eastAsia="宋体" w:cs="Times New Roman"/>
                <w:color w:val="auto"/>
                <w:highlight w:val="none"/>
                <w:lang w:val="en-US" w:eastAsia="zh-CN"/>
              </w:rPr>
              <w:t>至</w:t>
            </w:r>
            <w:r>
              <w:rPr>
                <w:rFonts w:hint="eastAsia" w:cs="Times New Roman"/>
                <w:color w:val="auto"/>
                <w:highlight w:val="none"/>
                <w:lang w:val="en-US" w:eastAsia="zh-CN"/>
              </w:rPr>
              <w:t>塔城市污水厂</w:t>
            </w:r>
            <w:r>
              <w:rPr>
                <w:rFonts w:hint="eastAsia" w:ascii="Times New Roman" w:hAnsi="Times New Roman" w:eastAsia="宋体" w:cs="Times New Roman"/>
                <w:color w:val="auto"/>
                <w:highlight w:val="none"/>
              </w:rPr>
              <w:t>处理</w:t>
            </w:r>
            <w:r>
              <w:rPr>
                <w:rFonts w:hint="default" w:ascii="Times New Roman" w:hAnsi="Times New Roman" w:eastAsia="宋体" w:cs="Times New Roman"/>
                <w:color w:val="auto"/>
                <w:spacing w:val="-6"/>
                <w:sz w:val="21"/>
                <w:szCs w:val="21"/>
                <w:highlight w:val="none"/>
              </w:rPr>
              <w:t>。</w:t>
            </w:r>
          </w:p>
        </w:tc>
        <w:tc>
          <w:tcPr>
            <w:tcW w:w="721"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969"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eastAsia"/>
                <w:color w:val="auto"/>
              </w:rPr>
              <w:t>鼓励畜禽养殖规模化和粪污利用大型化和专业化，发展适合不同养殖规模和养殖形式的畜禽养殖废弃物无害化处理模式和资源化综合利用模式，污染防治措施应优先考虑资源化综合利用。</w:t>
            </w:r>
          </w:p>
        </w:tc>
        <w:tc>
          <w:tcPr>
            <w:tcW w:w="2872"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firstLine="0" w:firstLineChars="0"/>
              <w:textAlignment w:val="auto"/>
              <w:rPr>
                <w:rFonts w:hint="default" w:ascii="Times New Roman" w:hAnsi="Times New Roman" w:eastAsia="宋体" w:cs="Times New Roman"/>
                <w:color w:val="auto"/>
                <w:spacing w:val="-6"/>
                <w:kern w:val="0"/>
                <w:sz w:val="21"/>
                <w:szCs w:val="21"/>
                <w:highlight w:val="none"/>
                <w:lang w:val="en-US" w:bidi="ar-SA"/>
              </w:rPr>
            </w:pPr>
            <w:r>
              <w:rPr>
                <w:rFonts w:hint="default" w:ascii="Times New Roman" w:hAnsi="Times New Roman" w:eastAsia="宋体" w:cs="Times New Roman"/>
                <w:color w:val="auto"/>
                <w:spacing w:val="-6"/>
                <w:kern w:val="0"/>
                <w:sz w:val="21"/>
                <w:szCs w:val="21"/>
                <w:highlight w:val="none"/>
                <w:lang w:val="en-US" w:eastAsia="zh-CN" w:bidi="ar-SA"/>
              </w:rPr>
              <w:t>采用干清粪工艺，粪污经过堆肥后</w:t>
            </w:r>
            <w:r>
              <w:rPr>
                <w:rFonts w:hint="eastAsia" w:cs="Times New Roman"/>
                <w:color w:val="auto"/>
                <w:spacing w:val="-6"/>
                <w:sz w:val="21"/>
                <w:szCs w:val="21"/>
                <w:highlight w:val="none"/>
                <w:lang w:eastAsia="zh-CN"/>
              </w:rPr>
              <w:t>用于垫料及还田利用</w:t>
            </w:r>
            <w:r>
              <w:rPr>
                <w:rFonts w:hint="default" w:ascii="Times New Roman" w:hAnsi="Times New Roman" w:eastAsia="宋体" w:cs="Times New Roman"/>
                <w:color w:val="auto"/>
                <w:spacing w:val="-6"/>
                <w:kern w:val="0"/>
                <w:sz w:val="21"/>
                <w:szCs w:val="21"/>
                <w:highlight w:val="none"/>
                <w:lang w:val="en-US" w:eastAsia="zh-CN" w:bidi="ar-SA"/>
              </w:rPr>
              <w:t>，达到资源化综合利用。</w:t>
            </w:r>
          </w:p>
        </w:tc>
        <w:tc>
          <w:tcPr>
            <w:tcW w:w="721"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969"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eastAsia"/>
                <w:color w:val="auto"/>
              </w:rPr>
            </w:pPr>
            <w:r>
              <w:rPr>
                <w:rFonts w:hint="eastAsia"/>
                <w:color w:val="auto"/>
              </w:rPr>
              <w:t>种、养结合，发展生态农业，充分考虑农田土壤消纳能力和区域环境容量要求，确保畜禽养殖废弃物有效还田利用，防止二次污染。</w:t>
            </w:r>
          </w:p>
        </w:tc>
        <w:tc>
          <w:tcPr>
            <w:tcW w:w="2872"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color w:val="auto"/>
                <w:lang w:val="en-US" w:eastAsia="zh-CN"/>
              </w:rPr>
            </w:pPr>
            <w:r>
              <w:rPr>
                <w:rFonts w:hint="default" w:ascii="Times New Roman" w:hAnsi="Times New Roman" w:eastAsia="宋体" w:cs="Times New Roman"/>
                <w:color w:val="auto"/>
                <w:spacing w:val="0"/>
                <w:kern w:val="0"/>
                <w:sz w:val="21"/>
                <w:szCs w:val="21"/>
                <w:highlight w:val="none"/>
                <w:lang w:val="en-US" w:eastAsia="zh-CN" w:bidi="ar-SA"/>
              </w:rPr>
              <w:t>粪污经过堆肥后</w:t>
            </w:r>
            <w:r>
              <w:rPr>
                <w:rFonts w:hint="eastAsia" w:cs="Times New Roman"/>
                <w:color w:val="auto"/>
                <w:spacing w:val="-6"/>
                <w:sz w:val="21"/>
                <w:szCs w:val="21"/>
                <w:highlight w:val="none"/>
                <w:lang w:eastAsia="zh-CN"/>
              </w:rPr>
              <w:t>用于垫料及还田利用</w:t>
            </w:r>
            <w:r>
              <w:rPr>
                <w:rFonts w:hint="default" w:ascii="Times New Roman" w:hAnsi="Times New Roman" w:eastAsia="宋体" w:cs="Times New Roman"/>
                <w:color w:val="auto"/>
                <w:spacing w:val="0"/>
                <w:kern w:val="0"/>
                <w:sz w:val="21"/>
                <w:szCs w:val="21"/>
                <w:highlight w:val="none"/>
                <w:lang w:val="en-US" w:eastAsia="zh-CN" w:bidi="ar-SA"/>
              </w:rPr>
              <w:t>，符合</w:t>
            </w:r>
            <w:r>
              <w:rPr>
                <w:rFonts w:hint="eastAsia" w:cs="Times New Roman"/>
                <w:color w:val="auto"/>
                <w:spacing w:val="0"/>
                <w:kern w:val="0"/>
                <w:sz w:val="21"/>
                <w:szCs w:val="21"/>
                <w:highlight w:val="none"/>
                <w:lang w:val="en-US" w:eastAsia="zh-CN" w:bidi="ar-SA"/>
              </w:rPr>
              <w:t>配套</w:t>
            </w:r>
            <w:r>
              <w:rPr>
                <w:rFonts w:hint="default" w:ascii="Times New Roman" w:hAnsi="Times New Roman" w:eastAsia="宋体" w:cs="Times New Roman"/>
                <w:color w:val="auto"/>
                <w:spacing w:val="0"/>
                <w:kern w:val="0"/>
                <w:sz w:val="21"/>
                <w:szCs w:val="21"/>
                <w:highlight w:val="none"/>
                <w:lang w:val="en-US" w:eastAsia="zh-CN" w:bidi="ar-SA"/>
              </w:rPr>
              <w:t>农田土壤消纳能力和区域环境容量要求。</w:t>
            </w:r>
          </w:p>
        </w:tc>
        <w:tc>
          <w:tcPr>
            <w:tcW w:w="721"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8562" w:type="dxa"/>
            <w:gridSpan w:val="3"/>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Style w:val="42"/>
                <w:rFonts w:hint="eastAsia"/>
                <w:color w:val="auto"/>
              </w:rPr>
              <w:t>清洁养殖与废弃物收集</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969"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eastAsia"/>
                <w:color w:val="auto"/>
              </w:rPr>
              <w:t>畜禽养殖应严格执行有关国家标准，切实控制饲料组分中重金属、抗生素、生长激素等物质的添加量，保障畜禽养殖废弃物资源化综合利用的环境安全。</w:t>
            </w:r>
          </w:p>
        </w:tc>
        <w:tc>
          <w:tcPr>
            <w:tcW w:w="2872"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firstLine="0" w:firstLineChars="0"/>
              <w:textAlignment w:val="auto"/>
              <w:rPr>
                <w:rFonts w:hint="eastAsia"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kern w:val="0"/>
                <w:sz w:val="21"/>
                <w:szCs w:val="21"/>
                <w:highlight w:val="none"/>
                <w:lang w:val="en-US" w:bidi="ar-SA"/>
              </w:rPr>
              <w:t>科学饲料配比</w:t>
            </w:r>
            <w:r>
              <w:rPr>
                <w:rFonts w:hint="eastAsia" w:cs="Times New Roman"/>
                <w:color w:val="auto"/>
                <w:spacing w:val="-6"/>
                <w:kern w:val="0"/>
                <w:sz w:val="21"/>
                <w:szCs w:val="21"/>
                <w:highlight w:val="none"/>
                <w:lang w:val="en-US" w:eastAsia="zh-CN" w:bidi="ar-SA"/>
              </w:rPr>
              <w:t>，</w:t>
            </w:r>
            <w:r>
              <w:rPr>
                <w:rFonts w:hint="eastAsia"/>
                <w:color w:val="auto"/>
              </w:rPr>
              <w:t>保障畜禽养殖废弃物资源化综合利用的环境安全</w:t>
            </w:r>
            <w:r>
              <w:rPr>
                <w:rFonts w:hint="eastAsia"/>
                <w:color w:val="auto"/>
                <w:lang w:eastAsia="zh-CN"/>
              </w:rPr>
              <w:t>。</w:t>
            </w:r>
          </w:p>
        </w:tc>
        <w:tc>
          <w:tcPr>
            <w:tcW w:w="721"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969"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规模化畜禽养殖场排放的粪污应实行固液分离，粪便应与废水分开处理和处置；应逐步推行干清粪方式，最大限度地减少废水的产生和排放，降低废水的污染负荷</w:t>
            </w:r>
            <w:r>
              <w:rPr>
                <w:rFonts w:hint="eastAsia" w:cs="Times New Roman"/>
                <w:color w:val="auto"/>
                <w:sz w:val="21"/>
                <w:szCs w:val="21"/>
                <w:highlight w:val="none"/>
                <w:lang w:eastAsia="zh-CN"/>
              </w:rPr>
              <w:t>。</w:t>
            </w:r>
          </w:p>
        </w:tc>
        <w:tc>
          <w:tcPr>
            <w:tcW w:w="2872"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pacing w:val="-6"/>
                <w:sz w:val="21"/>
                <w:szCs w:val="21"/>
                <w:highlight w:val="none"/>
                <w:lang w:val="en-US" w:eastAsia="zh-CN"/>
              </w:rPr>
              <w:t>本</w:t>
            </w:r>
            <w:r>
              <w:rPr>
                <w:rFonts w:hint="default" w:ascii="Times New Roman" w:hAnsi="Times New Roman" w:eastAsia="宋体" w:cs="Times New Roman"/>
                <w:color w:val="auto"/>
                <w:spacing w:val="-6"/>
                <w:sz w:val="21"/>
                <w:szCs w:val="21"/>
                <w:highlight w:val="none"/>
              </w:rPr>
              <w:t>项目</w:t>
            </w:r>
            <w:r>
              <w:rPr>
                <w:rFonts w:hint="default" w:ascii="Times New Roman" w:hAnsi="Times New Roman" w:eastAsia="宋体" w:cs="Times New Roman"/>
                <w:color w:val="auto"/>
                <w:sz w:val="21"/>
                <w:szCs w:val="21"/>
                <w:highlight w:val="none"/>
              </w:rPr>
              <w:t>粪便与废水分开处理和处置</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pacing w:val="-6"/>
                <w:sz w:val="21"/>
                <w:szCs w:val="21"/>
                <w:highlight w:val="none"/>
              </w:rPr>
              <w:t>采用干清粪工艺。</w:t>
            </w:r>
          </w:p>
        </w:tc>
        <w:tc>
          <w:tcPr>
            <w:tcW w:w="721"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969"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color w:val="auto"/>
                <w:spacing w:val="-6"/>
                <w:sz w:val="21"/>
              </w:rPr>
              <w:t>畜禽养殖宜推广可吸附粪污、利于干式清理和综合利用的畜禽养殖废弃物收集技术，因地制宜地利用农业废弃物（如麦壳、稻壳、谷糠、秸秆、锯末、灰土等）作为圈、舍垫料，或采用符合动物防疫要求的生物发酵床垫料。</w:t>
            </w:r>
          </w:p>
        </w:tc>
        <w:tc>
          <w:tcPr>
            <w:tcW w:w="2872"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6"/>
                <w:kern w:val="0"/>
                <w:sz w:val="21"/>
                <w:szCs w:val="21"/>
                <w:highlight w:val="none"/>
                <w:lang w:val="en-US" w:eastAsia="zh-CN" w:bidi="ar-SA"/>
              </w:rPr>
              <w:t>采用干清粪工艺，粪污经过堆肥后</w:t>
            </w:r>
            <w:r>
              <w:rPr>
                <w:rFonts w:hint="eastAsia" w:cs="Times New Roman"/>
                <w:color w:val="auto"/>
                <w:spacing w:val="-6"/>
                <w:kern w:val="0"/>
                <w:sz w:val="21"/>
                <w:szCs w:val="21"/>
                <w:highlight w:val="none"/>
                <w:lang w:val="en-US" w:eastAsia="zh-CN" w:bidi="ar-SA"/>
              </w:rPr>
              <w:t>用于垫料及还田利用。</w:t>
            </w:r>
          </w:p>
        </w:tc>
        <w:tc>
          <w:tcPr>
            <w:tcW w:w="721"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969"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畜禽粪</w:t>
            </w:r>
            <w:r>
              <w:rPr>
                <w:rFonts w:hint="eastAsia" w:ascii="Times New Roman" w:hAnsi="Times New Roman" w:eastAsia="宋体" w:cs="Times New Roman"/>
                <w:color w:val="auto"/>
                <w:sz w:val="21"/>
                <w:szCs w:val="21"/>
                <w:highlight w:val="none"/>
                <w:lang w:val="en-US" w:eastAsia="zh-CN"/>
              </w:rPr>
              <w:t>便、</w:t>
            </w:r>
            <w:r>
              <w:rPr>
                <w:rFonts w:hint="default" w:ascii="Times New Roman" w:hAnsi="Times New Roman" w:eastAsia="宋体" w:cs="Times New Roman"/>
                <w:color w:val="auto"/>
                <w:sz w:val="21"/>
                <w:szCs w:val="21"/>
                <w:highlight w:val="none"/>
                <w:lang w:val="en-US" w:eastAsia="zh-CN"/>
              </w:rPr>
              <w:t>垫</w:t>
            </w:r>
            <w:r>
              <w:rPr>
                <w:rFonts w:hint="eastAsia" w:ascii="Times New Roman" w:hAnsi="Times New Roman" w:eastAsia="宋体" w:cs="Times New Roman"/>
                <w:color w:val="auto"/>
                <w:sz w:val="21"/>
                <w:szCs w:val="21"/>
                <w:highlight w:val="none"/>
                <w:lang w:val="en-US" w:eastAsia="zh-CN"/>
              </w:rPr>
              <w:t>料等畜禽养殖</w:t>
            </w:r>
            <w:r>
              <w:rPr>
                <w:rFonts w:hint="default" w:ascii="Times New Roman" w:hAnsi="Times New Roman" w:eastAsia="宋体" w:cs="Times New Roman"/>
                <w:color w:val="auto"/>
                <w:sz w:val="21"/>
                <w:szCs w:val="21"/>
                <w:highlight w:val="none"/>
                <w:lang w:val="en-US" w:eastAsia="zh-CN"/>
              </w:rPr>
              <w:t>废</w:t>
            </w:r>
            <w:r>
              <w:rPr>
                <w:rFonts w:hint="eastAsia" w:ascii="Times New Roman" w:hAnsi="Times New Roman" w:eastAsia="宋体" w:cs="Times New Roman"/>
                <w:color w:val="auto"/>
                <w:sz w:val="21"/>
                <w:szCs w:val="21"/>
                <w:highlight w:val="none"/>
                <w:lang w:val="en-US" w:eastAsia="zh-CN"/>
              </w:rPr>
              <w:t>弃物</w:t>
            </w:r>
            <w:r>
              <w:rPr>
                <w:rFonts w:hint="default" w:ascii="Times New Roman" w:hAnsi="Times New Roman" w:eastAsia="宋体" w:cs="Times New Roman"/>
                <w:color w:val="auto"/>
                <w:sz w:val="21"/>
                <w:szCs w:val="21"/>
                <w:highlight w:val="none"/>
                <w:lang w:val="en-US" w:eastAsia="zh-CN"/>
              </w:rPr>
              <w:t>应</w:t>
            </w:r>
            <w:r>
              <w:rPr>
                <w:rFonts w:hint="eastAsia" w:ascii="Times New Roman" w:hAnsi="Times New Roman" w:eastAsia="宋体" w:cs="Times New Roman"/>
                <w:color w:val="auto"/>
                <w:sz w:val="21"/>
                <w:szCs w:val="21"/>
                <w:highlight w:val="none"/>
                <w:lang w:val="en-US" w:eastAsia="zh-CN"/>
              </w:rPr>
              <w:t>定期清运，外运畜禽养殖</w:t>
            </w:r>
            <w:r>
              <w:rPr>
                <w:rFonts w:hint="default" w:ascii="Times New Roman" w:hAnsi="Times New Roman" w:eastAsia="宋体" w:cs="Times New Roman"/>
                <w:color w:val="auto"/>
                <w:sz w:val="21"/>
                <w:szCs w:val="21"/>
                <w:highlight w:val="none"/>
                <w:lang w:val="en-US" w:eastAsia="zh-CN"/>
              </w:rPr>
              <w:t>废</w:t>
            </w:r>
            <w:r>
              <w:rPr>
                <w:rFonts w:hint="eastAsia" w:ascii="Times New Roman" w:hAnsi="Times New Roman" w:eastAsia="宋体" w:cs="Times New Roman"/>
                <w:color w:val="auto"/>
                <w:sz w:val="21"/>
                <w:szCs w:val="21"/>
                <w:highlight w:val="none"/>
                <w:lang w:val="en-US" w:eastAsia="zh-CN"/>
              </w:rPr>
              <w:t>弃物的</w:t>
            </w:r>
            <w:r>
              <w:rPr>
                <w:rFonts w:hint="default" w:ascii="Times New Roman" w:hAnsi="Times New Roman" w:eastAsia="宋体" w:cs="Times New Roman"/>
                <w:color w:val="auto"/>
                <w:sz w:val="21"/>
                <w:szCs w:val="21"/>
                <w:highlight w:val="none"/>
                <w:lang w:val="en-US" w:eastAsia="zh-CN"/>
              </w:rPr>
              <w:t>贮</w:t>
            </w:r>
            <w:r>
              <w:rPr>
                <w:rFonts w:hint="eastAsia" w:ascii="Times New Roman" w:hAnsi="Times New Roman" w:eastAsia="宋体" w:cs="Times New Roman"/>
                <w:color w:val="auto"/>
                <w:sz w:val="21"/>
                <w:szCs w:val="21"/>
                <w:highlight w:val="none"/>
                <w:lang w:val="en-US" w:eastAsia="zh-CN"/>
              </w:rPr>
              <w:t>存、运</w:t>
            </w:r>
            <w:r>
              <w:rPr>
                <w:rFonts w:hint="default" w:ascii="Times New Roman" w:hAnsi="Times New Roman" w:eastAsia="宋体" w:cs="Times New Roman"/>
                <w:color w:val="auto"/>
                <w:sz w:val="21"/>
                <w:szCs w:val="21"/>
                <w:highlight w:val="none"/>
                <w:lang w:val="en-US" w:eastAsia="zh-CN"/>
              </w:rPr>
              <w:t>输</w:t>
            </w:r>
            <w:r>
              <w:rPr>
                <w:rFonts w:hint="eastAsia" w:ascii="Times New Roman" w:hAnsi="Times New Roman" w:eastAsia="宋体" w:cs="Times New Roman"/>
                <w:color w:val="auto"/>
                <w:sz w:val="21"/>
                <w:szCs w:val="21"/>
                <w:highlight w:val="none"/>
                <w:lang w:val="en-US" w:eastAsia="zh-CN"/>
              </w:rPr>
              <w:t>器具</w:t>
            </w:r>
            <w:r>
              <w:rPr>
                <w:rFonts w:hint="default" w:ascii="Times New Roman" w:hAnsi="Times New Roman" w:eastAsia="宋体" w:cs="Times New Roman"/>
                <w:color w:val="auto"/>
                <w:sz w:val="21"/>
                <w:szCs w:val="21"/>
                <w:highlight w:val="none"/>
                <w:lang w:val="en-US" w:eastAsia="zh-CN"/>
              </w:rPr>
              <w:t>应</w:t>
            </w:r>
            <w:r>
              <w:rPr>
                <w:rFonts w:hint="eastAsia" w:ascii="Times New Roman" w:hAnsi="Times New Roman" w:eastAsia="宋体" w:cs="Times New Roman"/>
                <w:color w:val="auto"/>
                <w:sz w:val="21"/>
                <w:szCs w:val="21"/>
                <w:highlight w:val="none"/>
                <w:lang w:val="en-US" w:eastAsia="zh-CN"/>
              </w:rPr>
              <w:t>采取可靠的密</w:t>
            </w:r>
            <w:r>
              <w:rPr>
                <w:rFonts w:hint="default" w:ascii="Times New Roman" w:hAnsi="Times New Roman" w:eastAsia="宋体" w:cs="Times New Roman"/>
                <w:color w:val="auto"/>
                <w:sz w:val="21"/>
                <w:szCs w:val="21"/>
                <w:highlight w:val="none"/>
                <w:lang w:val="en-US" w:eastAsia="zh-CN"/>
              </w:rPr>
              <w:t>闭</w:t>
            </w:r>
            <w:r>
              <w:rPr>
                <w:rFonts w:hint="eastAsia" w:ascii="Times New Roman" w:hAnsi="Times New Roman" w:eastAsia="宋体" w:cs="Times New Roman"/>
                <w:color w:val="auto"/>
                <w:sz w:val="21"/>
                <w:szCs w:val="21"/>
                <w:highlight w:val="none"/>
                <w:lang w:val="en-US" w:eastAsia="zh-CN"/>
              </w:rPr>
              <w:t>、防泄漏等</w:t>
            </w:r>
            <w:r>
              <w:rPr>
                <w:rFonts w:hint="default" w:ascii="Times New Roman" w:hAnsi="Times New Roman" w:eastAsia="宋体" w:cs="Times New Roman"/>
                <w:color w:val="auto"/>
                <w:sz w:val="21"/>
                <w:szCs w:val="21"/>
                <w:highlight w:val="none"/>
                <w:lang w:val="en-US" w:eastAsia="zh-CN"/>
              </w:rPr>
              <w:t>卫</w:t>
            </w:r>
            <w:r>
              <w:rPr>
                <w:rFonts w:hint="eastAsia" w:ascii="Times New Roman" w:hAnsi="Times New Roman" w:eastAsia="宋体" w:cs="Times New Roman"/>
                <w:color w:val="auto"/>
                <w:sz w:val="21"/>
                <w:szCs w:val="21"/>
                <w:highlight w:val="none"/>
                <w:lang w:val="en-US" w:eastAsia="zh-CN"/>
              </w:rPr>
              <w:t>生、</w:t>
            </w:r>
            <w:r>
              <w:rPr>
                <w:rFonts w:hint="default" w:ascii="Times New Roman" w:hAnsi="Times New Roman" w:eastAsia="宋体" w:cs="Times New Roman"/>
                <w:color w:val="auto"/>
                <w:sz w:val="21"/>
                <w:szCs w:val="21"/>
                <w:highlight w:val="none"/>
                <w:lang w:val="en-US" w:eastAsia="zh-CN"/>
              </w:rPr>
              <w:t>环</w:t>
            </w:r>
            <w:r>
              <w:rPr>
                <w:rFonts w:hint="eastAsia" w:ascii="Times New Roman" w:hAnsi="Times New Roman" w:eastAsia="宋体" w:cs="Times New Roman"/>
                <w:color w:val="auto"/>
                <w:sz w:val="21"/>
                <w:szCs w:val="21"/>
                <w:highlight w:val="none"/>
                <w:lang w:val="en-US" w:eastAsia="zh-CN"/>
              </w:rPr>
              <w:t>保措施；</w:t>
            </w:r>
            <w:r>
              <w:rPr>
                <w:rFonts w:hint="default" w:ascii="Times New Roman" w:hAnsi="Times New Roman" w:eastAsia="宋体" w:cs="Times New Roman"/>
                <w:color w:val="auto"/>
                <w:sz w:val="21"/>
                <w:szCs w:val="21"/>
                <w:highlight w:val="none"/>
                <w:lang w:val="en-US" w:eastAsia="zh-CN"/>
              </w:rPr>
              <w:t>临时储</w:t>
            </w:r>
            <w:r>
              <w:rPr>
                <w:rFonts w:hint="eastAsia" w:ascii="Times New Roman" w:hAnsi="Times New Roman" w:eastAsia="宋体" w:cs="Times New Roman"/>
                <w:color w:val="auto"/>
                <w:sz w:val="21"/>
                <w:szCs w:val="21"/>
                <w:highlight w:val="none"/>
                <w:lang w:val="en-US" w:eastAsia="zh-CN"/>
              </w:rPr>
              <w:t>存畜禽养殖</w:t>
            </w:r>
            <w:r>
              <w:rPr>
                <w:rFonts w:hint="default" w:ascii="Times New Roman" w:hAnsi="Times New Roman" w:eastAsia="宋体" w:cs="Times New Roman"/>
                <w:color w:val="auto"/>
                <w:sz w:val="21"/>
                <w:szCs w:val="21"/>
                <w:highlight w:val="none"/>
                <w:lang w:val="en-US" w:eastAsia="zh-CN"/>
              </w:rPr>
              <w:t>废</w:t>
            </w:r>
            <w:r>
              <w:rPr>
                <w:rFonts w:hint="eastAsia" w:ascii="Times New Roman" w:hAnsi="Times New Roman" w:eastAsia="宋体" w:cs="Times New Roman"/>
                <w:color w:val="auto"/>
                <w:sz w:val="21"/>
                <w:szCs w:val="21"/>
                <w:highlight w:val="none"/>
                <w:lang w:val="en-US" w:eastAsia="zh-CN"/>
              </w:rPr>
              <w:t>弃</w:t>
            </w:r>
            <w:r>
              <w:rPr>
                <w:rFonts w:hint="default" w:ascii="Times New Roman" w:hAnsi="Times New Roman" w:eastAsia="宋体" w:cs="Times New Roman"/>
                <w:color w:val="auto"/>
                <w:sz w:val="21"/>
                <w:szCs w:val="21"/>
                <w:highlight w:val="none"/>
                <w:lang w:val="en-US" w:eastAsia="zh-CN"/>
              </w:rPr>
              <w:t>物，应设</w:t>
            </w:r>
            <w:r>
              <w:rPr>
                <w:rFonts w:hint="eastAsia" w:ascii="Times New Roman" w:hAnsi="Times New Roman" w:eastAsia="宋体" w:cs="Times New Roman"/>
                <w:color w:val="auto"/>
                <w:sz w:val="21"/>
                <w:szCs w:val="21"/>
                <w:highlight w:val="none"/>
                <w:lang w:val="en-US" w:eastAsia="zh-CN"/>
              </w:rPr>
              <w:t>置</w:t>
            </w:r>
            <w:r>
              <w:rPr>
                <w:rFonts w:hint="default" w:ascii="Times New Roman" w:hAnsi="Times New Roman" w:eastAsia="宋体" w:cs="Times New Roman"/>
                <w:color w:val="auto"/>
                <w:sz w:val="21"/>
                <w:szCs w:val="21"/>
                <w:highlight w:val="none"/>
                <w:lang w:val="en-US" w:eastAsia="zh-CN"/>
              </w:rPr>
              <w:t>专</w:t>
            </w:r>
            <w:r>
              <w:rPr>
                <w:rFonts w:hint="eastAsia" w:ascii="Times New Roman" w:hAnsi="Times New Roman" w:eastAsia="宋体" w:cs="Times New Roman"/>
                <w:color w:val="auto"/>
                <w:sz w:val="21"/>
                <w:szCs w:val="21"/>
                <w:highlight w:val="none"/>
                <w:lang w:val="en-US" w:eastAsia="zh-CN"/>
              </w:rPr>
              <w:t>用堆</w:t>
            </w:r>
            <w:r>
              <w:rPr>
                <w:rFonts w:hint="default" w:ascii="Times New Roman" w:hAnsi="Times New Roman" w:eastAsia="宋体" w:cs="Times New Roman"/>
                <w:color w:val="auto"/>
                <w:sz w:val="21"/>
                <w:szCs w:val="21"/>
                <w:highlight w:val="none"/>
                <w:lang w:val="en-US" w:eastAsia="zh-CN"/>
              </w:rPr>
              <w:t>场</w:t>
            </w:r>
            <w:r>
              <w:rPr>
                <w:rFonts w:hint="eastAsia" w:ascii="Times New Roman" w:hAnsi="Times New Roman" w:eastAsia="宋体" w:cs="Times New Roman"/>
                <w:color w:val="auto"/>
                <w:sz w:val="21"/>
                <w:szCs w:val="21"/>
                <w:highlight w:val="none"/>
                <w:lang w:val="en-US" w:eastAsia="zh-CN"/>
              </w:rPr>
              <w:t>，周</w:t>
            </w:r>
            <w:r>
              <w:rPr>
                <w:rFonts w:hint="default" w:ascii="Times New Roman" w:hAnsi="Times New Roman" w:eastAsia="宋体" w:cs="Times New Roman"/>
                <w:color w:val="auto"/>
                <w:sz w:val="21"/>
                <w:szCs w:val="21"/>
                <w:highlight w:val="none"/>
                <w:lang w:val="en-US" w:eastAsia="zh-CN"/>
              </w:rPr>
              <w:t>边应设</w:t>
            </w:r>
            <w:r>
              <w:rPr>
                <w:rFonts w:hint="eastAsia" w:ascii="Times New Roman" w:hAnsi="Times New Roman" w:eastAsia="宋体" w:cs="Times New Roman"/>
                <w:color w:val="auto"/>
                <w:sz w:val="21"/>
                <w:szCs w:val="21"/>
                <w:highlight w:val="none"/>
                <w:lang w:val="en-US" w:eastAsia="zh-CN"/>
              </w:rPr>
              <w:t>置</w:t>
            </w:r>
            <w:r>
              <w:rPr>
                <w:rFonts w:hint="default" w:ascii="Times New Roman" w:hAnsi="Times New Roman" w:eastAsia="宋体" w:cs="Times New Roman"/>
                <w:color w:val="auto"/>
                <w:sz w:val="21"/>
                <w:szCs w:val="21"/>
                <w:highlight w:val="none"/>
                <w:lang w:val="en-US" w:eastAsia="zh-CN"/>
              </w:rPr>
              <w:t>围挡</w:t>
            </w:r>
            <w:r>
              <w:rPr>
                <w:rFonts w:hint="eastAsia" w:ascii="Times New Roman" w:hAnsi="Times New Roman" w:eastAsia="宋体" w:cs="Times New Roman"/>
                <w:color w:val="auto"/>
                <w:sz w:val="21"/>
                <w:szCs w:val="21"/>
                <w:highlight w:val="none"/>
                <w:lang w:val="en-US" w:eastAsia="zh-CN"/>
              </w:rPr>
              <w:t>，具有可靠的防渗、防漏、防冲刷、防流失等功能。</w:t>
            </w:r>
          </w:p>
        </w:tc>
        <w:tc>
          <w:tcPr>
            <w:tcW w:w="2872"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firstLine="0" w:firstLineChars="0"/>
              <w:textAlignment w:val="auto"/>
              <w:rPr>
                <w:rFonts w:hint="default" w:ascii="Times New Roman" w:hAnsi="Times New Roman" w:cs="Times New Roman"/>
                <w:color w:val="auto"/>
                <w:spacing w:val="-6"/>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采用干清粪、粪污日产日清</w:t>
            </w:r>
            <w:r>
              <w:rPr>
                <w:rFonts w:hint="eastAsia" w:ascii="Times New Roman" w:hAnsi="Times New Roman" w:eastAsia="宋体" w:cs="Times New Roman"/>
                <w:color w:val="auto"/>
                <w:sz w:val="21"/>
                <w:szCs w:val="21"/>
                <w:highlight w:val="none"/>
                <w:lang w:val="en-US" w:eastAsia="zh-CN"/>
              </w:rPr>
              <w:t>。外运畜禽养殖</w:t>
            </w:r>
            <w:r>
              <w:rPr>
                <w:rFonts w:hint="default" w:ascii="Times New Roman" w:hAnsi="Times New Roman" w:eastAsia="宋体" w:cs="Times New Roman"/>
                <w:color w:val="auto"/>
                <w:sz w:val="21"/>
                <w:szCs w:val="21"/>
                <w:highlight w:val="none"/>
                <w:lang w:val="en-US" w:eastAsia="zh-CN"/>
              </w:rPr>
              <w:t>废</w:t>
            </w:r>
            <w:r>
              <w:rPr>
                <w:rFonts w:hint="eastAsia" w:ascii="Times New Roman" w:hAnsi="Times New Roman" w:eastAsia="宋体" w:cs="Times New Roman"/>
                <w:color w:val="auto"/>
                <w:sz w:val="21"/>
                <w:szCs w:val="21"/>
                <w:highlight w:val="none"/>
                <w:lang w:val="en-US" w:eastAsia="zh-CN"/>
              </w:rPr>
              <w:t>弃物的</w:t>
            </w:r>
            <w:r>
              <w:rPr>
                <w:rFonts w:hint="default" w:ascii="Times New Roman" w:hAnsi="Times New Roman" w:eastAsia="宋体" w:cs="Times New Roman"/>
                <w:color w:val="auto"/>
                <w:sz w:val="21"/>
                <w:szCs w:val="21"/>
                <w:highlight w:val="none"/>
                <w:lang w:val="en-US" w:eastAsia="zh-CN"/>
              </w:rPr>
              <w:t>贮</w:t>
            </w:r>
            <w:r>
              <w:rPr>
                <w:rFonts w:hint="eastAsia" w:ascii="Times New Roman" w:hAnsi="Times New Roman" w:eastAsia="宋体" w:cs="Times New Roman"/>
                <w:color w:val="auto"/>
                <w:sz w:val="21"/>
                <w:szCs w:val="21"/>
                <w:highlight w:val="none"/>
                <w:lang w:val="en-US" w:eastAsia="zh-CN"/>
              </w:rPr>
              <w:t>存、运</w:t>
            </w:r>
            <w:r>
              <w:rPr>
                <w:rFonts w:hint="default" w:ascii="Times New Roman" w:hAnsi="Times New Roman" w:eastAsia="宋体" w:cs="Times New Roman"/>
                <w:color w:val="auto"/>
                <w:sz w:val="21"/>
                <w:szCs w:val="21"/>
                <w:highlight w:val="none"/>
                <w:lang w:val="en-US" w:eastAsia="zh-CN"/>
              </w:rPr>
              <w:t>输</w:t>
            </w:r>
            <w:r>
              <w:rPr>
                <w:rFonts w:hint="eastAsia" w:ascii="Times New Roman" w:hAnsi="Times New Roman" w:eastAsia="宋体" w:cs="Times New Roman"/>
                <w:color w:val="auto"/>
                <w:sz w:val="21"/>
                <w:szCs w:val="21"/>
                <w:highlight w:val="none"/>
                <w:lang w:val="en-US" w:eastAsia="zh-CN"/>
              </w:rPr>
              <w:t>器具采取可靠的密</w:t>
            </w:r>
            <w:r>
              <w:rPr>
                <w:rFonts w:hint="default" w:ascii="Times New Roman" w:hAnsi="Times New Roman" w:eastAsia="宋体" w:cs="Times New Roman"/>
                <w:color w:val="auto"/>
                <w:sz w:val="21"/>
                <w:szCs w:val="21"/>
                <w:highlight w:val="none"/>
                <w:lang w:val="en-US" w:eastAsia="zh-CN"/>
              </w:rPr>
              <w:t>闭</w:t>
            </w:r>
            <w:r>
              <w:rPr>
                <w:rFonts w:hint="eastAsia" w:ascii="Times New Roman" w:hAnsi="Times New Roman" w:eastAsia="宋体" w:cs="Times New Roman"/>
                <w:color w:val="auto"/>
                <w:sz w:val="21"/>
                <w:szCs w:val="21"/>
                <w:highlight w:val="none"/>
                <w:lang w:val="en-US" w:eastAsia="zh-CN"/>
              </w:rPr>
              <w:t>、防泄漏</w:t>
            </w:r>
            <w:r>
              <w:rPr>
                <w:rFonts w:hint="eastAsia" w:ascii="Times New Roman" w:hAnsi="Times New Roman" w:cs="Times New Roman"/>
                <w:color w:val="auto"/>
                <w:sz w:val="21"/>
                <w:szCs w:val="21"/>
                <w:highlight w:val="none"/>
                <w:lang w:val="en-US" w:eastAsia="zh-CN"/>
              </w:rPr>
              <w:t>措施。设置堆粪场、集污池，</w:t>
            </w:r>
            <w:r>
              <w:rPr>
                <w:rFonts w:hint="eastAsia" w:ascii="Times New Roman" w:hAnsi="Times New Roman" w:eastAsia="宋体" w:cs="Times New Roman"/>
                <w:color w:val="auto"/>
                <w:sz w:val="21"/>
                <w:szCs w:val="21"/>
                <w:highlight w:val="none"/>
                <w:lang w:val="en-US" w:eastAsia="zh-CN"/>
              </w:rPr>
              <w:t>具有可靠的防渗、防漏、防冲刷、防流失等功能</w:t>
            </w:r>
            <w:r>
              <w:rPr>
                <w:rFonts w:hint="eastAsia" w:ascii="Times New Roman" w:hAnsi="Times New Roman" w:cs="Times New Roman"/>
                <w:color w:val="auto"/>
                <w:sz w:val="21"/>
                <w:szCs w:val="21"/>
                <w:highlight w:val="none"/>
                <w:lang w:val="en-US" w:eastAsia="zh-CN"/>
              </w:rPr>
              <w:t>。</w:t>
            </w:r>
          </w:p>
        </w:tc>
        <w:tc>
          <w:tcPr>
            <w:tcW w:w="721"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8562" w:type="dxa"/>
            <w:gridSpan w:val="3"/>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eastAsia" w:cs="Times New Roman"/>
                <w:color w:val="auto"/>
                <w:sz w:val="21"/>
                <w:szCs w:val="21"/>
                <w:highlight w:val="none"/>
                <w:lang w:val="en-US" w:eastAsia="zh-CN"/>
              </w:rPr>
            </w:pPr>
            <w:r>
              <w:rPr>
                <w:rStyle w:val="42"/>
                <w:rFonts w:hint="eastAsia"/>
                <w:color w:val="auto"/>
              </w:rPr>
              <w:t>废弃物无害化处理与综合利用</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969"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color w:val="auto"/>
                <w:lang w:val="en-US" w:eastAsia="zh-CN"/>
              </w:rPr>
            </w:pPr>
            <w:r>
              <w:rPr>
                <w:rFonts w:hint="eastAsia"/>
                <w:color w:val="auto"/>
              </w:rPr>
              <w:t>应根据养殖种类、养殖规模、粪污收集方式、当地的自然地理环境条件以及废水排放去向等因素，确定畜禽养殖废弃物无害化处理与资源化综合利用模式，并择优选用低成本的处理处置技术。</w:t>
            </w:r>
          </w:p>
        </w:tc>
        <w:tc>
          <w:tcPr>
            <w:tcW w:w="2872"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eastAsia"/>
                <w:color w:val="auto"/>
                <w:lang w:val="en-US" w:eastAsia="zh-CN"/>
              </w:rPr>
            </w:pPr>
            <w:r>
              <w:rPr>
                <w:rFonts w:hint="default"/>
                <w:color w:val="auto"/>
              </w:rPr>
              <w:t>清粪</w:t>
            </w:r>
            <w:r>
              <w:rPr>
                <w:rFonts w:hint="default"/>
                <w:color w:val="auto"/>
                <w:lang w:val="en-US" w:eastAsia="zh-CN"/>
              </w:rPr>
              <w:t>采用干清粪工艺</w:t>
            </w:r>
            <w:r>
              <w:rPr>
                <w:rFonts w:hint="default"/>
                <w:color w:val="auto"/>
                <w:lang w:eastAsia="zh-CN"/>
              </w:rPr>
              <w:t>，</w:t>
            </w:r>
            <w:r>
              <w:rPr>
                <w:rFonts w:hint="default"/>
                <w:color w:val="auto"/>
              </w:rPr>
              <w:t>粪污经过堆肥后</w:t>
            </w:r>
            <w:r>
              <w:rPr>
                <w:rFonts w:hint="eastAsia"/>
                <w:color w:val="auto"/>
                <w:lang w:eastAsia="zh-CN"/>
              </w:rPr>
              <w:t>用于垫料及还田利用</w:t>
            </w:r>
            <w:r>
              <w:rPr>
                <w:rFonts w:hint="default"/>
                <w:color w:val="auto"/>
                <w:lang w:eastAsia="zh-CN"/>
              </w:rPr>
              <w:t>，</w:t>
            </w:r>
            <w:r>
              <w:rPr>
                <w:rFonts w:hint="eastAsia"/>
                <w:color w:val="auto"/>
                <w:lang w:eastAsia="zh-CN"/>
              </w:rPr>
              <w:t>挤奶厅设备和地面清洗废水</w:t>
            </w:r>
            <w:r>
              <w:rPr>
                <w:rFonts w:hint="default"/>
                <w:color w:val="auto"/>
                <w:lang w:eastAsia="zh-CN"/>
              </w:rPr>
              <w:t>及生活污水经集污池收集后</w:t>
            </w:r>
            <w:r>
              <w:rPr>
                <w:rFonts w:hint="default"/>
                <w:color w:val="auto"/>
                <w:lang w:val="en-US" w:eastAsia="zh-CN"/>
              </w:rPr>
              <w:t>定期</w:t>
            </w:r>
            <w:r>
              <w:rPr>
                <w:rFonts w:hint="eastAsia"/>
                <w:color w:val="auto"/>
                <w:lang w:val="en-US" w:eastAsia="zh-CN"/>
              </w:rPr>
              <w:t>清掏拉运至塔城市污水厂</w:t>
            </w:r>
            <w:r>
              <w:rPr>
                <w:rFonts w:hint="eastAsia"/>
                <w:color w:val="auto"/>
              </w:rPr>
              <w:t>处理</w:t>
            </w:r>
            <w:r>
              <w:rPr>
                <w:rFonts w:hint="eastAsia"/>
                <w:color w:val="auto"/>
                <w:lang w:eastAsia="zh-CN"/>
              </w:rPr>
              <w:t>。</w:t>
            </w:r>
          </w:p>
        </w:tc>
        <w:tc>
          <w:tcPr>
            <w:tcW w:w="721"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969"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eastAsia"/>
                <w:color w:val="auto"/>
              </w:rPr>
              <w:t>鼓励发展专业化集中式畜禽养殖废弃物无害化处理模式，实现畜禽养殖废弃物的社会化集中处理与规模化利用。鼓励畜禽养殖废弃物的能源化利用和肥料化利用。</w:t>
            </w:r>
          </w:p>
        </w:tc>
        <w:tc>
          <w:tcPr>
            <w:tcW w:w="2872"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firstLine="0" w:firstLineChars="0"/>
              <w:textAlignment w:val="auto"/>
              <w:rPr>
                <w:rFonts w:hint="default" w:ascii="Times New Roman" w:hAnsi="Times New Roman" w:cs="Times New Roman"/>
                <w:color w:val="auto"/>
                <w:highlight w:val="none"/>
                <w:lang w:val="en-US" w:eastAsia="zh-CN"/>
              </w:rPr>
            </w:pPr>
            <w:r>
              <w:rPr>
                <w:rFonts w:hint="default"/>
                <w:color w:val="auto"/>
              </w:rPr>
              <w:t>粪污经过堆肥后</w:t>
            </w:r>
            <w:r>
              <w:rPr>
                <w:rFonts w:hint="eastAsia"/>
                <w:color w:val="auto"/>
                <w:lang w:eastAsia="zh-CN"/>
              </w:rPr>
              <w:t>用于垫料及还田利用</w:t>
            </w:r>
            <w:r>
              <w:rPr>
                <w:rFonts w:hint="default"/>
                <w:color w:val="auto"/>
                <w:lang w:eastAsia="zh-CN"/>
              </w:rPr>
              <w:t>，</w:t>
            </w:r>
            <w:r>
              <w:rPr>
                <w:rFonts w:hint="eastAsia"/>
                <w:color w:val="auto"/>
                <w:lang w:eastAsia="zh-CN"/>
              </w:rPr>
              <w:t>挤奶厅设备和地面清洗废水</w:t>
            </w:r>
            <w:r>
              <w:rPr>
                <w:rFonts w:hint="default"/>
                <w:color w:val="auto"/>
                <w:lang w:eastAsia="zh-CN"/>
              </w:rPr>
              <w:t>及生活污水经集污池收集后</w:t>
            </w:r>
            <w:r>
              <w:rPr>
                <w:rFonts w:hint="default"/>
                <w:color w:val="auto"/>
                <w:lang w:val="en-US" w:eastAsia="zh-CN"/>
              </w:rPr>
              <w:t>定期</w:t>
            </w:r>
            <w:r>
              <w:rPr>
                <w:rFonts w:hint="eastAsia"/>
                <w:color w:val="auto"/>
                <w:lang w:val="en-US" w:eastAsia="zh-CN"/>
              </w:rPr>
              <w:t>清掏拉运至塔城市污水厂</w:t>
            </w:r>
            <w:r>
              <w:rPr>
                <w:rFonts w:hint="eastAsia"/>
                <w:color w:val="auto"/>
              </w:rPr>
              <w:t>处理</w:t>
            </w:r>
            <w:r>
              <w:rPr>
                <w:rFonts w:hint="eastAsia"/>
                <w:color w:val="auto"/>
                <w:lang w:eastAsia="zh-CN"/>
              </w:rPr>
              <w:t>。</w:t>
            </w:r>
          </w:p>
        </w:tc>
        <w:tc>
          <w:tcPr>
            <w:tcW w:w="721"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969"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畜禽尸体应按照有关卫生防疫规定单独进行妥善处置。染疫畜禽及其</w:t>
            </w:r>
            <w:r>
              <w:rPr>
                <w:rFonts w:hint="default" w:ascii="Times New Roman" w:hAnsi="Times New Roman" w:cs="Times New Roman"/>
                <w:color w:val="auto"/>
                <w:sz w:val="21"/>
                <w:szCs w:val="21"/>
                <w:highlight w:val="none"/>
                <w:lang w:eastAsia="zh-CN"/>
              </w:rPr>
              <w:t>粪污</w:t>
            </w:r>
            <w:r>
              <w:rPr>
                <w:rFonts w:hint="default" w:ascii="Times New Roman" w:hAnsi="Times New Roman" w:eastAsia="宋体" w:cs="Times New Roman"/>
                <w:color w:val="auto"/>
                <w:sz w:val="21"/>
                <w:szCs w:val="21"/>
                <w:highlight w:val="none"/>
              </w:rPr>
              <w:t>、染疫畜禽产品，病死或者死因不明的畜禽尸体等污染物，应就地进行无害化处理</w:t>
            </w:r>
            <w:r>
              <w:rPr>
                <w:rFonts w:hint="eastAsia" w:cs="Times New Roman"/>
                <w:color w:val="auto"/>
                <w:sz w:val="21"/>
                <w:szCs w:val="21"/>
                <w:highlight w:val="none"/>
                <w:lang w:eastAsia="zh-CN"/>
              </w:rPr>
              <w:t>。</w:t>
            </w:r>
          </w:p>
        </w:tc>
        <w:tc>
          <w:tcPr>
            <w:tcW w:w="2872"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firstLine="0" w:firstLineChars="0"/>
              <w:textAlignment w:val="auto"/>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highlight w:val="none"/>
                <w:lang w:val="en-US" w:eastAsia="zh-CN"/>
              </w:rPr>
              <w:t>本项目病死牛尸体由安全填埋井填埋。</w:t>
            </w:r>
          </w:p>
        </w:tc>
        <w:tc>
          <w:tcPr>
            <w:tcW w:w="721"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8562" w:type="dxa"/>
            <w:gridSpan w:val="3"/>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Style w:val="42"/>
                <w:rFonts w:hint="eastAsia"/>
                <w:color w:val="auto"/>
              </w:rPr>
              <w:t>畜禽养殖废水处理</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969"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规模化畜禽养殖场（小区）应建立完备的排水设施并保持畅通，其废水收集输送系统不得采取明沟布设；排水系统应实行雨污分流制</w:t>
            </w:r>
            <w:r>
              <w:rPr>
                <w:rFonts w:hint="eastAsia" w:cs="Times New Roman"/>
                <w:color w:val="auto"/>
                <w:sz w:val="21"/>
                <w:szCs w:val="21"/>
                <w:highlight w:val="none"/>
                <w:lang w:eastAsia="zh-CN"/>
              </w:rPr>
              <w:t>。</w:t>
            </w:r>
          </w:p>
        </w:tc>
        <w:tc>
          <w:tcPr>
            <w:tcW w:w="2872"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firstLine="0" w:firstLineChars="0"/>
              <w:textAlignment w:val="auto"/>
              <w:rPr>
                <w:rFonts w:hint="default" w:ascii="Times New Roman" w:hAnsi="Times New Roman" w:eastAsia="宋体" w:cs="Times New Roman"/>
                <w:color w:val="auto"/>
                <w:kern w:val="0"/>
                <w:sz w:val="21"/>
                <w:szCs w:val="21"/>
                <w:highlight w:val="yellow"/>
                <w:lang w:val="en-US" w:eastAsia="zh-CN" w:bidi="ar-SA"/>
              </w:rPr>
            </w:pPr>
            <w:r>
              <w:rPr>
                <w:rFonts w:hint="default" w:ascii="Times New Roman" w:hAnsi="Times New Roman" w:eastAsia="宋体" w:cs="Times New Roman"/>
                <w:color w:val="auto"/>
                <w:sz w:val="21"/>
                <w:szCs w:val="21"/>
                <w:highlight w:val="none"/>
                <w:lang w:eastAsia="zh-CN"/>
              </w:rPr>
              <w:t>场区</w:t>
            </w:r>
            <w:r>
              <w:rPr>
                <w:rFonts w:hint="default" w:ascii="Times New Roman" w:hAnsi="Times New Roman" w:eastAsia="宋体" w:cs="Times New Roman"/>
                <w:color w:val="auto"/>
                <w:sz w:val="21"/>
                <w:szCs w:val="21"/>
                <w:highlight w:val="none"/>
              </w:rPr>
              <w:t>实行</w:t>
            </w:r>
            <w:r>
              <w:rPr>
                <w:rFonts w:hint="default" w:ascii="Times New Roman" w:hAnsi="Times New Roman" w:cs="Times New Roman"/>
                <w:color w:val="auto"/>
                <w:sz w:val="21"/>
                <w:szCs w:val="21"/>
                <w:highlight w:val="none"/>
                <w:lang w:val="en-US" w:eastAsia="zh-CN"/>
              </w:rPr>
              <w:t>雨</w:t>
            </w:r>
            <w:r>
              <w:rPr>
                <w:rFonts w:hint="default" w:ascii="Times New Roman" w:hAnsi="Times New Roman" w:eastAsia="宋体" w:cs="Times New Roman"/>
                <w:color w:val="auto"/>
                <w:sz w:val="21"/>
                <w:szCs w:val="21"/>
                <w:highlight w:val="none"/>
              </w:rPr>
              <w:t>污分流，污水管道暗沟布设。</w:t>
            </w:r>
          </w:p>
        </w:tc>
        <w:tc>
          <w:tcPr>
            <w:tcW w:w="721"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8562" w:type="dxa"/>
            <w:gridSpan w:val="3"/>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Style w:val="42"/>
                <w:rFonts w:hint="eastAsia"/>
                <w:color w:val="auto"/>
              </w:rPr>
              <w:t>畜禽养殖空气污染防治</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94" w:hRule="atLeast"/>
        </w:trPr>
        <w:tc>
          <w:tcPr>
            <w:tcW w:w="4969"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eastAsia" w:ascii="Times New Roman" w:hAnsi="Times New Roman" w:eastAsia="宋体" w:cs="Times New Roman"/>
                <w:color w:val="auto"/>
                <w:sz w:val="21"/>
                <w:szCs w:val="21"/>
                <w:highlight w:val="none"/>
                <w:lang w:eastAsia="zh-CN"/>
              </w:rPr>
            </w:pPr>
            <w:r>
              <w:rPr>
                <w:rFonts w:hint="eastAsia"/>
                <w:color w:val="auto"/>
              </w:rPr>
              <w:t>规模化畜禽养殖场（小区）应加强恶臭气体净化处理并覆盖所有恶臭发生源，排放的气体应符合国家或地方恶臭污染物排放标准。</w:t>
            </w:r>
          </w:p>
        </w:tc>
        <w:tc>
          <w:tcPr>
            <w:tcW w:w="2872"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eastAsia" w:ascii="Times New Roman" w:hAnsi="Times New Roman" w:eastAsia="宋体" w:cs="Times New Roman"/>
                <w:color w:val="auto"/>
                <w:sz w:val="21"/>
                <w:szCs w:val="21"/>
                <w:highlight w:val="yellow"/>
                <w:lang w:eastAsia="zh-CN"/>
              </w:rPr>
            </w:pPr>
            <w:r>
              <w:rPr>
                <w:rFonts w:hint="default" w:ascii="Times New Roman" w:hAnsi="Times New Roman" w:eastAsia="宋体" w:cs="Times New Roman"/>
                <w:color w:val="auto"/>
                <w:sz w:val="21"/>
                <w:szCs w:val="21"/>
                <w:highlight w:val="none"/>
              </w:rPr>
              <w:t>牛圈采用喷洒除臭剂等措施，减少恶臭气体扩散，降低恶臭气体对场区空气质量的影响</w:t>
            </w:r>
            <w:r>
              <w:rPr>
                <w:rFonts w:hint="eastAsia" w:cs="Times New Roman"/>
                <w:color w:val="auto"/>
                <w:sz w:val="21"/>
                <w:szCs w:val="21"/>
                <w:highlight w:val="none"/>
                <w:lang w:eastAsia="zh-CN"/>
              </w:rPr>
              <w:t>。</w:t>
            </w:r>
          </w:p>
        </w:tc>
        <w:tc>
          <w:tcPr>
            <w:tcW w:w="721"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969"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采取场所密闭、喷洒除臭剂等措施，减少恶臭气体扩散，降低恶臭气体对场区空气质量和周边居民生活的影响</w:t>
            </w:r>
            <w:r>
              <w:rPr>
                <w:rFonts w:hint="eastAsia" w:cs="Times New Roman"/>
                <w:color w:val="auto"/>
                <w:sz w:val="21"/>
                <w:szCs w:val="21"/>
                <w:highlight w:val="none"/>
                <w:lang w:eastAsia="zh-CN"/>
              </w:rPr>
              <w:t>。</w:t>
            </w:r>
          </w:p>
        </w:tc>
        <w:tc>
          <w:tcPr>
            <w:tcW w:w="2872"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eastAsia" w:ascii="Times New Roman" w:hAnsi="Times New Roman" w:eastAsia="宋体" w:cs="Times New Roman"/>
                <w:color w:val="auto"/>
                <w:sz w:val="21"/>
                <w:szCs w:val="21"/>
                <w:highlight w:val="yellow"/>
                <w:lang w:eastAsia="zh-CN"/>
              </w:rPr>
            </w:pPr>
            <w:r>
              <w:rPr>
                <w:rFonts w:hint="default" w:ascii="Times New Roman" w:hAnsi="Times New Roman" w:eastAsia="宋体" w:cs="Times New Roman"/>
                <w:color w:val="auto"/>
                <w:sz w:val="21"/>
                <w:szCs w:val="21"/>
                <w:highlight w:val="none"/>
              </w:rPr>
              <w:t>牛圈采用喷洒除臭剂等措施，减少恶臭气体扩散，降低恶臭气体对场区空气质量的影响</w:t>
            </w:r>
            <w:r>
              <w:rPr>
                <w:rFonts w:hint="eastAsia" w:cs="Times New Roman"/>
                <w:color w:val="auto"/>
                <w:sz w:val="21"/>
                <w:szCs w:val="21"/>
                <w:highlight w:val="none"/>
                <w:lang w:eastAsia="zh-CN"/>
              </w:rPr>
              <w:t>。</w:t>
            </w:r>
          </w:p>
        </w:tc>
        <w:tc>
          <w:tcPr>
            <w:tcW w:w="721"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pPr>
        <w:pageBreakBefore w:val="0"/>
        <w:wordWrap/>
        <w:bidi w:val="0"/>
        <w:adjustRightInd w:val="0"/>
        <w:spacing w:line="360" w:lineRule="auto"/>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项目符合《畜禽养殖业污染防治技术政策》（</w:t>
      </w:r>
      <w:r>
        <w:rPr>
          <w:rFonts w:hint="eastAsia" w:ascii="宋体" w:hAnsi="宋体" w:cs="宋体"/>
          <w:color w:val="auto"/>
          <w:kern w:val="0"/>
          <w:sz w:val="24"/>
        </w:rPr>
        <w:t>环发[2010]151号</w:t>
      </w:r>
      <w:r>
        <w:rPr>
          <w:rFonts w:hint="default" w:ascii="Times New Roman" w:hAnsi="Times New Roman" w:eastAsia="宋体" w:cs="Times New Roman"/>
          <w:color w:val="auto"/>
          <w:highlight w:val="none"/>
        </w:rPr>
        <w:t>）要求。</w:t>
      </w:r>
    </w:p>
    <w:p>
      <w:pPr>
        <w:pStyle w:val="6"/>
        <w:keepNext/>
        <w:keepLines/>
        <w:pageBreakBefore w:val="0"/>
        <w:widowControl w:val="0"/>
        <w:kinsoku/>
        <w:wordWrap/>
        <w:overflowPunct/>
        <w:topLinePunct w:val="0"/>
        <w:autoSpaceDE/>
        <w:autoSpaceDN/>
        <w:bidi w:val="0"/>
        <w:adjustRightInd w:val="0"/>
        <w:snapToGrid w:val="0"/>
        <w:spacing w:before="157" w:beforeLines="50"/>
        <w:ind w:left="0" w:leftChars="0" w:right="0" w:righ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与《畜禽养殖业污染治理工程技术规范》的符合性分析</w:t>
      </w:r>
    </w:p>
    <w:p>
      <w:pPr>
        <w:pStyle w:val="50"/>
        <w:pageBreakBefore w:val="0"/>
        <w:wordWrap/>
        <w:bidi w:val="0"/>
        <w:adjustRightInd w:val="0"/>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表1.3-</w:t>
      </w:r>
      <w:r>
        <w:rPr>
          <w:rFonts w:hint="eastAsia" w:ascii="Times New Roman" w:hAnsi="Times New Roman"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 xml:space="preserve">   与《畜禽养殖业污染治理工程技术规范》的符合性分析一览表</w:t>
      </w:r>
    </w:p>
    <w:tbl>
      <w:tblPr>
        <w:tblStyle w:val="39"/>
        <w:tblpPr w:leftFromText="180" w:rightFromText="180" w:vertAnchor="text" w:tblpXSpec="center" w:tblpY="1"/>
        <w:tblOverlap w:val="never"/>
        <w:tblW w:w="4998"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4646"/>
        <w:gridCol w:w="3116"/>
        <w:gridCol w:w="713"/>
        <w:gridCol w:w="26"/>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5" w:type="pct"/>
          <w:trHeight w:val="340" w:hRule="atLeast"/>
          <w:jc w:val="center"/>
        </w:trPr>
        <w:tc>
          <w:tcPr>
            <w:tcW w:w="2732"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ind w:left="0" w:leftChars="0" w:right="0" w:right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要求</w:t>
            </w:r>
          </w:p>
        </w:tc>
        <w:tc>
          <w:tcPr>
            <w:tcW w:w="1832"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ind w:left="0" w:leftChars="0" w:right="0" w:right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本项目情况</w:t>
            </w:r>
          </w:p>
        </w:tc>
        <w:tc>
          <w:tcPr>
            <w:tcW w:w="419"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符合性</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5" w:type="pct"/>
          <w:trHeight w:val="340" w:hRule="atLeast"/>
          <w:jc w:val="center"/>
        </w:trPr>
        <w:tc>
          <w:tcPr>
            <w:tcW w:w="2732"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ind w:left="0" w:leftChars="0" w:right="0" w:rightChars="0"/>
              <w:jc w:val="both"/>
              <w:textAlignment w:val="auto"/>
              <w:rPr>
                <w:rFonts w:hint="eastAsia" w:ascii="Times New Roman" w:hAnsi="Times New Roman" w:eastAsia="宋体" w:cs="Times New Roman"/>
                <w:color w:val="auto"/>
                <w:spacing w:val="0"/>
                <w:sz w:val="21"/>
                <w:szCs w:val="21"/>
                <w:highlight w:val="none"/>
              </w:rPr>
            </w:pPr>
            <w:r>
              <w:rPr>
                <w:rFonts w:hint="eastAsia" w:cs="Times New Roman"/>
                <w:b/>
                <w:bCs/>
                <w:color w:val="auto"/>
                <w:spacing w:val="0"/>
                <w:sz w:val="21"/>
                <w:szCs w:val="21"/>
                <w:highlight w:val="none"/>
                <w:lang w:val="en-US" w:eastAsia="zh-CN"/>
              </w:rPr>
              <w:t>选址要求：</w:t>
            </w:r>
            <w:r>
              <w:rPr>
                <w:rFonts w:hint="eastAsia" w:ascii="Times New Roman" w:hAnsi="Times New Roman" w:eastAsia="宋体" w:cs="Times New Roman"/>
                <w:color w:val="auto"/>
                <w:spacing w:val="0"/>
                <w:sz w:val="21"/>
                <w:szCs w:val="21"/>
                <w:highlight w:val="none"/>
              </w:rPr>
              <w:t xml:space="preserve">1禁止在下列区域内建设畜禽养殖场 </w:t>
            </w:r>
          </w:p>
          <w:p>
            <w:pPr>
              <w:pStyle w:val="55"/>
              <w:pageBreakBefore w:val="0"/>
              <w:widowControl w:val="0"/>
              <w:kinsoku/>
              <w:wordWrap/>
              <w:overflowPunct/>
              <w:topLinePunct w:val="0"/>
              <w:autoSpaceDE/>
              <w:autoSpaceDN/>
              <w:bidi w:val="0"/>
              <w:adjustRightInd w:val="0"/>
              <w:ind w:left="0" w:leftChars="0" w:right="0" w:rightChars="0"/>
              <w:jc w:val="both"/>
              <w:textAlignment w:val="auto"/>
              <w:rPr>
                <w:rFonts w:hint="eastAsia"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1.1.生活饮用水源保护区、风景名胜区、自然保护区的核心区和缓冲区。</w:t>
            </w:r>
          </w:p>
          <w:p>
            <w:pPr>
              <w:pStyle w:val="55"/>
              <w:pageBreakBefore w:val="0"/>
              <w:widowControl w:val="0"/>
              <w:kinsoku/>
              <w:wordWrap/>
              <w:overflowPunct/>
              <w:topLinePunct w:val="0"/>
              <w:autoSpaceDE/>
              <w:autoSpaceDN/>
              <w:bidi w:val="0"/>
              <w:adjustRightInd w:val="0"/>
              <w:ind w:left="0" w:leftChars="0" w:right="0" w:rightChars="0"/>
              <w:jc w:val="both"/>
              <w:textAlignment w:val="auto"/>
              <w:rPr>
                <w:rFonts w:hint="eastAsia"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1.2.城市和城镇居民区，包括文教科研取、医疗区、商业区、游览区、游览区等人口集中地区。</w:t>
            </w:r>
          </w:p>
          <w:p>
            <w:pPr>
              <w:pStyle w:val="55"/>
              <w:pageBreakBefore w:val="0"/>
              <w:widowControl w:val="0"/>
              <w:kinsoku/>
              <w:wordWrap/>
              <w:overflowPunct/>
              <w:topLinePunct w:val="0"/>
              <w:autoSpaceDE/>
              <w:autoSpaceDN/>
              <w:bidi w:val="0"/>
              <w:adjustRightInd w:val="0"/>
              <w:ind w:left="0" w:leftChars="0" w:right="0" w:rightChars="0"/>
              <w:jc w:val="both"/>
              <w:textAlignment w:val="auto"/>
              <w:rPr>
                <w:rFonts w:hint="eastAsia"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 xml:space="preserve">1.3.县级人民政府依法划定的禁养区域。 </w:t>
            </w:r>
          </w:p>
          <w:p>
            <w:pPr>
              <w:pStyle w:val="55"/>
              <w:pageBreakBefore w:val="0"/>
              <w:widowControl w:val="0"/>
              <w:kinsoku/>
              <w:wordWrap/>
              <w:overflowPunct/>
              <w:topLinePunct w:val="0"/>
              <w:autoSpaceDE/>
              <w:autoSpaceDN/>
              <w:bidi w:val="0"/>
              <w:adjustRightInd w:val="0"/>
              <w:ind w:left="0" w:leftChars="0" w:right="0" w:rightChars="0"/>
              <w:jc w:val="both"/>
              <w:textAlignment w:val="auto"/>
              <w:rPr>
                <w:rFonts w:hint="eastAsia"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1.4.国家或地方法律、法规规定需特殊保护的其他区域。</w:t>
            </w:r>
          </w:p>
          <w:p>
            <w:pPr>
              <w:pStyle w:val="55"/>
              <w:pageBreakBefore w:val="0"/>
              <w:widowControl w:val="0"/>
              <w:kinsoku/>
              <w:wordWrap/>
              <w:overflowPunct/>
              <w:topLinePunct w:val="0"/>
              <w:autoSpaceDE/>
              <w:autoSpaceDN/>
              <w:bidi w:val="0"/>
              <w:adjustRightInd w:val="0"/>
              <w:ind w:left="0" w:leftChars="0" w:right="0" w:rightChars="0"/>
              <w:jc w:val="both"/>
              <w:textAlignment w:val="auto"/>
              <w:rPr>
                <w:rFonts w:hint="eastAsia"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2新建、改建、扩建的畜禽养殖选址应避开1规定的禁建区域，在禁建区域附近建设的，应设在1规定的禁建区域常年主导风向的下风向或侧风向处，场界与禁建区域边界的最小距离不得小于500m。</w:t>
            </w:r>
          </w:p>
          <w:p>
            <w:pPr>
              <w:pStyle w:val="55"/>
              <w:pageBreakBefore w:val="0"/>
              <w:widowControl w:val="0"/>
              <w:kinsoku/>
              <w:wordWrap/>
              <w:overflowPunct/>
              <w:topLinePunct w:val="0"/>
              <w:autoSpaceDE/>
              <w:autoSpaceDN/>
              <w:bidi w:val="0"/>
              <w:adjustRightInd w:val="0"/>
              <w:ind w:left="0" w:leftChars="0" w:right="0" w:rightChars="0"/>
              <w:jc w:val="both"/>
              <w:textAlignment w:val="auto"/>
              <w:rPr>
                <w:rFonts w:hint="eastAsia" w:ascii="Times New Roman" w:hAnsi="Times New Roman" w:eastAsia="宋体" w:cs="Times New Roman"/>
                <w:b/>
                <w:bCs/>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rPr>
              <w:t>3畜禽粪便储存设施必须远离各类功能地表水体（距离不得小于400m）要求，并应设在养殖场生产及生活管理区的常年主导风向的下风向或侧风向处。</w:t>
            </w:r>
          </w:p>
        </w:tc>
        <w:tc>
          <w:tcPr>
            <w:tcW w:w="1832"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ind w:left="0" w:leftChars="0" w:right="0" w:rightChars="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本项目位于</w:t>
            </w:r>
            <w:r>
              <w:rPr>
                <w:rFonts w:hint="default" w:ascii="Times New Roman" w:hAnsi="Times New Roman" w:cs="Times New Roman"/>
                <w:color w:val="auto"/>
                <w:sz w:val="21"/>
                <w:szCs w:val="21"/>
                <w:highlight w:val="none"/>
                <w:lang w:eastAsia="zh-CN"/>
              </w:rPr>
              <w:t>塔城市博孜达克镇三园子村</w:t>
            </w:r>
            <w:r>
              <w:rPr>
                <w:rFonts w:hint="default" w:ascii="Times New Roman" w:hAnsi="Times New Roman" w:cs="Times New Roman"/>
                <w:color w:val="auto"/>
                <w:sz w:val="21"/>
                <w:szCs w:val="21"/>
                <w:highlight w:val="none"/>
              </w:rPr>
              <w:t>。依据项目现场勘查，项目区周围无生活饮用水源保护区、风景名胜区、自然保护区的核心区和缓冲区、城市和城镇居民区和</w:t>
            </w:r>
            <w:r>
              <w:rPr>
                <w:rFonts w:hint="eastAsia" w:cs="Times New Roman"/>
                <w:color w:val="auto"/>
                <w:sz w:val="21"/>
                <w:szCs w:val="21"/>
                <w:highlight w:val="none"/>
                <w:lang w:val="en-US" w:eastAsia="zh-CN"/>
              </w:rPr>
              <w:t>塔城市</w:t>
            </w:r>
            <w:r>
              <w:rPr>
                <w:rFonts w:hint="default" w:ascii="Times New Roman" w:hAnsi="Times New Roman" w:cs="Times New Roman"/>
                <w:color w:val="auto"/>
                <w:sz w:val="21"/>
                <w:szCs w:val="21"/>
                <w:highlight w:val="none"/>
              </w:rPr>
              <w:t>人民政府划定的禁养区域。</w:t>
            </w:r>
          </w:p>
          <w:p>
            <w:pPr>
              <w:pStyle w:val="55"/>
              <w:pageBreakBefore w:val="0"/>
              <w:widowControl w:val="0"/>
              <w:kinsoku/>
              <w:wordWrap/>
              <w:overflowPunct/>
              <w:topLinePunct w:val="0"/>
              <w:autoSpaceDE/>
              <w:autoSpaceDN/>
              <w:bidi w:val="0"/>
              <w:adjustRightInd w:val="0"/>
              <w:ind w:left="0" w:leftChars="0" w:right="0" w:rightChars="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本项目周边400m内无地表水体，</w:t>
            </w:r>
            <w:r>
              <w:rPr>
                <w:rFonts w:hint="default" w:ascii="Times New Roman" w:hAnsi="Times New Roman" w:cs="Times New Roman"/>
                <w:color w:val="auto"/>
                <w:highlight w:val="none"/>
                <w:lang w:val="en-US" w:eastAsia="zh-CN"/>
              </w:rPr>
              <w:t>堆粪场</w:t>
            </w:r>
            <w:r>
              <w:rPr>
                <w:rFonts w:hint="default" w:ascii="Times New Roman" w:hAnsi="Times New Roman" w:cs="Times New Roman"/>
                <w:color w:val="auto"/>
                <w:sz w:val="21"/>
                <w:szCs w:val="21"/>
                <w:highlight w:val="none"/>
                <w:lang w:val="en-US" w:eastAsia="zh-CN"/>
              </w:rPr>
              <w:t>位于项目区东南角，</w:t>
            </w:r>
            <w:r>
              <w:rPr>
                <w:rFonts w:hint="default" w:ascii="Times New Roman" w:hAnsi="Times New Roman" w:eastAsia="宋体" w:cs="Times New Roman"/>
                <w:color w:val="auto"/>
                <w:sz w:val="21"/>
                <w:szCs w:val="21"/>
                <w:highlight w:val="none"/>
              </w:rPr>
              <w:t>养殖场生产及生活管理区的常年主导风向的</w:t>
            </w:r>
            <w:r>
              <w:rPr>
                <w:rFonts w:hint="default" w:ascii="Times New Roman" w:hAnsi="Times New Roman" w:cs="Times New Roman"/>
                <w:color w:val="auto"/>
                <w:sz w:val="21"/>
                <w:szCs w:val="21"/>
                <w:highlight w:val="none"/>
                <w:lang w:val="en-US" w:eastAsia="zh-CN"/>
              </w:rPr>
              <w:t>下</w:t>
            </w:r>
            <w:r>
              <w:rPr>
                <w:rFonts w:hint="default" w:ascii="Times New Roman" w:hAnsi="Times New Roman" w:eastAsia="宋体" w:cs="Times New Roman"/>
                <w:color w:val="auto"/>
                <w:sz w:val="21"/>
                <w:szCs w:val="21"/>
                <w:highlight w:val="none"/>
              </w:rPr>
              <w:t>风向处</w:t>
            </w:r>
            <w:r>
              <w:rPr>
                <w:rFonts w:hint="default" w:ascii="Times New Roman" w:hAnsi="Times New Roman" w:cs="Times New Roman"/>
                <w:color w:val="auto"/>
                <w:sz w:val="21"/>
                <w:szCs w:val="21"/>
                <w:highlight w:val="none"/>
                <w:lang w:eastAsia="zh-CN"/>
              </w:rPr>
              <w:t>。</w:t>
            </w:r>
          </w:p>
        </w:tc>
        <w:tc>
          <w:tcPr>
            <w:tcW w:w="419"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ind w:left="0" w:leftChars="0" w:right="0" w:rightChars="0"/>
              <w:jc w:val="center"/>
              <w:textAlignment w:val="auto"/>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5" w:type="pct"/>
          <w:trHeight w:val="340" w:hRule="atLeast"/>
          <w:jc w:val="center"/>
        </w:trPr>
        <w:tc>
          <w:tcPr>
            <w:tcW w:w="2732"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ind w:left="0" w:leftChars="0" w:right="0" w:rightChars="0"/>
              <w:jc w:val="both"/>
              <w:textAlignment w:val="auto"/>
              <w:rPr>
                <w:rFonts w:hint="eastAsia" w:ascii="Times New Roman" w:hAnsi="Times New Roman" w:eastAsia="宋体" w:cs="Times New Roman"/>
                <w:color w:val="auto"/>
                <w:spacing w:val="-6"/>
                <w:sz w:val="21"/>
                <w:szCs w:val="21"/>
                <w:highlight w:val="none"/>
                <w:lang w:eastAsia="zh-CN"/>
              </w:rPr>
            </w:pPr>
            <w:r>
              <w:rPr>
                <w:rFonts w:hint="default" w:ascii="Times New Roman" w:hAnsi="Times New Roman" w:eastAsia="宋体" w:cs="Times New Roman"/>
                <w:b/>
                <w:bCs/>
                <w:color w:val="auto"/>
                <w:spacing w:val="0"/>
                <w:sz w:val="21"/>
                <w:szCs w:val="21"/>
                <w:highlight w:val="none"/>
              </w:rPr>
              <w:t>总平面布置</w:t>
            </w:r>
            <w:r>
              <w:rPr>
                <w:rFonts w:hint="default" w:ascii="Times New Roman" w:hAnsi="Times New Roman" w:eastAsia="宋体" w:cs="Times New Roman"/>
                <w:color w:val="auto"/>
                <w:spacing w:val="0"/>
                <w:sz w:val="21"/>
                <w:szCs w:val="21"/>
                <w:highlight w:val="none"/>
              </w:rPr>
              <w:t>：平面布置应以污水处理系统、固体粪便处理系统、恶臭集中处理系统为主体，其他各项设施应按粪污处理流程合理安排，确保相关设备充分发挥功能， 保证设施运行稳定、维修方便、经济合理、安全卫生</w:t>
            </w:r>
            <w:r>
              <w:rPr>
                <w:rFonts w:hint="eastAsia" w:cs="Times New Roman"/>
                <w:color w:val="auto"/>
                <w:spacing w:val="0"/>
                <w:sz w:val="21"/>
                <w:szCs w:val="21"/>
                <w:highlight w:val="none"/>
                <w:lang w:eastAsia="zh-CN"/>
              </w:rPr>
              <w:t>。</w:t>
            </w:r>
          </w:p>
        </w:tc>
        <w:tc>
          <w:tcPr>
            <w:tcW w:w="1832"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ind w:left="0" w:leftChars="0" w:right="0" w:rightChars="0"/>
              <w:jc w:val="both"/>
              <w:textAlignment w:val="auto"/>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pacing w:val="0"/>
                <w:kern w:val="0"/>
                <w:sz w:val="21"/>
                <w:szCs w:val="21"/>
                <w:highlight w:val="none"/>
                <w:lang w:val="en-US" w:eastAsia="zh-CN" w:bidi="ar-SA"/>
              </w:rPr>
              <w:t>项目总平面布置功能明确，按照废物处理流程进行布置</w:t>
            </w:r>
          </w:p>
        </w:tc>
        <w:tc>
          <w:tcPr>
            <w:tcW w:w="419"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ind w:left="0" w:leftChars="0" w:right="0" w:rightChars="0"/>
              <w:jc w:val="center"/>
              <w:textAlignment w:val="auto"/>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5" w:type="pct"/>
          <w:trHeight w:val="340" w:hRule="atLeast"/>
          <w:jc w:val="center"/>
        </w:trPr>
        <w:tc>
          <w:tcPr>
            <w:tcW w:w="2732"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ind w:left="0" w:leftChars="0" w:right="0" w:rightChars="0"/>
              <w:jc w:val="both"/>
              <w:textAlignment w:val="auto"/>
              <w:rPr>
                <w:rFonts w:hint="eastAsia" w:ascii="Times New Roman" w:hAnsi="Times New Roman" w:eastAsia="宋体" w:cs="Times New Roman"/>
                <w:color w:val="auto"/>
                <w:spacing w:val="-6"/>
                <w:sz w:val="21"/>
                <w:szCs w:val="21"/>
                <w:highlight w:val="none"/>
                <w:lang w:eastAsia="zh-CN"/>
              </w:rPr>
            </w:pPr>
            <w:r>
              <w:rPr>
                <w:rFonts w:hint="default" w:ascii="Times New Roman" w:hAnsi="Times New Roman" w:eastAsia="宋体" w:cs="Times New Roman"/>
                <w:b/>
                <w:bCs/>
                <w:color w:val="auto"/>
                <w:spacing w:val="-6"/>
                <w:sz w:val="21"/>
                <w:szCs w:val="21"/>
                <w:highlight w:val="none"/>
              </w:rPr>
              <w:t>粪污收集</w:t>
            </w:r>
            <w:r>
              <w:rPr>
                <w:rFonts w:hint="default" w:ascii="Times New Roman" w:hAnsi="Times New Roman" w:eastAsia="宋体" w:cs="Times New Roman"/>
                <w:color w:val="auto"/>
                <w:spacing w:val="-6"/>
                <w:sz w:val="21"/>
                <w:szCs w:val="21"/>
                <w:highlight w:val="none"/>
              </w:rPr>
              <w:t>：新建、改建、扩建的畜禽养殖场宜采用干清粪工艺。现有采用水冲粪、水泡粪清粪工艺的养殖场，应逐步改为干清粪工艺。畜禽粪污应日产日清。畜禽养殖场应建立排水系统，并实行雨污分流</w:t>
            </w:r>
            <w:r>
              <w:rPr>
                <w:rFonts w:hint="eastAsia" w:cs="Times New Roman"/>
                <w:color w:val="auto"/>
                <w:spacing w:val="-6"/>
                <w:sz w:val="21"/>
                <w:szCs w:val="21"/>
                <w:highlight w:val="none"/>
                <w:lang w:eastAsia="zh-CN"/>
              </w:rPr>
              <w:t>。</w:t>
            </w:r>
          </w:p>
        </w:tc>
        <w:tc>
          <w:tcPr>
            <w:tcW w:w="1832"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ind w:left="0" w:leftChars="0" w:right="0" w:rightChars="0"/>
              <w:jc w:val="both"/>
              <w:textAlignment w:val="auto"/>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pacing w:val="0"/>
                <w:kern w:val="0"/>
                <w:sz w:val="21"/>
                <w:szCs w:val="21"/>
                <w:highlight w:val="none"/>
                <w:lang w:val="en-US" w:eastAsia="zh-CN" w:bidi="ar-SA"/>
              </w:rPr>
              <w:t>项目采用干清粪工艺。项目场区实行清污分流，防止雨水进入粪污收集系统。</w:t>
            </w:r>
          </w:p>
        </w:tc>
        <w:tc>
          <w:tcPr>
            <w:tcW w:w="419"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ind w:left="0" w:leftChars="0" w:right="0" w:rightChars="0"/>
              <w:jc w:val="center"/>
              <w:textAlignment w:val="auto"/>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5" w:type="pct"/>
          <w:trHeight w:val="340" w:hRule="atLeast"/>
          <w:jc w:val="center"/>
        </w:trPr>
        <w:tc>
          <w:tcPr>
            <w:tcW w:w="2732"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ind w:left="0" w:leftChars="0" w:right="0" w:rightChars="0"/>
              <w:jc w:val="both"/>
              <w:textAlignment w:val="auto"/>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b/>
                <w:bCs/>
                <w:color w:val="auto"/>
                <w:spacing w:val="-6"/>
                <w:sz w:val="21"/>
                <w:szCs w:val="21"/>
                <w:highlight w:val="none"/>
              </w:rPr>
              <w:t>粪污处理工艺模式</w:t>
            </w:r>
            <w:r>
              <w:rPr>
                <w:rFonts w:hint="default" w:ascii="Times New Roman" w:hAnsi="Times New Roman" w:eastAsia="宋体" w:cs="Times New Roman"/>
                <w:color w:val="auto"/>
                <w:spacing w:val="-6"/>
                <w:sz w:val="21"/>
                <w:szCs w:val="21"/>
                <w:highlight w:val="none"/>
              </w:rPr>
              <w:t>：存栏（以猪计）10000 头及以上的，宜采用模式Ⅲ处理工艺；干清粪工艺的养殖场，不宜采用模式Ⅰ处理工艺，固体粪便宜采用好氧堆肥等技术单独进行无害化处理。</w:t>
            </w:r>
          </w:p>
        </w:tc>
        <w:tc>
          <w:tcPr>
            <w:tcW w:w="1832"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ind w:left="0" w:leftChars="0" w:right="0" w:rightChars="0"/>
              <w:jc w:val="both"/>
              <w:textAlignment w:val="auto"/>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pacing w:val="0"/>
                <w:kern w:val="0"/>
                <w:sz w:val="21"/>
                <w:szCs w:val="21"/>
                <w:highlight w:val="none"/>
                <w:lang w:val="en-US" w:eastAsia="zh-CN" w:bidi="ar-SA"/>
              </w:rPr>
              <w:t>项目采用干清粪工艺；粪污经过堆肥后</w:t>
            </w:r>
            <w:r>
              <w:rPr>
                <w:rFonts w:hint="eastAsia" w:cs="Times New Roman"/>
                <w:color w:val="auto"/>
                <w:spacing w:val="0"/>
                <w:kern w:val="0"/>
                <w:sz w:val="21"/>
                <w:szCs w:val="21"/>
                <w:highlight w:val="none"/>
                <w:lang w:val="en-US" w:eastAsia="zh-CN" w:bidi="ar-SA"/>
              </w:rPr>
              <w:t>用于垫料及还田利用</w:t>
            </w:r>
            <w:r>
              <w:rPr>
                <w:rFonts w:hint="default" w:ascii="Times New Roman" w:hAnsi="Times New Roman" w:eastAsia="宋体" w:cs="Times New Roman"/>
                <w:color w:val="auto"/>
                <w:spacing w:val="0"/>
                <w:kern w:val="0"/>
                <w:sz w:val="21"/>
                <w:szCs w:val="21"/>
                <w:highlight w:val="none"/>
                <w:lang w:val="en-US" w:eastAsia="zh-CN" w:bidi="ar-SA"/>
              </w:rPr>
              <w:t>。</w:t>
            </w:r>
          </w:p>
        </w:tc>
        <w:tc>
          <w:tcPr>
            <w:tcW w:w="419"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ind w:left="0" w:leftChars="0" w:right="0" w:rightChars="0"/>
              <w:jc w:val="center"/>
              <w:textAlignment w:val="auto"/>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732"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ind w:left="0" w:leftChars="0" w:right="0" w:rightChars="0"/>
              <w:jc w:val="both"/>
              <w:textAlignment w:val="auto"/>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全面规划、合理布局，贯彻执行当地人民政府颁布的畜禽养殖区划，严格遵守“禁养区”和“限养区”的规定，已有的畜禽养殖场（小区）应限期搬迁；结合当地城乡总体规划、环境保护规划和畜牧业发展规划，做好畜禽养殖污染防治规划，优化规模化畜禽养殖场（小区）及其污染防治设施的布局，避开饮用水水源地等环境敏感区域。</w:t>
            </w:r>
          </w:p>
        </w:tc>
        <w:tc>
          <w:tcPr>
            <w:tcW w:w="1832"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ind w:left="0" w:leftChars="0" w:right="0" w:rightChars="0"/>
              <w:jc w:val="both"/>
              <w:textAlignment w:val="auto"/>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pacing w:val="0"/>
                <w:kern w:val="0"/>
                <w:sz w:val="21"/>
                <w:szCs w:val="21"/>
                <w:highlight w:val="none"/>
                <w:lang w:val="en-US" w:eastAsia="zh-CN" w:bidi="ar-SA"/>
              </w:rPr>
              <w:t>项目所在地不涉及依法划定的“禁养区”和“限养区”，项目不在环境敏感区域。</w:t>
            </w:r>
          </w:p>
        </w:tc>
        <w:tc>
          <w:tcPr>
            <w:tcW w:w="434" w:type="pct"/>
            <w:gridSpan w:val="2"/>
            <w:tcBorders>
              <w:tl2br w:val="nil"/>
              <w:tr2bl w:val="nil"/>
            </w:tcBorders>
            <w:noWrap w:val="0"/>
            <w:vAlign w:val="center"/>
          </w:tcPr>
          <w:p>
            <w:pPr>
              <w:pStyle w:val="98"/>
              <w:pageBreakBefore w:val="0"/>
              <w:widowControl w:val="0"/>
              <w:kinsoku/>
              <w:wordWrap/>
              <w:overflowPunct/>
              <w:topLinePunct w:val="0"/>
              <w:autoSpaceDE/>
              <w:autoSpaceDN/>
              <w:bidi w:val="0"/>
              <w:adjustRightInd w:val="0"/>
              <w:spacing w:before="0"/>
              <w:ind w:left="0" w:leftChars="0" w:right="0" w:rightChars="0"/>
              <w:jc w:val="center"/>
              <w:textAlignment w:val="auto"/>
              <w:rPr>
                <w:rFonts w:hint="default" w:ascii="Times New Roman" w:hAnsi="Times New Roman" w:eastAsia="宋体" w:cs="Times New Roman"/>
                <w:color w:val="auto"/>
                <w:spacing w:val="-6"/>
                <w:kern w:val="0"/>
                <w:sz w:val="21"/>
                <w:szCs w:val="21"/>
                <w:highlight w:val="none"/>
              </w:rPr>
            </w:pPr>
            <w:r>
              <w:rPr>
                <w:rFonts w:hint="default" w:ascii="Times New Roman" w:hAnsi="Times New Roman" w:eastAsia="宋体" w:cs="Times New Roman"/>
                <w:color w:val="auto"/>
                <w:spacing w:val="-6"/>
                <w:kern w:val="0"/>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732"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ind w:left="0" w:leftChars="0" w:right="0" w:rightChars="0"/>
              <w:jc w:val="both"/>
              <w:textAlignment w:val="auto"/>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发展清洁养殖，重视圈舍结构、粪污清理、饲料配比等环节的环境保护要求；注重在养殖过程中降低资源耗损和污染负荷，实现源头减排；提高末端治理效率，实现稳定达标排放和“近零排放”。</w:t>
            </w:r>
          </w:p>
        </w:tc>
        <w:tc>
          <w:tcPr>
            <w:tcW w:w="1832" w:type="pct"/>
            <w:tcBorders>
              <w:tl2br w:val="nil"/>
              <w:tr2bl w:val="nil"/>
            </w:tcBorders>
            <w:noWrap w:val="0"/>
            <w:vAlign w:val="center"/>
          </w:tcPr>
          <w:p>
            <w:pPr>
              <w:pStyle w:val="98"/>
              <w:pageBreakBefore w:val="0"/>
              <w:widowControl w:val="0"/>
              <w:kinsoku/>
              <w:wordWrap/>
              <w:overflowPunct/>
              <w:topLinePunct w:val="0"/>
              <w:autoSpaceDE/>
              <w:autoSpaceDN/>
              <w:bidi w:val="0"/>
              <w:adjustRightInd w:val="0"/>
              <w:spacing w:before="0"/>
              <w:ind w:left="0" w:leftChars="0" w:right="0" w:rightChars="0" w:firstLine="0" w:firstLineChars="0"/>
              <w:jc w:val="both"/>
              <w:textAlignment w:val="auto"/>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pacing w:val="0"/>
                <w:kern w:val="0"/>
                <w:sz w:val="21"/>
                <w:szCs w:val="21"/>
                <w:highlight w:val="none"/>
                <w:lang w:val="en-US" w:eastAsia="zh-CN" w:bidi="ar-SA"/>
              </w:rPr>
              <w:t>本项目采用干清粪工艺，科学饲料配比，可实现源头减排，可实现稳定达标排放。</w:t>
            </w:r>
          </w:p>
        </w:tc>
        <w:tc>
          <w:tcPr>
            <w:tcW w:w="434" w:type="pct"/>
            <w:gridSpan w:val="2"/>
            <w:tcBorders>
              <w:tl2br w:val="nil"/>
              <w:tr2bl w:val="nil"/>
            </w:tcBorders>
            <w:noWrap w:val="0"/>
            <w:vAlign w:val="center"/>
          </w:tcPr>
          <w:p>
            <w:pPr>
              <w:pStyle w:val="98"/>
              <w:pageBreakBefore w:val="0"/>
              <w:widowControl w:val="0"/>
              <w:kinsoku/>
              <w:wordWrap/>
              <w:overflowPunct/>
              <w:topLinePunct w:val="0"/>
              <w:autoSpaceDE/>
              <w:autoSpaceDN/>
              <w:bidi w:val="0"/>
              <w:adjustRightInd w:val="0"/>
              <w:spacing w:before="0"/>
              <w:ind w:left="0" w:leftChars="0" w:right="0" w:rightChars="0"/>
              <w:jc w:val="center"/>
              <w:textAlignment w:val="auto"/>
              <w:rPr>
                <w:rFonts w:hint="default" w:ascii="Times New Roman" w:hAnsi="Times New Roman" w:eastAsia="宋体" w:cs="Times New Roman"/>
                <w:color w:val="auto"/>
                <w:spacing w:val="-6"/>
                <w:kern w:val="0"/>
                <w:sz w:val="21"/>
                <w:szCs w:val="21"/>
                <w:highlight w:val="none"/>
              </w:rPr>
            </w:pPr>
            <w:r>
              <w:rPr>
                <w:rFonts w:hint="default" w:ascii="Times New Roman" w:hAnsi="Times New Roman" w:eastAsia="宋体" w:cs="Times New Roman"/>
                <w:color w:val="auto"/>
                <w:spacing w:val="-6"/>
                <w:kern w:val="0"/>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732"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ind w:left="0" w:leftChars="0" w:right="0" w:rightChars="0"/>
              <w:jc w:val="both"/>
              <w:textAlignment w:val="auto"/>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鼓励畜禽养殖规模化和粪污利用大型化和专业化，发展适合不同养殖规模和养殖形式的畜禽养殖废弃物无害化处理模式和资源化综合利用模式，污染防治措施应优先考虑资源化综合利用。</w:t>
            </w:r>
          </w:p>
        </w:tc>
        <w:tc>
          <w:tcPr>
            <w:tcW w:w="1832" w:type="pct"/>
            <w:tcBorders>
              <w:tl2br w:val="nil"/>
              <w:tr2bl w:val="nil"/>
            </w:tcBorders>
            <w:noWrap w:val="0"/>
            <w:vAlign w:val="center"/>
          </w:tcPr>
          <w:p>
            <w:pPr>
              <w:pStyle w:val="98"/>
              <w:pageBreakBefore w:val="0"/>
              <w:widowControl w:val="0"/>
              <w:kinsoku/>
              <w:wordWrap/>
              <w:overflowPunct/>
              <w:topLinePunct w:val="0"/>
              <w:autoSpaceDE/>
              <w:autoSpaceDN/>
              <w:bidi w:val="0"/>
              <w:adjustRightInd w:val="0"/>
              <w:spacing w:before="0"/>
              <w:ind w:left="0" w:leftChars="0" w:right="0" w:rightChars="0" w:firstLine="0" w:firstLineChars="0"/>
              <w:jc w:val="both"/>
              <w:textAlignment w:val="auto"/>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pacing w:val="-6"/>
                <w:kern w:val="0"/>
                <w:sz w:val="21"/>
                <w:szCs w:val="21"/>
                <w:highlight w:val="none"/>
                <w:lang w:val="en-US" w:eastAsia="zh-CN" w:bidi="ar-SA"/>
              </w:rPr>
              <w:t>采用干清粪工艺，粪污经过堆肥后</w:t>
            </w:r>
            <w:r>
              <w:rPr>
                <w:rFonts w:hint="eastAsia" w:ascii="Times New Roman" w:hAnsi="Times New Roman" w:cs="Times New Roman"/>
                <w:color w:val="auto"/>
                <w:spacing w:val="-6"/>
                <w:kern w:val="0"/>
                <w:sz w:val="21"/>
                <w:szCs w:val="21"/>
                <w:highlight w:val="none"/>
                <w:lang w:val="en-US" w:eastAsia="zh-CN" w:bidi="ar-SA"/>
              </w:rPr>
              <w:t>用于垫料及还田利用</w:t>
            </w:r>
            <w:r>
              <w:rPr>
                <w:rFonts w:hint="default" w:ascii="Times New Roman" w:hAnsi="Times New Roman" w:eastAsia="宋体" w:cs="Times New Roman"/>
                <w:color w:val="auto"/>
                <w:spacing w:val="-6"/>
                <w:kern w:val="0"/>
                <w:sz w:val="21"/>
                <w:szCs w:val="21"/>
                <w:highlight w:val="none"/>
                <w:lang w:val="en-US" w:eastAsia="zh-CN" w:bidi="ar-SA"/>
              </w:rPr>
              <w:t>，达到资源化综合利用。</w:t>
            </w:r>
          </w:p>
        </w:tc>
        <w:tc>
          <w:tcPr>
            <w:tcW w:w="434" w:type="pct"/>
            <w:gridSpan w:val="2"/>
            <w:tcBorders>
              <w:tl2br w:val="nil"/>
              <w:tr2bl w:val="nil"/>
            </w:tcBorders>
            <w:noWrap w:val="0"/>
            <w:vAlign w:val="center"/>
          </w:tcPr>
          <w:p>
            <w:pPr>
              <w:pStyle w:val="98"/>
              <w:pageBreakBefore w:val="0"/>
              <w:widowControl w:val="0"/>
              <w:kinsoku/>
              <w:wordWrap/>
              <w:overflowPunct/>
              <w:topLinePunct w:val="0"/>
              <w:autoSpaceDE/>
              <w:autoSpaceDN/>
              <w:bidi w:val="0"/>
              <w:adjustRightInd w:val="0"/>
              <w:spacing w:before="0"/>
              <w:ind w:left="0" w:leftChars="0" w:right="0" w:rightChars="0"/>
              <w:jc w:val="center"/>
              <w:textAlignment w:val="auto"/>
              <w:rPr>
                <w:rFonts w:hint="default" w:ascii="Times New Roman" w:hAnsi="Times New Roman" w:eastAsia="宋体" w:cs="Times New Roman"/>
                <w:color w:val="auto"/>
                <w:spacing w:val="-6"/>
                <w:kern w:val="0"/>
                <w:sz w:val="21"/>
                <w:szCs w:val="21"/>
                <w:highlight w:val="none"/>
              </w:rPr>
            </w:pPr>
            <w:r>
              <w:rPr>
                <w:rFonts w:hint="default" w:ascii="Times New Roman" w:hAnsi="Times New Roman" w:eastAsia="宋体" w:cs="Times New Roman"/>
                <w:color w:val="auto"/>
                <w:spacing w:val="-6"/>
                <w:kern w:val="0"/>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732"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ind w:left="0" w:leftChars="0" w:right="0" w:rightChars="0"/>
              <w:jc w:val="both"/>
              <w:textAlignment w:val="auto"/>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种、养结合，发展生态农业，充分考虑农田土壤消纳能力和区域环境容量要求，确保畜禽养殖废弃物有效还田利用，防止二次污染。</w:t>
            </w:r>
          </w:p>
        </w:tc>
        <w:tc>
          <w:tcPr>
            <w:tcW w:w="1832" w:type="pct"/>
            <w:tcBorders>
              <w:tl2br w:val="nil"/>
              <w:tr2bl w:val="nil"/>
            </w:tcBorders>
            <w:noWrap w:val="0"/>
            <w:vAlign w:val="center"/>
          </w:tcPr>
          <w:p>
            <w:pPr>
              <w:pStyle w:val="98"/>
              <w:pageBreakBefore w:val="0"/>
              <w:widowControl w:val="0"/>
              <w:kinsoku/>
              <w:wordWrap/>
              <w:overflowPunct/>
              <w:topLinePunct w:val="0"/>
              <w:autoSpaceDE/>
              <w:autoSpaceDN/>
              <w:bidi w:val="0"/>
              <w:adjustRightInd w:val="0"/>
              <w:spacing w:before="0"/>
              <w:ind w:left="0" w:leftChars="0" w:right="0" w:rightChars="0" w:firstLine="0" w:firstLineChars="0"/>
              <w:jc w:val="both"/>
              <w:textAlignment w:val="auto"/>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pacing w:val="0"/>
                <w:kern w:val="0"/>
                <w:sz w:val="21"/>
                <w:szCs w:val="21"/>
                <w:highlight w:val="none"/>
                <w:lang w:val="en-US" w:eastAsia="zh-CN" w:bidi="ar-SA"/>
              </w:rPr>
              <w:t>粪污经过堆肥后</w:t>
            </w:r>
            <w:r>
              <w:rPr>
                <w:rFonts w:hint="eastAsia" w:ascii="Times New Roman" w:hAnsi="Times New Roman" w:cs="Times New Roman"/>
                <w:color w:val="auto"/>
                <w:spacing w:val="0"/>
                <w:kern w:val="0"/>
                <w:sz w:val="21"/>
                <w:szCs w:val="21"/>
                <w:highlight w:val="none"/>
                <w:lang w:val="en-US" w:eastAsia="zh-CN" w:bidi="ar-SA"/>
              </w:rPr>
              <w:t>用于垫料及还田利用</w:t>
            </w:r>
            <w:r>
              <w:rPr>
                <w:rFonts w:hint="default" w:ascii="Times New Roman" w:hAnsi="Times New Roman" w:eastAsia="宋体" w:cs="Times New Roman"/>
                <w:color w:val="auto"/>
                <w:spacing w:val="0"/>
                <w:kern w:val="0"/>
                <w:sz w:val="21"/>
                <w:szCs w:val="21"/>
                <w:highlight w:val="none"/>
                <w:lang w:val="en-US" w:eastAsia="zh-CN" w:bidi="ar-SA"/>
              </w:rPr>
              <w:t>，符合农田土壤消纳能力和区域环境容量要求。</w:t>
            </w:r>
          </w:p>
        </w:tc>
        <w:tc>
          <w:tcPr>
            <w:tcW w:w="434" w:type="pct"/>
            <w:gridSpan w:val="2"/>
            <w:tcBorders>
              <w:tl2br w:val="nil"/>
              <w:tr2bl w:val="nil"/>
            </w:tcBorders>
            <w:noWrap w:val="0"/>
            <w:vAlign w:val="center"/>
          </w:tcPr>
          <w:p>
            <w:pPr>
              <w:pStyle w:val="98"/>
              <w:pageBreakBefore w:val="0"/>
              <w:widowControl w:val="0"/>
              <w:kinsoku/>
              <w:wordWrap/>
              <w:overflowPunct/>
              <w:topLinePunct w:val="0"/>
              <w:autoSpaceDE/>
              <w:autoSpaceDN/>
              <w:bidi w:val="0"/>
              <w:adjustRightInd w:val="0"/>
              <w:spacing w:before="0"/>
              <w:ind w:left="0" w:leftChars="0" w:right="0" w:rightChars="0"/>
              <w:jc w:val="center"/>
              <w:textAlignment w:val="auto"/>
              <w:rPr>
                <w:rFonts w:hint="default" w:ascii="Times New Roman" w:hAnsi="Times New Roman" w:eastAsia="宋体" w:cs="Times New Roman"/>
                <w:color w:val="auto"/>
                <w:spacing w:val="-6"/>
                <w:kern w:val="0"/>
                <w:sz w:val="21"/>
                <w:szCs w:val="21"/>
                <w:highlight w:val="none"/>
              </w:rPr>
            </w:pPr>
            <w:r>
              <w:rPr>
                <w:rFonts w:hint="default" w:ascii="Times New Roman" w:hAnsi="Times New Roman" w:eastAsia="宋体" w:cs="Times New Roman"/>
                <w:color w:val="auto"/>
                <w:spacing w:val="-6"/>
                <w:kern w:val="0"/>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732"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ind w:left="0" w:leftChars="0" w:right="0" w:rightChars="0"/>
              <w:jc w:val="both"/>
              <w:textAlignment w:val="auto"/>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严格环境监管，强化畜禽养殖项目建设的环境影响评价、“三同时”、环保验收、日常执法监督和例行监测等环境管理环节，完善设施建设与运行管理体系；强化农田土壤的环境安全，防止以“农田利用”为名变相排放污染物。</w:t>
            </w:r>
          </w:p>
        </w:tc>
        <w:tc>
          <w:tcPr>
            <w:tcW w:w="1832"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ind w:left="0" w:leftChars="0" w:right="0" w:rightChars="0"/>
              <w:jc w:val="both"/>
              <w:textAlignment w:val="auto"/>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lang w:val="en-US" w:eastAsia="zh-CN"/>
              </w:rPr>
              <w:t>本项目严格环境监管，强化畜禽养殖项目建设的环境影响评价、“三同时”、环保验收、日常执法监督和例行监测等环境管理环节，完善设施建设与运行管理体系。</w:t>
            </w:r>
          </w:p>
        </w:tc>
        <w:tc>
          <w:tcPr>
            <w:tcW w:w="434" w:type="pct"/>
            <w:gridSpan w:val="2"/>
            <w:tcBorders>
              <w:tl2br w:val="nil"/>
              <w:tr2bl w:val="nil"/>
            </w:tcBorders>
            <w:noWrap w:val="0"/>
            <w:vAlign w:val="center"/>
          </w:tcPr>
          <w:p>
            <w:pPr>
              <w:pStyle w:val="98"/>
              <w:pageBreakBefore w:val="0"/>
              <w:widowControl w:val="0"/>
              <w:kinsoku/>
              <w:wordWrap/>
              <w:overflowPunct/>
              <w:topLinePunct w:val="0"/>
              <w:autoSpaceDE/>
              <w:autoSpaceDN/>
              <w:bidi w:val="0"/>
              <w:adjustRightInd w:val="0"/>
              <w:spacing w:before="0"/>
              <w:ind w:left="0" w:leftChars="0" w:right="0" w:rightChars="0"/>
              <w:jc w:val="center"/>
              <w:textAlignment w:val="auto"/>
              <w:rPr>
                <w:rFonts w:hint="default" w:ascii="Times New Roman" w:hAnsi="Times New Roman" w:eastAsia="宋体" w:cs="Times New Roman"/>
                <w:color w:val="auto"/>
                <w:spacing w:val="-6"/>
                <w:kern w:val="0"/>
                <w:sz w:val="21"/>
                <w:szCs w:val="21"/>
                <w:highlight w:val="none"/>
              </w:rPr>
            </w:pPr>
            <w:r>
              <w:rPr>
                <w:rFonts w:hint="default" w:ascii="Times New Roman" w:hAnsi="Times New Roman" w:eastAsia="宋体" w:cs="Times New Roman"/>
                <w:color w:val="auto"/>
                <w:spacing w:val="-6"/>
                <w:kern w:val="0"/>
                <w:sz w:val="21"/>
                <w:szCs w:val="21"/>
                <w:highlight w:val="none"/>
              </w:rPr>
              <w:t>符合</w:t>
            </w:r>
          </w:p>
        </w:tc>
      </w:tr>
    </w:tbl>
    <w:p>
      <w:pPr>
        <w:pStyle w:val="6"/>
        <w:keepNext/>
        <w:keepLines/>
        <w:pageBreakBefore w:val="0"/>
        <w:widowControl w:val="0"/>
        <w:kinsoku/>
        <w:wordWrap/>
        <w:overflowPunct/>
        <w:topLinePunct w:val="0"/>
        <w:autoSpaceDE/>
        <w:autoSpaceDN/>
        <w:bidi w:val="0"/>
        <w:adjustRightInd w:val="0"/>
        <w:snapToGrid w:val="0"/>
        <w:spacing w:before="157" w:beforeLines="50"/>
        <w:ind w:left="0" w:leftChars="0" w:right="0" w:righ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与《村镇规划卫生规范》的符合性分析</w:t>
      </w:r>
    </w:p>
    <w:p>
      <w:pPr>
        <w:pStyle w:val="50"/>
        <w:pageBreakBefore w:val="0"/>
        <w:widowControl w:val="0"/>
        <w:kinsoku/>
        <w:wordWrap/>
        <w:overflowPunct/>
        <w:topLinePunct w:val="0"/>
        <w:autoSpaceDE/>
        <w:autoSpaceDN/>
        <w:bidi w:val="0"/>
        <w:adjustRightInd w:val="0"/>
        <w:snapToGrid w:val="0"/>
        <w:spacing w:afterLines="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表1.3-</w:t>
      </w:r>
      <w:r>
        <w:rPr>
          <w:rFonts w:hint="eastAsia" w:ascii="Times New Roman" w:hAnsi="Times New Roman"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 xml:space="preserve">   与《村镇规划卫生规范》的符合性分析一览表</w:t>
      </w:r>
    </w:p>
    <w:tbl>
      <w:tblPr>
        <w:tblStyle w:val="39"/>
        <w:tblW w:w="5011"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4944"/>
        <w:gridCol w:w="2866"/>
        <w:gridCol w:w="713"/>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330" w:hRule="atLeast"/>
        </w:trPr>
        <w:tc>
          <w:tcPr>
            <w:tcW w:w="2900"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要求</w:t>
            </w:r>
          </w:p>
        </w:tc>
        <w:tc>
          <w:tcPr>
            <w:tcW w:w="168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本项目情况</w:t>
            </w:r>
          </w:p>
        </w:tc>
        <w:tc>
          <w:tcPr>
            <w:tcW w:w="41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符合性</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2900" w:type="pct"/>
            <w:tcBorders>
              <w:tl2br w:val="nil"/>
              <w:tr2bl w:val="nil"/>
            </w:tcBorders>
            <w:noWrap w:val="0"/>
            <w:vAlign w:val="center"/>
          </w:tcPr>
          <w:p>
            <w:pPr>
              <w:pStyle w:val="98"/>
              <w:pageBreakBefore w:val="0"/>
              <w:widowControl w:val="0"/>
              <w:kinsoku/>
              <w:wordWrap/>
              <w:overflowPunct/>
              <w:topLinePunct w:val="0"/>
              <w:autoSpaceDE/>
              <w:autoSpaceDN/>
              <w:bidi w:val="0"/>
              <w:adjustRightInd w:val="0"/>
              <w:snapToGrid w:val="0"/>
              <w:spacing w:before="0"/>
              <w:ind w:left="0" w:leftChars="0" w:right="0" w:right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（1）村镇规划用地布局必须进行功能分区，住宅区应与农业生产区、养殖区和工业副业区、大型集贸市场、垃圾粪便和污水处理地点严格分开；</w:t>
            </w:r>
          </w:p>
          <w:p>
            <w:pPr>
              <w:pStyle w:val="98"/>
              <w:pageBreakBefore w:val="0"/>
              <w:widowControl w:val="0"/>
              <w:tabs>
                <w:tab w:val="left" w:pos="647"/>
              </w:tabs>
              <w:kinsoku/>
              <w:wordWrap/>
              <w:overflowPunct/>
              <w:topLinePunct w:val="0"/>
              <w:autoSpaceDE/>
              <w:autoSpaceDN/>
              <w:bidi w:val="0"/>
              <w:adjustRightInd w:val="0"/>
              <w:snapToGrid w:val="0"/>
              <w:spacing w:before="0"/>
              <w:ind w:left="0" w:leftChars="0" w:right="0" w:right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rPr>
              <w:t>2</w:t>
            </w:r>
            <w:r>
              <w:rPr>
                <w:rFonts w:hint="default" w:ascii="Times New Roman" w:hAnsi="Times New Roman" w:eastAsia="宋体" w:cs="Times New Roman"/>
                <w:color w:val="auto"/>
                <w:kern w:val="0"/>
                <w:sz w:val="21"/>
                <w:szCs w:val="21"/>
                <w:highlight w:val="none"/>
              </w:rPr>
              <w:t>）本规划适用于村镇的新建、改建、扩建的规划， 也适用于现有的村镇规划的卫生学评价；</w:t>
            </w:r>
          </w:p>
          <w:p>
            <w:pPr>
              <w:pStyle w:val="98"/>
              <w:pageBreakBefore w:val="0"/>
              <w:widowControl w:val="0"/>
              <w:kinsoku/>
              <w:wordWrap/>
              <w:overflowPunct/>
              <w:topLinePunct w:val="0"/>
              <w:autoSpaceDE/>
              <w:autoSpaceDN/>
              <w:bidi w:val="0"/>
              <w:adjustRightInd w:val="0"/>
              <w:snapToGrid w:val="0"/>
              <w:spacing w:before="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w:t>
            </w:r>
            <w:r>
              <w:rPr>
                <w:rFonts w:hint="default" w:ascii="Times New Roman" w:hAnsi="Times New Roman" w:cs="Times New Roman"/>
                <w:color w:val="auto"/>
                <w:kern w:val="0"/>
                <w:sz w:val="21"/>
                <w:szCs w:val="21"/>
                <w:highlight w:val="none"/>
                <w:lang w:val="en-US" w:eastAsia="zh-CN"/>
              </w:rPr>
              <w:t>3</w:t>
            </w:r>
            <w:r>
              <w:rPr>
                <w:rFonts w:hint="default" w:ascii="Times New Roman" w:hAnsi="Times New Roman" w:eastAsia="宋体" w:cs="Times New Roman"/>
                <w:color w:val="auto"/>
                <w:kern w:val="0"/>
                <w:sz w:val="21"/>
                <w:szCs w:val="21"/>
                <w:highlight w:val="none"/>
              </w:rPr>
              <w:t>）在复杂地形条件下的住宅区与产生有害因素场所之间的卫生防护距离，应根据环境影响评价报告，由相关部门共同确定</w:t>
            </w:r>
            <w:r>
              <w:rPr>
                <w:rFonts w:hint="default" w:ascii="Times New Roman" w:hAnsi="Times New Roman" w:eastAsia="宋体" w:cs="Times New Roman"/>
                <w:color w:val="auto"/>
                <w:kern w:val="0"/>
                <w:sz w:val="21"/>
                <w:szCs w:val="21"/>
                <w:highlight w:val="none"/>
                <w:lang w:eastAsia="zh-CN"/>
              </w:rPr>
              <w:t>。</w:t>
            </w:r>
          </w:p>
        </w:tc>
        <w:tc>
          <w:tcPr>
            <w:tcW w:w="1681" w:type="pct"/>
            <w:tcBorders>
              <w:tl2br w:val="nil"/>
              <w:tr2bl w:val="nil"/>
            </w:tcBorders>
            <w:noWrap w:val="0"/>
            <w:vAlign w:val="center"/>
          </w:tcPr>
          <w:p>
            <w:pPr>
              <w:pStyle w:val="98"/>
              <w:pageBreakBefore w:val="0"/>
              <w:widowControl w:val="0"/>
              <w:numPr>
                <w:ilvl w:val="0"/>
                <w:numId w:val="5"/>
              </w:numPr>
              <w:kinsoku/>
              <w:wordWrap/>
              <w:overflowPunct/>
              <w:topLinePunct w:val="0"/>
              <w:autoSpaceDE/>
              <w:autoSpaceDN/>
              <w:bidi w:val="0"/>
              <w:adjustRightInd w:val="0"/>
              <w:snapToGrid w:val="0"/>
              <w:spacing w:before="0"/>
              <w:ind w:left="0" w:leftChars="0" w:right="0" w:right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项目所在地位于</w:t>
            </w:r>
            <w:r>
              <w:rPr>
                <w:rFonts w:hint="default" w:ascii="Times New Roman" w:hAnsi="Times New Roman" w:eastAsia="宋体" w:cs="Times New Roman"/>
                <w:color w:val="auto"/>
                <w:kern w:val="0"/>
                <w:sz w:val="21"/>
                <w:szCs w:val="21"/>
                <w:highlight w:val="none"/>
                <w:lang w:val="en-US"/>
              </w:rPr>
              <w:t>周边无</w:t>
            </w:r>
            <w:r>
              <w:rPr>
                <w:rFonts w:hint="default" w:ascii="Times New Roman" w:hAnsi="Times New Roman" w:eastAsia="宋体" w:cs="Times New Roman"/>
                <w:color w:val="auto"/>
                <w:kern w:val="0"/>
                <w:sz w:val="21"/>
                <w:szCs w:val="21"/>
                <w:highlight w:val="none"/>
              </w:rPr>
              <w:t>住宅区；</w:t>
            </w:r>
          </w:p>
          <w:p>
            <w:pPr>
              <w:pStyle w:val="98"/>
              <w:pageBreakBefore w:val="0"/>
              <w:widowControl w:val="0"/>
              <w:numPr>
                <w:ilvl w:val="0"/>
                <w:numId w:val="5"/>
              </w:numPr>
              <w:kinsoku/>
              <w:wordWrap/>
              <w:overflowPunct/>
              <w:topLinePunct w:val="0"/>
              <w:autoSpaceDE/>
              <w:autoSpaceDN/>
              <w:bidi w:val="0"/>
              <w:adjustRightInd w:val="0"/>
              <w:snapToGrid w:val="0"/>
              <w:spacing w:before="0"/>
              <w:ind w:left="0" w:leftChars="0" w:right="0" w:right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“环办环评函〔2019〕872号）”明确：根据环评技术导则要求，科学确定环境防护距离，作为项目选址以及规划控制的依据。根据《环境影响评价技术导则 大气环境》（HJ2.2-2018），</w:t>
            </w:r>
            <w:r>
              <w:rPr>
                <w:rFonts w:hint="default" w:ascii="Times New Roman" w:hAnsi="Times New Roman" w:eastAsia="宋体" w:cs="Times New Roman"/>
                <w:color w:val="auto"/>
                <w:kern w:val="0"/>
                <w:sz w:val="21"/>
                <w:szCs w:val="21"/>
                <w:highlight w:val="none"/>
                <w:lang w:val="en-US" w:eastAsia="zh-CN"/>
              </w:rPr>
              <w:t>计算</w:t>
            </w:r>
            <w:r>
              <w:rPr>
                <w:rFonts w:hint="default" w:ascii="Times New Roman" w:hAnsi="Times New Roman" w:eastAsia="宋体" w:cs="Times New Roman"/>
                <w:color w:val="auto"/>
                <w:kern w:val="0"/>
                <w:sz w:val="21"/>
                <w:szCs w:val="21"/>
                <w:highlight w:val="none"/>
              </w:rPr>
              <w:t>，无需设置大气防护距离</w:t>
            </w:r>
            <w:r>
              <w:rPr>
                <w:rFonts w:hint="default" w:ascii="Times New Roman" w:hAnsi="Times New Roman" w:eastAsia="宋体" w:cs="Times New Roman"/>
                <w:color w:val="auto"/>
                <w:kern w:val="0"/>
                <w:sz w:val="21"/>
                <w:szCs w:val="21"/>
                <w:highlight w:val="none"/>
                <w:lang w:val="en-US"/>
              </w:rPr>
              <w:t>。</w:t>
            </w:r>
          </w:p>
        </w:tc>
        <w:tc>
          <w:tcPr>
            <w:tcW w:w="418" w:type="pct"/>
            <w:tcBorders>
              <w:tl2br w:val="nil"/>
              <w:tr2bl w:val="nil"/>
            </w:tcBorders>
            <w:noWrap w:val="0"/>
            <w:vAlign w:val="center"/>
          </w:tcPr>
          <w:p>
            <w:pPr>
              <w:pStyle w:val="98"/>
              <w:pageBreakBefore w:val="0"/>
              <w:widowControl w:val="0"/>
              <w:kinsoku/>
              <w:wordWrap/>
              <w:overflowPunct/>
              <w:topLinePunct w:val="0"/>
              <w:autoSpaceDE/>
              <w:autoSpaceDN/>
              <w:bidi w:val="0"/>
              <w:adjustRightInd w:val="0"/>
              <w:snapToGrid w:val="0"/>
              <w:spacing w:before="0"/>
              <w:ind w:left="0" w:leftChars="0" w:right="0" w:right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bl>
    <w:p>
      <w:pPr>
        <w:pStyle w:val="6"/>
        <w:keepNext/>
        <w:keepLines/>
        <w:pageBreakBefore w:val="0"/>
        <w:widowControl w:val="0"/>
        <w:kinsoku/>
        <w:wordWrap/>
        <w:overflowPunct/>
        <w:topLinePunct w:val="0"/>
        <w:autoSpaceDE/>
        <w:autoSpaceDN/>
        <w:bidi w:val="0"/>
        <w:adjustRightInd w:val="0"/>
        <w:snapToGrid w:val="0"/>
        <w:spacing w:before="157" w:beforeLines="50"/>
        <w:ind w:left="0" w:leftChars="0" w:right="0" w:righ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与《关于促进新疆畜牧业高质量发展的意见》的符合性分析</w:t>
      </w:r>
    </w:p>
    <w:p>
      <w:pPr>
        <w:pStyle w:val="17"/>
        <w:keepNext w:val="0"/>
        <w:keepLines w:val="0"/>
        <w:pageBreakBefore w:val="0"/>
        <w:widowControl w:val="0"/>
        <w:kinsoku/>
        <w:wordWrap/>
        <w:overflowPunct/>
        <w:topLinePunct w:val="0"/>
        <w:autoSpaceDE/>
        <w:autoSpaceDN/>
        <w:bidi w:val="0"/>
        <w:adjustRightInd w:val="0"/>
        <w:snapToGrid w:val="0"/>
        <w:spacing w:afterLines="0"/>
        <w:ind w:left="0" w:leftChars="0" w:right="0" w:rightChars="0"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shd w:val="clear" w:color="auto" w:fill="FFFFFF"/>
        </w:rPr>
        <w:t>《关于促进新疆畜牧业高质量发展的意见》</w:t>
      </w:r>
      <w:r>
        <w:rPr>
          <w:rFonts w:hint="default" w:ascii="Times New Roman" w:hAnsi="Times New Roman" w:eastAsia="宋体" w:cs="Times New Roman"/>
          <w:color w:val="auto"/>
          <w:highlight w:val="none"/>
        </w:rPr>
        <w:t>明确提出五个重点：一、实施肉羊增产行动，5年全区新增500万只出栏肉羊生产能力；二、实施奶业振兴行动，5年全区新增荷斯坦奶牛存栏20万头，新增原料奶产量100万吨以上；三、实施</w:t>
      </w:r>
      <w:r>
        <w:rPr>
          <w:rFonts w:hint="default" w:ascii="Times New Roman" w:hAnsi="Times New Roman" w:eastAsia="宋体" w:cs="Times New Roman"/>
          <w:color w:val="auto"/>
          <w:highlight w:val="none"/>
          <w:lang w:eastAsia="zh-CN"/>
        </w:rPr>
        <w:t>奶牛</w:t>
      </w:r>
      <w:r>
        <w:rPr>
          <w:rFonts w:hint="default" w:ascii="Times New Roman" w:hAnsi="Times New Roman" w:eastAsia="宋体" w:cs="Times New Roman"/>
          <w:color w:val="auto"/>
          <w:highlight w:val="none"/>
        </w:rPr>
        <w:t>增产行动，5年全区新增30万头出栏</w:t>
      </w:r>
      <w:r>
        <w:rPr>
          <w:rFonts w:hint="default" w:ascii="Times New Roman" w:hAnsi="Times New Roman" w:eastAsia="宋体" w:cs="Times New Roman"/>
          <w:color w:val="auto"/>
          <w:highlight w:val="none"/>
          <w:lang w:eastAsia="zh-CN"/>
        </w:rPr>
        <w:t>奶牛</w:t>
      </w:r>
      <w:r>
        <w:rPr>
          <w:rFonts w:hint="default" w:ascii="Times New Roman" w:hAnsi="Times New Roman" w:eastAsia="宋体" w:cs="Times New Roman"/>
          <w:color w:val="auto"/>
          <w:highlight w:val="none"/>
        </w:rPr>
        <w:t>生产能力；四、实施生猪产业转型升级行动，5年全区新增150万头生猪外销生产能力；五、实施家禽及特色产业发展行动，5年在南疆地区新增1亿羽出栏肉禽生产能力，在天山北坡新增2000万羽出栏肉禽生产能力，全区新增蛋禽存栏500万羽。</w:t>
      </w:r>
    </w:p>
    <w:p>
      <w:pPr>
        <w:pStyle w:val="96"/>
        <w:keepNext w:val="0"/>
        <w:keepLines w:val="0"/>
        <w:pageBreakBefore w:val="0"/>
        <w:widowControl w:val="0"/>
        <w:kinsoku/>
        <w:wordWrap/>
        <w:overflowPunct/>
        <w:topLinePunct w:val="0"/>
        <w:autoSpaceDE/>
        <w:autoSpaceDN/>
        <w:bidi w:val="0"/>
        <w:adjustRightInd w:val="0"/>
        <w:snapToGrid w:val="0"/>
        <w:ind w:left="0" w:leftChars="0" w:right="0" w:rightChars="0" w:firstLine="480"/>
        <w:textAlignment w:val="auto"/>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本项目建成后，养殖规模为年存栏</w:t>
      </w:r>
      <w:r>
        <w:rPr>
          <w:rFonts w:hint="default" w:ascii="Times New Roman" w:hAnsi="Times New Roman" w:cs="Times New Roman"/>
          <w:color w:val="auto"/>
          <w:szCs w:val="24"/>
          <w:highlight w:val="none"/>
          <w:lang w:val="en-US" w:eastAsia="zh-CN"/>
        </w:rPr>
        <w:t>奶牛3000</w:t>
      </w:r>
      <w:r>
        <w:rPr>
          <w:rFonts w:hint="default" w:ascii="Times New Roman" w:hAnsi="Times New Roman" w:eastAsia="宋体" w:cs="Times New Roman"/>
          <w:color w:val="auto"/>
          <w:szCs w:val="24"/>
          <w:highlight w:val="none"/>
          <w:lang w:eastAsia="zh-CN"/>
        </w:rPr>
        <w:t>头</w:t>
      </w:r>
      <w:r>
        <w:rPr>
          <w:rFonts w:hint="default" w:ascii="Times New Roman" w:hAnsi="Times New Roman" w:eastAsia="宋体" w:cs="Times New Roman"/>
          <w:color w:val="auto"/>
          <w:szCs w:val="24"/>
          <w:highlight w:val="none"/>
        </w:rPr>
        <w:t>。因此，本项目与</w:t>
      </w:r>
      <w:r>
        <w:rPr>
          <w:rFonts w:hint="default" w:ascii="Times New Roman" w:hAnsi="Times New Roman" w:eastAsia="宋体" w:cs="Times New Roman"/>
          <w:bCs/>
          <w:color w:val="auto"/>
          <w:kern w:val="0"/>
          <w:szCs w:val="24"/>
          <w:highlight w:val="none"/>
        </w:rPr>
        <w:t>《</w:t>
      </w:r>
      <w:r>
        <w:rPr>
          <w:rFonts w:hint="default" w:ascii="Times New Roman" w:hAnsi="Times New Roman" w:eastAsia="宋体" w:cs="Times New Roman"/>
          <w:color w:val="auto"/>
          <w:szCs w:val="24"/>
          <w:highlight w:val="none"/>
          <w:shd w:val="clear" w:color="auto" w:fill="FFFFFF"/>
        </w:rPr>
        <w:t>关于促进新疆畜牧业高质量发展的意见</w:t>
      </w:r>
      <w:r>
        <w:rPr>
          <w:rFonts w:hint="default" w:ascii="Times New Roman" w:hAnsi="Times New Roman" w:eastAsia="宋体" w:cs="Times New Roman"/>
          <w:bCs/>
          <w:color w:val="auto"/>
          <w:kern w:val="0"/>
          <w:szCs w:val="24"/>
          <w:highlight w:val="none"/>
        </w:rPr>
        <w:t>》</w:t>
      </w:r>
      <w:r>
        <w:rPr>
          <w:rFonts w:hint="default" w:ascii="Times New Roman" w:hAnsi="Times New Roman" w:eastAsia="宋体" w:cs="Times New Roman"/>
          <w:color w:val="auto"/>
          <w:szCs w:val="24"/>
          <w:highlight w:val="none"/>
        </w:rPr>
        <w:t>相符合。</w:t>
      </w:r>
    </w:p>
    <w:p>
      <w:pPr>
        <w:pStyle w:val="6"/>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与《农业部关于印发</w:t>
      </w:r>
      <w:r>
        <w:rPr>
          <w:rFonts w:hint="default" w:ascii="Times New Roman" w:hAnsi="Times New Roman" w:eastAsia="宋体" w:cs="Times New Roman"/>
          <w:color w:val="auto"/>
          <w:highlight w:val="none"/>
          <w:lang w:val="en-US" w:eastAsia="zh-CN"/>
        </w:rPr>
        <w:t>&lt;</w:t>
      </w:r>
      <w:r>
        <w:rPr>
          <w:rFonts w:hint="default" w:ascii="Times New Roman" w:hAnsi="Times New Roman" w:eastAsia="宋体" w:cs="Times New Roman"/>
          <w:color w:val="auto"/>
          <w:highlight w:val="none"/>
        </w:rPr>
        <w:t>全国草食畜牧业发展规划（2016</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rPr>
        <w:t>2020年）</w:t>
      </w:r>
      <w:r>
        <w:rPr>
          <w:rFonts w:hint="default" w:ascii="Times New Roman" w:hAnsi="Times New Roman" w:eastAsia="宋体" w:cs="Times New Roman"/>
          <w:color w:val="auto"/>
          <w:highlight w:val="none"/>
          <w:lang w:val="en-US" w:eastAsia="zh-CN"/>
        </w:rPr>
        <w:t>&gt;</w:t>
      </w:r>
      <w:r>
        <w:rPr>
          <w:rFonts w:hint="default" w:ascii="Times New Roman" w:hAnsi="Times New Roman" w:eastAsia="宋体" w:cs="Times New Roman"/>
          <w:color w:val="auto"/>
          <w:highlight w:val="none"/>
        </w:rPr>
        <w:t>的通知》的符合性分析</w:t>
      </w:r>
    </w:p>
    <w:p>
      <w:pPr>
        <w:pStyle w:val="96"/>
        <w:pageBreakBefore w:val="0"/>
        <w:wordWrap/>
        <w:bidi w:val="0"/>
        <w:adjustRightInd w:val="0"/>
        <w:ind w:left="0" w:leftChars="0" w:right="0" w:rightChars="0" w:firstLine="48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《农业部关于印发</w:t>
      </w:r>
      <w:r>
        <w:rPr>
          <w:rFonts w:hint="default" w:ascii="Times New Roman" w:hAnsi="Times New Roman" w:eastAsia="宋体" w:cs="Times New Roman"/>
          <w:color w:val="auto"/>
          <w:highlight w:val="none"/>
          <w:lang w:val="en-US" w:eastAsia="zh-CN"/>
        </w:rPr>
        <w:t>&lt;</w:t>
      </w:r>
      <w:r>
        <w:rPr>
          <w:rFonts w:hint="default" w:ascii="Times New Roman" w:hAnsi="Times New Roman" w:eastAsia="宋体" w:cs="Times New Roman"/>
          <w:color w:val="auto"/>
          <w:highlight w:val="none"/>
        </w:rPr>
        <w:t>全国草食畜牧业发展规划（2016</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rPr>
        <w:t>2020年）</w:t>
      </w:r>
      <w:r>
        <w:rPr>
          <w:rFonts w:hint="default" w:ascii="Times New Roman" w:hAnsi="Times New Roman" w:eastAsia="宋体" w:cs="Times New Roman"/>
          <w:color w:val="auto"/>
          <w:highlight w:val="none"/>
          <w:lang w:val="en-US" w:eastAsia="zh-CN"/>
        </w:rPr>
        <w:t>&gt;</w:t>
      </w:r>
      <w:r>
        <w:rPr>
          <w:rFonts w:hint="default" w:ascii="Times New Roman" w:hAnsi="Times New Roman" w:eastAsia="宋体" w:cs="Times New Roman"/>
          <w:color w:val="auto"/>
          <w:highlight w:val="none"/>
        </w:rPr>
        <w:t>的通知》</w:t>
      </w:r>
      <w:r>
        <w:rPr>
          <w:rFonts w:hint="default" w:ascii="Times New Roman" w:hAnsi="Times New Roman" w:eastAsia="宋体" w:cs="Times New Roman"/>
          <w:color w:val="auto"/>
          <w:highlight w:val="none"/>
          <w:lang w:val="en-US" w:eastAsia="zh-CN"/>
        </w:rPr>
        <w:t>中明确提出五个重点任务：</w:t>
      </w:r>
      <w:r>
        <w:rPr>
          <w:rFonts w:hint="default" w:ascii="Times New Roman" w:hAnsi="Times New Roman" w:eastAsia="宋体" w:cs="Times New Roman"/>
          <w:color w:val="auto"/>
          <w:highlight w:val="none"/>
        </w:rPr>
        <w:t>（一）扎实推进良种繁育体系建设</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（二）大力发展标准化规模养殖</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（三）着力夯实饲草料生产基础</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（四）全面强化质量安全监管与疫病防控</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（五）加快促进新型业态健康发展</w:t>
      </w:r>
      <w:r>
        <w:rPr>
          <w:rFonts w:hint="default" w:ascii="Times New Roman" w:hAnsi="Times New Roman" w:eastAsia="宋体" w:cs="Times New Roman"/>
          <w:color w:val="auto"/>
          <w:highlight w:val="none"/>
          <w:lang w:eastAsia="zh-CN"/>
        </w:rPr>
        <w:t>。</w:t>
      </w:r>
    </w:p>
    <w:p>
      <w:pPr>
        <w:pStyle w:val="96"/>
        <w:pageBreakBefore w:val="0"/>
        <w:wordWrap/>
        <w:bidi w:val="0"/>
        <w:adjustRightInd w:val="0"/>
        <w:ind w:left="0" w:leftChars="0" w:right="0" w:rightChars="0"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本项目引进优质奶牛进行规模化养殖，采用</w:t>
      </w:r>
      <w:r>
        <w:rPr>
          <w:rFonts w:hint="default" w:ascii="Times New Roman" w:hAnsi="Times New Roman" w:cs="Times New Roman"/>
          <w:color w:val="auto"/>
          <w:highlight w:val="none"/>
          <w:lang w:val="en-US" w:eastAsia="zh-CN"/>
        </w:rPr>
        <w:t>优质</w:t>
      </w:r>
      <w:r>
        <w:rPr>
          <w:rFonts w:hint="default" w:ascii="Times New Roman" w:hAnsi="Times New Roman" w:eastAsia="宋体" w:cs="Times New Roman"/>
          <w:color w:val="auto"/>
          <w:highlight w:val="none"/>
        </w:rPr>
        <w:t>人工饲草料</w:t>
      </w:r>
      <w:r>
        <w:rPr>
          <w:rFonts w:hint="default" w:ascii="Times New Roman" w:hAnsi="Times New Roman" w:eastAsia="宋体" w:cs="Times New Roman"/>
          <w:color w:val="auto"/>
          <w:highlight w:val="none"/>
          <w:lang w:val="en-US" w:eastAsia="zh-CN"/>
        </w:rPr>
        <w:t>科学喂养，具有相应的</w:t>
      </w:r>
      <w:r>
        <w:rPr>
          <w:rFonts w:hint="default" w:ascii="Times New Roman" w:hAnsi="Times New Roman" w:eastAsia="宋体" w:cs="Times New Roman"/>
          <w:color w:val="auto"/>
          <w:highlight w:val="none"/>
        </w:rPr>
        <w:t>生物安全措施</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与《农业部关于印发</w:t>
      </w:r>
      <w:r>
        <w:rPr>
          <w:rFonts w:hint="default" w:ascii="Times New Roman" w:hAnsi="Times New Roman" w:eastAsia="宋体" w:cs="Times New Roman"/>
          <w:color w:val="auto"/>
          <w:highlight w:val="none"/>
          <w:lang w:val="en-US" w:eastAsia="zh-CN"/>
        </w:rPr>
        <w:t>&lt;</w:t>
      </w:r>
      <w:r>
        <w:rPr>
          <w:rFonts w:hint="default" w:ascii="Times New Roman" w:hAnsi="Times New Roman" w:eastAsia="宋体" w:cs="Times New Roman"/>
          <w:color w:val="auto"/>
          <w:highlight w:val="none"/>
        </w:rPr>
        <w:t>全国草食畜牧业发展规划（2016</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rPr>
        <w:t>2020年）</w:t>
      </w:r>
      <w:r>
        <w:rPr>
          <w:rFonts w:hint="default" w:ascii="Times New Roman" w:hAnsi="Times New Roman" w:eastAsia="宋体" w:cs="Times New Roman"/>
          <w:color w:val="auto"/>
          <w:highlight w:val="none"/>
          <w:lang w:val="en-US" w:eastAsia="zh-CN"/>
        </w:rPr>
        <w:t>&gt;</w:t>
      </w:r>
      <w:r>
        <w:rPr>
          <w:rFonts w:hint="default" w:ascii="Times New Roman" w:hAnsi="Times New Roman" w:eastAsia="宋体" w:cs="Times New Roman"/>
          <w:color w:val="auto"/>
          <w:highlight w:val="none"/>
        </w:rPr>
        <w:t>的通知》</w:t>
      </w:r>
      <w:r>
        <w:rPr>
          <w:rFonts w:hint="default" w:ascii="Times New Roman" w:hAnsi="Times New Roman" w:eastAsia="宋体" w:cs="Times New Roman"/>
          <w:color w:val="auto"/>
          <w:highlight w:val="none"/>
          <w:lang w:val="en-US" w:eastAsia="zh-CN"/>
        </w:rPr>
        <w:t>相符合。</w:t>
      </w:r>
    </w:p>
    <w:p>
      <w:pPr>
        <w:pStyle w:val="6"/>
        <w:bidi w:val="0"/>
        <w:rPr>
          <w:rFonts w:hint="default"/>
          <w:color w:val="auto"/>
          <w:lang w:val="en-US" w:eastAsia="zh-CN"/>
        </w:rPr>
      </w:pPr>
      <w:r>
        <w:rPr>
          <w:rFonts w:hint="eastAsia"/>
          <w:color w:val="auto"/>
          <w:lang w:val="en-US" w:eastAsia="zh-CN"/>
        </w:rPr>
        <w:t>与</w:t>
      </w:r>
      <w:r>
        <w:rPr>
          <w:rFonts w:hint="eastAsia"/>
          <w:color w:val="auto"/>
        </w:rPr>
        <w:t>《塔城市畜禽养殖禁养区和限养区划定工作实施方案》</w:t>
      </w:r>
      <w:r>
        <w:rPr>
          <w:rFonts w:hint="eastAsia"/>
          <w:color w:val="auto"/>
          <w:lang w:val="en-US" w:eastAsia="zh-CN"/>
        </w:rPr>
        <w:t>的符合性分析</w:t>
      </w:r>
    </w:p>
    <w:p>
      <w:pPr>
        <w:pageBreakBefore w:val="0"/>
        <w:wordWrap/>
        <w:bidi w:val="0"/>
        <w:adjustRightInd w:val="0"/>
        <w:ind w:left="0" w:leftChars="0" w:right="0" w:rightChars="0" w:firstLine="480"/>
        <w:rPr>
          <w:rFonts w:hint="eastAsia" w:ascii="Times New Roman" w:hAnsi="Times New Roman" w:cs="Times New Roman"/>
          <w:color w:val="auto"/>
          <w:highlight w:val="none"/>
        </w:rPr>
      </w:pP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塔城市畜禽养殖禁养区和限养区划定工作实施方案》</w:t>
      </w:r>
      <w:r>
        <w:rPr>
          <w:rFonts w:hint="eastAsia" w:ascii="Times New Roman" w:hAnsi="Times New Roman" w:cs="Times New Roman"/>
          <w:color w:val="auto"/>
          <w:highlight w:val="none"/>
          <w:lang w:val="en-US" w:eastAsia="zh-CN"/>
        </w:rPr>
        <w:t>中</w:t>
      </w:r>
      <w:r>
        <w:rPr>
          <w:rFonts w:hint="eastAsia" w:cs="Times New Roman"/>
          <w:color w:val="auto"/>
          <w:highlight w:val="none"/>
          <w:lang w:val="en-US" w:eastAsia="zh-CN"/>
        </w:rPr>
        <w:t>规定：</w:t>
      </w:r>
      <w:r>
        <w:rPr>
          <w:rFonts w:hint="eastAsia" w:ascii="Times New Roman" w:hAnsi="Times New Roman" w:cs="Times New Roman"/>
          <w:color w:val="auto"/>
          <w:highlight w:val="none"/>
          <w:lang w:val="en-US" w:eastAsia="zh-CN"/>
        </w:rPr>
        <w:t>“</w:t>
      </w:r>
      <w:r>
        <w:rPr>
          <w:rFonts w:hint="eastAsia" w:ascii="Times New Roman" w:hAnsi="Times New Roman" w:cs="Times New Roman"/>
          <w:color w:val="auto"/>
          <w:highlight w:val="none"/>
        </w:rPr>
        <w:t>（一）下列区域属于禁养区</w:t>
      </w:r>
    </w:p>
    <w:p>
      <w:pPr>
        <w:pageBreakBefore w:val="0"/>
        <w:wordWrap/>
        <w:bidi w:val="0"/>
        <w:adjustRightInd w:val="0"/>
        <w:ind w:left="0" w:leftChars="0" w:right="0" w:rightChars="0" w:firstLine="480"/>
        <w:rPr>
          <w:rFonts w:hint="eastAsia" w:ascii="Times New Roman" w:hAnsi="Times New Roman"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1）</w:t>
      </w:r>
      <w:r>
        <w:rPr>
          <w:rFonts w:hint="eastAsia" w:ascii="Times New Roman" w:hAnsi="Times New Roman" w:cs="Times New Roman"/>
          <w:color w:val="auto"/>
          <w:highlight w:val="none"/>
        </w:rPr>
        <w:t>塔城市中心城区：北起千泉路、南至G219国道以南200米处、西起经一路、东抵阿西尔路，沿此范围环绕向外延伸2公里范围内。</w:t>
      </w:r>
    </w:p>
    <w:p>
      <w:pPr>
        <w:pageBreakBefore w:val="0"/>
        <w:wordWrap/>
        <w:bidi w:val="0"/>
        <w:adjustRightInd w:val="0"/>
        <w:ind w:left="0" w:leftChars="0" w:right="0" w:rightChars="0" w:firstLine="480"/>
        <w:rPr>
          <w:rFonts w:hint="eastAsia" w:ascii="Times New Roman" w:hAnsi="Times New Roman"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2）</w:t>
      </w:r>
      <w:r>
        <w:rPr>
          <w:rFonts w:hint="eastAsia" w:ascii="Times New Roman" w:hAnsi="Times New Roman" w:cs="Times New Roman"/>
          <w:color w:val="auto"/>
          <w:highlight w:val="none"/>
        </w:rPr>
        <w:t>乡（镇）场集镇规划区区域内及界址周边外延500米以内区域，新农村规划点及自然村集中居住地四周居民房外延100米范围内。</w:t>
      </w:r>
    </w:p>
    <w:p>
      <w:pPr>
        <w:pageBreakBefore w:val="0"/>
        <w:wordWrap/>
        <w:bidi w:val="0"/>
        <w:adjustRightInd w:val="0"/>
        <w:ind w:left="0" w:leftChars="0" w:right="0" w:rightChars="0" w:firstLine="480"/>
        <w:rPr>
          <w:rFonts w:hint="eastAsia" w:ascii="Times New Roman" w:hAnsi="Times New Roman"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3）</w:t>
      </w:r>
      <w:r>
        <w:rPr>
          <w:rFonts w:hint="eastAsia" w:ascii="Times New Roman" w:hAnsi="Times New Roman" w:cs="Times New Roman"/>
          <w:color w:val="auto"/>
          <w:highlight w:val="none"/>
        </w:rPr>
        <w:t>城市和乡（镇）场集中式饮用水水源保护区及农村饮用水工程取水点500米范围内。</w:t>
      </w:r>
    </w:p>
    <w:p>
      <w:pPr>
        <w:pageBreakBefore w:val="0"/>
        <w:wordWrap/>
        <w:bidi w:val="0"/>
        <w:adjustRightInd w:val="0"/>
        <w:ind w:left="0" w:leftChars="0" w:right="0" w:rightChars="0" w:firstLine="480"/>
        <w:rPr>
          <w:rFonts w:hint="eastAsia" w:ascii="Times New Roman" w:hAnsi="Times New Roman"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4）</w:t>
      </w:r>
      <w:r>
        <w:rPr>
          <w:rFonts w:hint="eastAsia" w:ascii="Times New Roman" w:hAnsi="Times New Roman" w:cs="Times New Roman"/>
          <w:color w:val="auto"/>
          <w:highlight w:val="none"/>
        </w:rPr>
        <w:t>高速公路、铁路、国道、省道边沟外缘100米范围内。</w:t>
      </w:r>
    </w:p>
    <w:p>
      <w:pPr>
        <w:pageBreakBefore w:val="0"/>
        <w:wordWrap/>
        <w:bidi w:val="0"/>
        <w:adjustRightInd w:val="0"/>
        <w:ind w:left="0" w:leftChars="0" w:right="0" w:rightChars="0" w:firstLine="480"/>
        <w:rPr>
          <w:rFonts w:hint="eastAsia" w:ascii="Times New Roman" w:hAnsi="Times New Roman"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5）</w:t>
      </w:r>
      <w:r>
        <w:rPr>
          <w:rFonts w:hint="eastAsia" w:ascii="Times New Roman" w:hAnsi="Times New Roman" w:cs="Times New Roman"/>
          <w:color w:val="auto"/>
          <w:highlight w:val="none"/>
        </w:rPr>
        <w:t>依法保护水源地、自然保护区、风景名胜区等区域外延500米以内区域，河道两边200米范围内。</w:t>
      </w:r>
    </w:p>
    <w:p>
      <w:pPr>
        <w:pageBreakBefore w:val="0"/>
        <w:wordWrap/>
        <w:bidi w:val="0"/>
        <w:adjustRightInd w:val="0"/>
        <w:ind w:left="0" w:leftChars="0" w:right="0" w:rightChars="0" w:firstLine="480"/>
        <w:rPr>
          <w:rFonts w:hint="eastAsia" w:ascii="Times New Roman" w:hAnsi="Times New Roman"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6）</w:t>
      </w:r>
      <w:r>
        <w:rPr>
          <w:rFonts w:hint="eastAsia" w:ascii="Times New Roman" w:hAnsi="Times New Roman" w:cs="Times New Roman"/>
          <w:color w:val="auto"/>
          <w:highlight w:val="none"/>
        </w:rPr>
        <w:t>法律法规规定的其他禁止建设养殖场的区域。</w:t>
      </w:r>
    </w:p>
    <w:p>
      <w:pPr>
        <w:pageBreakBefore w:val="0"/>
        <w:wordWrap/>
        <w:bidi w:val="0"/>
        <w:adjustRightInd w:val="0"/>
        <w:ind w:left="0" w:leftChars="0" w:right="0" w:rightChars="0" w:firstLine="480"/>
        <w:rPr>
          <w:rFonts w:hint="eastAsia" w:ascii="Times New Roman" w:hAnsi="Times New Roman" w:cs="Times New Roman"/>
          <w:color w:val="auto"/>
          <w:highlight w:val="none"/>
        </w:rPr>
      </w:pPr>
      <w:r>
        <w:rPr>
          <w:rFonts w:hint="eastAsia" w:ascii="Times New Roman" w:hAnsi="Times New Roman" w:cs="Times New Roman"/>
          <w:color w:val="auto"/>
          <w:highlight w:val="none"/>
        </w:rPr>
        <w:t>（二）下列区域属于限养区</w:t>
      </w:r>
    </w:p>
    <w:p>
      <w:pPr>
        <w:pageBreakBefore w:val="0"/>
        <w:wordWrap/>
        <w:bidi w:val="0"/>
        <w:adjustRightInd w:val="0"/>
        <w:ind w:left="0" w:leftChars="0" w:right="0" w:rightChars="0" w:firstLine="480"/>
        <w:rPr>
          <w:rFonts w:hint="eastAsia" w:ascii="Times New Roman" w:hAnsi="Times New Roman"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1）</w:t>
      </w:r>
      <w:r>
        <w:rPr>
          <w:rFonts w:hint="eastAsia" w:ascii="Times New Roman" w:hAnsi="Times New Roman" w:cs="Times New Roman"/>
          <w:color w:val="auto"/>
          <w:highlight w:val="none"/>
        </w:rPr>
        <w:t>城镇建成区及城镇规划区500米-2000米范围内的区域，规模畜禽养殖场界的卫生防护距离应控制在500米以上。</w:t>
      </w:r>
    </w:p>
    <w:p>
      <w:pPr>
        <w:pageBreakBefore w:val="0"/>
        <w:wordWrap/>
        <w:bidi w:val="0"/>
        <w:adjustRightInd w:val="0"/>
        <w:ind w:left="0" w:leftChars="0" w:right="0" w:rightChars="0" w:firstLine="480"/>
        <w:rPr>
          <w:rFonts w:hint="eastAsia" w:ascii="Times New Roman" w:hAnsi="Times New Roman"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2）</w:t>
      </w:r>
      <w:r>
        <w:rPr>
          <w:rFonts w:hint="eastAsia" w:ascii="Times New Roman" w:hAnsi="Times New Roman" w:cs="Times New Roman"/>
          <w:color w:val="auto"/>
          <w:highlight w:val="none"/>
        </w:rPr>
        <w:t>集镇规划区、学校、医院、商业区等公共场所周边500米-1000米范围内的区域。</w:t>
      </w:r>
    </w:p>
    <w:p>
      <w:pPr>
        <w:pageBreakBefore w:val="0"/>
        <w:wordWrap/>
        <w:bidi w:val="0"/>
        <w:adjustRightInd w:val="0"/>
        <w:ind w:left="0" w:leftChars="0" w:right="0" w:rightChars="0" w:firstLine="480"/>
        <w:rPr>
          <w:rFonts w:hint="eastAsia" w:ascii="Times New Roman" w:hAnsi="Times New Roman"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3）</w:t>
      </w:r>
      <w:r>
        <w:rPr>
          <w:rFonts w:hint="eastAsia" w:ascii="Times New Roman" w:hAnsi="Times New Roman" w:cs="Times New Roman"/>
          <w:color w:val="auto"/>
          <w:highlight w:val="none"/>
        </w:rPr>
        <w:t>饮用水水源保护区、自然保护区、河道、旅游景区和文物历史遗迹保护区设定的禁养区外延500米-1000米范围内的区域。</w:t>
      </w:r>
    </w:p>
    <w:p>
      <w:pPr>
        <w:pageBreakBefore w:val="0"/>
        <w:wordWrap/>
        <w:bidi w:val="0"/>
        <w:adjustRightInd w:val="0"/>
        <w:ind w:left="0" w:leftChars="0" w:right="0" w:rightChars="0" w:firstLine="480"/>
        <w:rPr>
          <w:rFonts w:hint="eastAsia" w:ascii="Times New Roman" w:hAnsi="Times New Roman"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4）</w:t>
      </w:r>
      <w:r>
        <w:rPr>
          <w:rFonts w:hint="eastAsia" w:ascii="Times New Roman" w:hAnsi="Times New Roman" w:cs="Times New Roman"/>
          <w:color w:val="auto"/>
          <w:highlight w:val="none"/>
        </w:rPr>
        <w:t>高速公路、国道、省道禁养区外延500米范围内</w:t>
      </w:r>
      <w:r>
        <w:rPr>
          <w:rFonts w:hint="eastAsia" w:ascii="Times New Roman" w:hAnsi="Times New Roman" w:cs="Times New Roman"/>
          <w:color w:val="auto"/>
          <w:highlight w:val="none"/>
          <w:lang w:eastAsia="zh-CN"/>
        </w:rPr>
        <w:t>。</w:t>
      </w:r>
    </w:p>
    <w:p>
      <w:pPr>
        <w:pageBreakBefore w:val="0"/>
        <w:wordWrap/>
        <w:bidi w:val="0"/>
        <w:adjustRightInd w:val="0"/>
        <w:ind w:left="0" w:leftChars="0" w:right="0" w:rightChars="0" w:firstLine="480"/>
        <w:rPr>
          <w:rFonts w:hint="eastAsia" w:ascii="Times New Roman" w:hAnsi="Times New Roman"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5）</w:t>
      </w:r>
      <w:r>
        <w:rPr>
          <w:rFonts w:hint="eastAsia" w:ascii="Times New Roman" w:hAnsi="Times New Roman" w:cs="Times New Roman"/>
          <w:color w:val="auto"/>
          <w:spacing w:val="-6"/>
          <w:kern w:val="0"/>
          <w:sz w:val="24"/>
          <w:highlight w:val="none"/>
        </w:rPr>
        <w:t>根据城镇发展规划和区域污染物排放总量控制要求，应当限制养殖的区域。</w:t>
      </w:r>
    </w:p>
    <w:p>
      <w:pPr>
        <w:pageBreakBefore w:val="0"/>
        <w:wordWrap/>
        <w:bidi w:val="0"/>
        <w:adjustRightInd w:val="0"/>
        <w:ind w:left="0" w:leftChars="0" w:right="0" w:rightChars="0" w:firstLine="480"/>
        <w:rPr>
          <w:rFonts w:hint="eastAsia" w:ascii="Times New Roman" w:hAnsi="Times New Roman" w:cs="Times New Roman"/>
          <w:color w:val="auto"/>
          <w:highlight w:val="none"/>
        </w:rPr>
      </w:pPr>
      <w:r>
        <w:rPr>
          <w:rFonts w:hint="eastAsia" w:ascii="Times New Roman" w:hAnsi="Times New Roman" w:cs="Times New Roman"/>
          <w:color w:val="auto"/>
          <w:highlight w:val="none"/>
        </w:rPr>
        <w:t>（三）下列区域属于可养区</w:t>
      </w:r>
    </w:p>
    <w:p>
      <w:pPr>
        <w:pageBreakBefore w:val="0"/>
        <w:wordWrap/>
        <w:bidi w:val="0"/>
        <w:adjustRightInd w:val="0"/>
        <w:ind w:left="0" w:leftChars="0" w:right="0" w:rightChars="0" w:firstLine="48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rPr>
        <w:t>未列入畜禽禁养区和畜禽限养区的，为可养区。</w:t>
      </w:r>
      <w:r>
        <w:rPr>
          <w:rFonts w:hint="eastAsia" w:ascii="Times New Roman" w:hAnsi="Times New Roman" w:cs="Times New Roman"/>
          <w:color w:val="auto"/>
          <w:highlight w:val="none"/>
          <w:lang w:eastAsia="zh-CN"/>
        </w:rPr>
        <w:t>”</w:t>
      </w:r>
    </w:p>
    <w:p>
      <w:pPr>
        <w:pageBreakBefore w:val="0"/>
        <w:wordWrap/>
        <w:bidi w:val="0"/>
        <w:adjustRightInd w:val="0"/>
        <w:ind w:left="0" w:leftChars="0" w:right="0" w:rightChars="0" w:firstLine="480"/>
        <w:rPr>
          <w:rFonts w:hint="eastAsia"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本项目建设于塔城市</w:t>
      </w:r>
      <w:r>
        <w:rPr>
          <w:rFonts w:hint="eastAsia" w:ascii="Times New Roman" w:hAnsi="Times New Roman" w:cs="Times New Roman"/>
          <w:color w:val="auto"/>
          <w:highlight w:val="none"/>
          <w:lang w:eastAsia="zh-CN"/>
        </w:rPr>
        <w:t>博孜达克镇三园子村，</w:t>
      </w:r>
      <w:r>
        <w:rPr>
          <w:rFonts w:hint="eastAsia" w:cs="Times New Roman"/>
          <w:color w:val="auto"/>
          <w:highlight w:val="none"/>
          <w:lang w:val="en-US" w:eastAsia="zh-CN"/>
        </w:rPr>
        <w:t>距离西南侧高速公路610m，</w:t>
      </w:r>
      <w:r>
        <w:rPr>
          <w:rFonts w:hint="eastAsia" w:ascii="Times New Roman" w:hAnsi="Times New Roman" w:cs="Times New Roman"/>
          <w:color w:val="auto"/>
          <w:highlight w:val="none"/>
          <w:lang w:val="en-US" w:eastAsia="zh-CN"/>
        </w:rPr>
        <w:t>不在</w:t>
      </w:r>
      <w:r>
        <w:rPr>
          <w:rFonts w:hint="eastAsia" w:ascii="Times New Roman" w:hAnsi="Times New Roman" w:cs="Times New Roman"/>
          <w:color w:val="auto"/>
          <w:highlight w:val="none"/>
          <w:lang w:eastAsia="zh-CN"/>
        </w:rPr>
        <w:t>禁养区、限养区</w:t>
      </w:r>
      <w:r>
        <w:rPr>
          <w:rFonts w:hint="eastAsia" w:ascii="Times New Roman" w:hAnsi="Times New Roman" w:cs="Times New Roman"/>
          <w:color w:val="auto"/>
          <w:highlight w:val="none"/>
          <w:lang w:val="en-US" w:eastAsia="zh-CN"/>
        </w:rPr>
        <w:t>范围内，所在区域属于</w:t>
      </w:r>
      <w:r>
        <w:rPr>
          <w:rFonts w:hint="eastAsia" w:ascii="Times New Roman" w:hAnsi="Times New Roman" w:cs="Times New Roman"/>
          <w:color w:val="auto"/>
          <w:highlight w:val="none"/>
          <w:lang w:eastAsia="zh-CN"/>
        </w:rPr>
        <w:t>可养区。</w:t>
      </w:r>
    </w:p>
    <w:p>
      <w:pPr>
        <w:pageBreakBefore w:val="0"/>
        <w:wordWrap/>
        <w:bidi w:val="0"/>
        <w:adjustRightInd w:val="0"/>
        <w:ind w:left="0" w:leftChars="0" w:right="0" w:rightChars="0" w:firstLine="480"/>
        <w:rPr>
          <w:rFonts w:hint="eastAsia" w:ascii="Times New Roman" w:hAnsi="Times New Roman" w:cs="Times New Roman"/>
          <w:color w:val="auto"/>
          <w:highlight w:val="none"/>
        </w:rPr>
      </w:pP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塔城市畜禽养殖禁养区和限养区划定工作实施方案》</w:t>
      </w:r>
      <w:r>
        <w:rPr>
          <w:rFonts w:hint="eastAsia" w:ascii="Times New Roman" w:hAnsi="Times New Roman" w:cs="Times New Roman"/>
          <w:color w:val="auto"/>
          <w:highlight w:val="none"/>
          <w:lang w:val="en-US" w:eastAsia="zh-CN"/>
        </w:rPr>
        <w:t>中提出</w:t>
      </w:r>
      <w:r>
        <w:rPr>
          <w:rFonts w:hint="eastAsia" w:ascii="Times New Roman" w:hAnsi="Times New Roman" w:cs="Times New Roman"/>
          <w:color w:val="auto"/>
          <w:highlight w:val="none"/>
        </w:rPr>
        <w:t>可养区管理</w:t>
      </w:r>
      <w:r>
        <w:rPr>
          <w:rFonts w:hint="eastAsia" w:ascii="Times New Roman" w:hAnsi="Times New Roman" w:cs="Times New Roman"/>
          <w:color w:val="auto"/>
          <w:highlight w:val="none"/>
          <w:lang w:val="en-US" w:eastAsia="zh-CN"/>
        </w:rPr>
        <w:t>：</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1）</w:t>
      </w:r>
      <w:r>
        <w:rPr>
          <w:rFonts w:hint="eastAsia" w:ascii="Times New Roman" w:hAnsi="Times New Roman" w:cs="Times New Roman"/>
          <w:color w:val="auto"/>
          <w:highlight w:val="none"/>
        </w:rPr>
        <w:t>新建、扩建和改建畜禽规模养殖场，必须严格按照国土、环保、规划、畜牧等部门相关规定的程序进行申请和审批。凡是未经审批的畜禽养殖场一律不准开工建设，一经发现，由所在地乡（镇）场人民政府、管委会牵头，市国土、住建、环保、城管等有关职能部门依法强制拆除，并处以5000元以上罚款。</w:t>
      </w:r>
    </w:p>
    <w:p>
      <w:pPr>
        <w:pageBreakBefore w:val="0"/>
        <w:wordWrap/>
        <w:bidi w:val="0"/>
        <w:adjustRightInd w:val="0"/>
        <w:ind w:left="0" w:leftChars="0" w:right="0" w:rightChars="0" w:firstLine="48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2）</w:t>
      </w:r>
      <w:r>
        <w:rPr>
          <w:rFonts w:hint="eastAsia" w:ascii="Times New Roman" w:hAnsi="Times New Roman" w:cs="Times New Roman"/>
          <w:color w:val="auto"/>
          <w:highlight w:val="none"/>
        </w:rPr>
        <w:t>各乡（镇）场应对本区域的养殖用地和养殖场布局进行科学规划，逐步实现生态养殖。在可养区范围内建设畜禽养殖场必须按照“控量减污”的原则，</w:t>
      </w:r>
      <w:r>
        <w:rPr>
          <w:rFonts w:hint="eastAsia" w:ascii="Times New Roman" w:hAnsi="Times New Roman" w:cs="Times New Roman"/>
          <w:color w:val="auto"/>
          <w:spacing w:val="-6"/>
          <w:sz w:val="24"/>
          <w:highlight w:val="none"/>
        </w:rPr>
        <w:t>根据养殖污染资源化利用水平、土地消纳能力和环境承载能力，合理控制养殖总量。</w:t>
      </w:r>
      <w:r>
        <w:rPr>
          <w:rFonts w:hint="eastAsia" w:ascii="Times New Roman" w:hAnsi="Times New Roman" w:cs="Times New Roman"/>
          <w:color w:val="auto"/>
          <w:spacing w:val="-6"/>
          <w:sz w:val="24"/>
          <w:highlight w:val="none"/>
          <w:lang w:eastAsia="zh-CN"/>
        </w:rPr>
        <w:t>”</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eastAsia" w:cs="Times New Roman"/>
          <w:color w:val="auto"/>
          <w:spacing w:val="-6"/>
          <w:kern w:val="0"/>
          <w:sz w:val="24"/>
          <w:highlight w:val="none"/>
          <w:lang w:val="en-US" w:eastAsia="zh-CN"/>
        </w:rPr>
        <w:t>本项目</w:t>
      </w:r>
      <w:r>
        <w:rPr>
          <w:rFonts w:hint="eastAsia" w:ascii="Times New Roman" w:hAnsi="Times New Roman" w:cs="Times New Roman"/>
          <w:color w:val="auto"/>
          <w:highlight w:val="none"/>
        </w:rPr>
        <w:t>严格按照国土、环保、规划、畜牧等部门相关规定的程序进行申请和审批</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审批批准后开工建设</w:t>
      </w:r>
      <w:r>
        <w:rPr>
          <w:rFonts w:hint="eastAsia" w:ascii="Times New Roman" w:hAnsi="Times New Roman" w:cs="Times New Roman"/>
          <w:color w:val="auto"/>
          <w:highlight w:val="none"/>
        </w:rPr>
        <w:t>。</w:t>
      </w:r>
      <w:r>
        <w:rPr>
          <w:rFonts w:hint="default" w:ascii="Times New Roman" w:hAnsi="Times New Roman" w:cs="Times New Roman"/>
          <w:color w:val="auto"/>
          <w:highlight w:val="none"/>
        </w:rPr>
        <w:t>本项目粪污经过堆肥后</w:t>
      </w:r>
      <w:r>
        <w:rPr>
          <w:rFonts w:hint="eastAsia" w:cs="Times New Roman"/>
          <w:color w:val="auto"/>
          <w:highlight w:val="none"/>
          <w:lang w:eastAsia="zh-CN"/>
        </w:rPr>
        <w:t>用于垫料及还田利用</w:t>
      </w:r>
      <w:r>
        <w:rPr>
          <w:rFonts w:hint="default" w:ascii="Times New Roman" w:hAnsi="Times New Roman" w:cs="Times New Roman"/>
          <w:color w:val="auto"/>
          <w:highlight w:val="none"/>
        </w:rPr>
        <w:t>，做到了资源综合利用。资源能源消耗在区域资源承载能力范围以内</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且本项目配套供应的玉米地可</w:t>
      </w:r>
      <w:r>
        <w:rPr>
          <w:rFonts w:hint="default" w:ascii="Times New Roman" w:hAnsi="Times New Roman" w:cs="Times New Roman"/>
          <w:color w:val="auto"/>
          <w:highlight w:val="none"/>
        </w:rPr>
        <w:t>消纳</w:t>
      </w:r>
      <w:r>
        <w:rPr>
          <w:rFonts w:hint="eastAsia" w:ascii="Times New Roman" w:hAnsi="Times New Roman" w:cs="Times New Roman"/>
          <w:color w:val="auto"/>
          <w:highlight w:val="none"/>
          <w:lang w:val="en-US" w:eastAsia="zh-CN"/>
        </w:rPr>
        <w:t>本项目产生的粪污</w:t>
      </w:r>
      <w:r>
        <w:rPr>
          <w:rFonts w:hint="default" w:ascii="Times New Roman" w:hAnsi="Times New Roman" w:cs="Times New Roman"/>
          <w:color w:val="auto"/>
          <w:highlight w:val="none"/>
        </w:rPr>
        <w:t>。</w:t>
      </w:r>
    </w:p>
    <w:p>
      <w:pPr>
        <w:pStyle w:val="4"/>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47" w:name="_Toc5292"/>
      <w:bookmarkStart w:id="48" w:name="_Toc16821"/>
      <w:bookmarkStart w:id="49" w:name="_Toc28809"/>
      <w:bookmarkStart w:id="50" w:name="_Toc2572"/>
      <w:bookmarkStart w:id="51" w:name="_Toc22269"/>
      <w:r>
        <w:rPr>
          <w:rFonts w:hint="default" w:ascii="Times New Roman" w:hAnsi="Times New Roman" w:cs="Times New Roman"/>
          <w:color w:val="auto"/>
          <w:highlight w:val="none"/>
        </w:rPr>
        <w:t>“三线一单”符合性分析</w:t>
      </w:r>
      <w:bookmarkEnd w:id="47"/>
      <w:bookmarkEnd w:id="48"/>
      <w:bookmarkEnd w:id="49"/>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根据生态环境部（原环境保护部）环环评[2016]150号《关于以改善环境质量为核心加强环境影响评价管理的通知》要求，</w:t>
      </w:r>
      <w:r>
        <w:rPr>
          <w:rFonts w:hint="default" w:ascii="Times New Roman" w:hAnsi="Times New Roman" w:cs="Times New Roman"/>
          <w:color w:val="auto"/>
        </w:rPr>
        <w:t>三线一清单中的三线是指“生态保护红</w:t>
      </w:r>
      <w:r>
        <w:rPr>
          <w:rFonts w:hint="default" w:ascii="Times New Roman" w:hAnsi="Times New Roman" w:cs="Times New Roman"/>
          <w:color w:val="auto"/>
          <w:highlight w:val="none"/>
        </w:rPr>
        <w:t>线、环境质量底线、资源利用上线”，一清单为负面清单。</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（1）生态保护红线</w:t>
      </w:r>
    </w:p>
    <w:p>
      <w:pPr>
        <w:pageBreakBefore w:val="0"/>
        <w:wordWrap/>
        <w:bidi w:val="0"/>
        <w:adjustRightInd w:val="0"/>
        <w:ind w:left="0" w:leftChars="0" w:right="0" w:rightChars="0" w:firstLine="480"/>
        <w:rPr>
          <w:rFonts w:hint="default" w:ascii="Times New Roman" w:hAnsi="Times New Roman" w:cs="Times New Roman"/>
          <w:color w:val="auto"/>
          <w:highlight w:val="yellow"/>
        </w:rPr>
      </w:pPr>
      <w:r>
        <w:rPr>
          <w:rFonts w:hint="default" w:ascii="Times New Roman" w:hAnsi="Times New Roman" w:cs="Times New Roman"/>
          <w:color w:val="auto"/>
          <w:highlight w:val="none"/>
        </w:rPr>
        <w:t>本项目建设于</w:t>
      </w:r>
      <w:r>
        <w:rPr>
          <w:rFonts w:hint="default" w:ascii="Times New Roman" w:hAnsi="Times New Roman" w:cs="Times New Roman"/>
          <w:color w:val="auto"/>
          <w:highlight w:val="none"/>
          <w:lang w:eastAsia="zh-CN"/>
        </w:rPr>
        <w:t>塔城市</w:t>
      </w:r>
      <w:r>
        <w:rPr>
          <w:rFonts w:hint="eastAsia" w:cs="Times New Roman"/>
          <w:color w:val="auto"/>
          <w:highlight w:val="none"/>
          <w:lang w:eastAsia="zh-CN"/>
        </w:rPr>
        <w:t>博孜达克镇三园子村</w:t>
      </w:r>
      <w:r>
        <w:rPr>
          <w:rFonts w:hint="default" w:ascii="Times New Roman" w:hAnsi="Times New Roman" w:cs="Times New Roman"/>
          <w:color w:val="auto"/>
          <w:highlight w:val="none"/>
        </w:rPr>
        <w:t>，项目不占用基本农田，不涉及自然保护区、风景名胜区等生态环境敏感区，项目区不位于生态保护红线禁止开</w:t>
      </w:r>
      <w:r>
        <w:rPr>
          <w:rFonts w:hint="default" w:ascii="Times New Roman" w:hAnsi="Times New Roman" w:cs="Times New Roman"/>
          <w:color w:val="auto"/>
          <w:highlight w:val="none"/>
          <w:lang w:val="en-US" w:eastAsia="zh-CN"/>
        </w:rPr>
        <w:t>发</w:t>
      </w:r>
      <w:r>
        <w:rPr>
          <w:rFonts w:hint="default" w:ascii="Times New Roman" w:hAnsi="Times New Roman" w:cs="Times New Roman"/>
          <w:color w:val="auto"/>
          <w:highlight w:val="none"/>
        </w:rPr>
        <w:t>区域。项目建设符合生态保护红线要求。</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（2）环境质量底线</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环境质量底线就是只能改善不能恶化。大气环境质量底线就是在符合大气环区域功能区划和大气环境管理的基础上，确保大气污染物排放不对区域功能区划造成影响，污染物排放总量低于大气环境容量。</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1）大气环境：项目大气执行《环境空气质量标准》（GB3095</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2012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中二级标准，项目在严格执行环评中所提出的恶臭</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颗粒物</w:t>
      </w:r>
      <w:r>
        <w:rPr>
          <w:rFonts w:hint="default" w:ascii="Times New Roman" w:hAnsi="Times New Roman" w:cs="Times New Roman"/>
          <w:color w:val="auto"/>
          <w:highlight w:val="none"/>
        </w:rPr>
        <w:t>等废气治理措施后，满足相应排放标准，排放量较少，对环境空气影响较小，不会降低区域环境空气质量。</w:t>
      </w:r>
    </w:p>
    <w:p>
      <w:pPr>
        <w:pageBreakBefore w:val="0"/>
        <w:wordWrap/>
        <w:bidi w:val="0"/>
        <w:adjustRightInd w:val="0"/>
        <w:ind w:left="0" w:leftChars="0" w:right="0" w:rightChars="0" w:firstLine="480"/>
        <w:rPr>
          <w:rFonts w:hint="default" w:ascii="Times New Roman" w:hAnsi="Times New Roman" w:cs="Times New Roman"/>
          <w:color w:val="auto"/>
          <w:highlight w:val="yellow"/>
        </w:rPr>
      </w:pPr>
      <w:r>
        <w:rPr>
          <w:rFonts w:hint="default" w:ascii="Times New Roman" w:hAnsi="Times New Roman" w:cs="Times New Roman"/>
          <w:color w:val="auto"/>
          <w:highlight w:val="none"/>
        </w:rPr>
        <w:t>2）水环境：项目区周边地下水环境质量执行《地下水质量标准》（GB/T14848</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2017）中Ⅲ类标准，项目</w:t>
      </w:r>
      <w:r>
        <w:rPr>
          <w:rFonts w:hint="eastAsia" w:cs="Times New Roman"/>
          <w:color w:val="auto"/>
          <w:highlight w:val="none"/>
          <w:lang w:val="en-US" w:eastAsia="zh-CN"/>
        </w:rPr>
        <w:t>挤奶厅设备和地面清洗废水</w:t>
      </w:r>
      <w:r>
        <w:rPr>
          <w:rFonts w:hint="default" w:ascii="Times New Roman" w:hAnsi="Times New Roman" w:cs="Times New Roman"/>
          <w:color w:val="auto"/>
          <w:highlight w:val="none"/>
          <w:lang w:val="en-US" w:eastAsia="zh-CN"/>
        </w:rPr>
        <w:t>及</w:t>
      </w:r>
      <w:r>
        <w:rPr>
          <w:rFonts w:hint="default" w:ascii="Times New Roman" w:hAnsi="Times New Roman" w:eastAsia="宋体" w:cs="Times New Roman"/>
          <w:color w:val="auto"/>
          <w:highlight w:val="none"/>
          <w:lang w:eastAsia="zh-CN"/>
        </w:rPr>
        <w:t>生活污水进入</w:t>
      </w:r>
      <w:r>
        <w:rPr>
          <w:rFonts w:hint="default" w:ascii="Times New Roman" w:hAnsi="Times New Roman" w:cs="Times New Roman"/>
          <w:color w:val="auto"/>
          <w:highlight w:val="none"/>
          <w:lang w:eastAsia="zh-CN"/>
        </w:rPr>
        <w:t>集污池收集后</w:t>
      </w:r>
      <w:r>
        <w:rPr>
          <w:rFonts w:hint="default" w:ascii="Times New Roman" w:hAnsi="Times New Roman" w:eastAsia="宋体" w:cs="Times New Roman"/>
          <w:color w:val="auto"/>
          <w:highlight w:val="none"/>
          <w:lang w:val="en-US" w:eastAsia="zh-CN"/>
        </w:rPr>
        <w:t>定期</w:t>
      </w:r>
      <w:r>
        <w:rPr>
          <w:rFonts w:hint="eastAsia" w:cs="Times New Roman"/>
          <w:color w:val="auto"/>
          <w:highlight w:val="none"/>
          <w:lang w:val="en-US" w:eastAsia="zh-CN"/>
        </w:rPr>
        <w:t>清掏拉运</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不外排，</w:t>
      </w:r>
      <w:r>
        <w:rPr>
          <w:rFonts w:hint="default" w:ascii="Times New Roman" w:hAnsi="Times New Roman" w:cs="Times New Roman"/>
          <w:color w:val="auto"/>
          <w:highlight w:val="none"/>
        </w:rPr>
        <w:t>项目建成后对地表水环境质量影响较小，不会降低区域水环境质量。</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3）声环境：项目所在区域为</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类声环境功能区，根据环境噪声现状监测结果，项目区域目前能够满足《声环境质量标准》（GB3096</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2008）中</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类声环境功能区要求，本项目建成后噪声产生量小，能满足《声环境质量标准》（GB3096</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2008）中</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类声环境功能区环境噪声限值，项目建设运营不会改变项目所在区域的声环境功能，因此项目的建设声环境质量是符合要求的。</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综上，本项目建设符合环境质量底线要求的。</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（3）资源利用上线</w:t>
      </w:r>
    </w:p>
    <w:p>
      <w:pPr>
        <w:pageBreakBefore w:val="0"/>
        <w:wordWrap/>
        <w:bidi w:val="0"/>
        <w:adjustRightInd w:val="0"/>
        <w:ind w:left="0" w:leftChars="0" w:right="0" w:rightChars="0" w:firstLine="480"/>
        <w:rPr>
          <w:rFonts w:hint="default" w:ascii="Times New Roman" w:hAnsi="Times New Roman" w:cs="Times New Roman"/>
          <w:color w:val="auto"/>
          <w:highlight w:val="yellow"/>
        </w:rPr>
      </w:pPr>
      <w:r>
        <w:rPr>
          <w:rFonts w:hint="default" w:ascii="Times New Roman" w:hAnsi="Times New Roman" w:cs="Times New Roman"/>
          <w:color w:val="auto"/>
          <w:highlight w:val="none"/>
        </w:rPr>
        <w:t>项目主要利用资源、能源为</w:t>
      </w:r>
      <w:r>
        <w:rPr>
          <w:rFonts w:hint="default" w:ascii="Times New Roman" w:hAnsi="Times New Roman" w:cs="Times New Roman"/>
          <w:color w:val="auto"/>
          <w:szCs w:val="24"/>
          <w:highlight w:val="none"/>
        </w:rPr>
        <w:t>土地资源</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highlight w:val="none"/>
        </w:rPr>
        <w:t>水资源和电能。本项目不属于高耗能行业，资源能源消耗在区域资源承载能力范围以内，项目资源、能源消耗符合资源利用上线要求。</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（4）生态环境准入清单</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根据《新疆维吾尔自治区28个国家重点生态功能区县（市）产业准入负面清单》（实行）和《新疆维吾尔自治区17个新增纳入国家重点生态功能区县（市）产业准入负面清单》（试行），</w:t>
      </w:r>
      <w:r>
        <w:rPr>
          <w:rFonts w:hint="default" w:ascii="Times New Roman" w:hAnsi="Times New Roman" w:cs="Times New Roman"/>
          <w:color w:val="auto"/>
          <w:highlight w:val="none"/>
          <w:lang w:val="en-US" w:eastAsia="zh-CN"/>
        </w:rPr>
        <w:t>塔城市</w:t>
      </w:r>
      <w:r>
        <w:rPr>
          <w:rFonts w:hint="default" w:ascii="Times New Roman" w:hAnsi="Times New Roman" w:cs="Times New Roman"/>
          <w:color w:val="auto"/>
          <w:highlight w:val="none"/>
        </w:rPr>
        <w:t>未被列入其中，因此本项目的建设不违反自治区重点生态功能区县（市）产业准入负面清单的规定。</w:t>
      </w:r>
    </w:p>
    <w:p>
      <w:pPr>
        <w:pageBreakBefore w:val="0"/>
        <w:widowControl/>
        <w:wordWrap/>
        <w:bidi w:val="0"/>
        <w:adjustRightInd w:val="0"/>
        <w:ind w:left="0" w:leftChars="0" w:right="0" w:rightChars="0"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本项目为</w:t>
      </w:r>
      <w:r>
        <w:rPr>
          <w:rFonts w:hint="default" w:ascii="Times New Roman" w:hAnsi="Times New Roman" w:cs="Times New Roman"/>
          <w:color w:val="auto"/>
          <w:highlight w:val="none"/>
          <w:lang w:val="en-US" w:eastAsia="zh-CN"/>
        </w:rPr>
        <w:t>畜禽养殖项目</w:t>
      </w:r>
      <w:r>
        <w:rPr>
          <w:rFonts w:hint="default" w:ascii="Times New Roman" w:hAnsi="Times New Roman" w:cs="Times New Roman"/>
          <w:color w:val="auto"/>
          <w:highlight w:val="none"/>
        </w:rPr>
        <w:t>，根据《市场准入负面清单（20</w:t>
      </w:r>
      <w:r>
        <w:rPr>
          <w:rFonts w:hint="default" w:ascii="Times New Roman" w:hAnsi="Times New Roman" w:cs="Times New Roman"/>
          <w:color w:val="auto"/>
          <w:highlight w:val="none"/>
          <w:lang w:val="en-US" w:eastAsia="zh-CN"/>
        </w:rPr>
        <w:t>22</w:t>
      </w:r>
      <w:r>
        <w:rPr>
          <w:rFonts w:hint="default" w:ascii="Times New Roman" w:hAnsi="Times New Roman" w:cs="Times New Roman"/>
          <w:color w:val="auto"/>
          <w:highlight w:val="none"/>
        </w:rPr>
        <w:t>年版）》，项目属于许可准入类产业，项目建设符合《市场准入负面清单（20</w:t>
      </w:r>
      <w:r>
        <w:rPr>
          <w:rFonts w:hint="default" w:ascii="Times New Roman" w:hAnsi="Times New Roman" w:cs="Times New Roman"/>
          <w:color w:val="auto"/>
          <w:highlight w:val="none"/>
          <w:lang w:val="en-US" w:eastAsia="zh-CN"/>
        </w:rPr>
        <w:t>22</w:t>
      </w:r>
      <w:r>
        <w:rPr>
          <w:rFonts w:hint="default" w:ascii="Times New Roman" w:hAnsi="Times New Roman" w:cs="Times New Roman"/>
          <w:color w:val="auto"/>
          <w:highlight w:val="none"/>
        </w:rPr>
        <w:t>年版）》规定。</w:t>
      </w:r>
      <w:r>
        <w:rPr>
          <w:rFonts w:hint="default" w:ascii="Times New Roman" w:hAnsi="Times New Roman" w:cs="Times New Roman"/>
          <w:color w:val="auto"/>
          <w:kern w:val="0"/>
          <w:szCs w:val="24"/>
          <w:highlight w:val="none"/>
          <w:lang w:bidi="ar"/>
        </w:rPr>
        <w:t>项目符合当地环境准入要求。</w:t>
      </w:r>
    </w:p>
    <w:p>
      <w:pPr>
        <w:pageBreakBefore w:val="0"/>
        <w:wordWrap/>
        <w:bidi w:val="0"/>
        <w:adjustRightInd w:val="0"/>
        <w:spacing w:line="360" w:lineRule="auto"/>
        <w:ind w:left="0" w:leftChars="0" w:right="0" w:rightChars="0" w:firstLine="480" w:firstLineChars="200"/>
        <w:rPr>
          <w:rFonts w:hint="default" w:ascii="Times New Roman" w:hAnsi="Times New Roman" w:eastAsia="宋体" w:cs="Times New Roman"/>
          <w:caps w:val="0"/>
          <w:color w:val="auto"/>
          <w:spacing w:val="0"/>
          <w:position w:val="0"/>
          <w:sz w:val="24"/>
          <w:highlight w:val="none"/>
          <w:lang w:val="en-US" w:eastAsia="zh-CN"/>
        </w:rPr>
      </w:pPr>
      <w:r>
        <w:rPr>
          <w:rFonts w:hint="default" w:ascii="Times New Roman" w:hAnsi="Times New Roman" w:eastAsia="宋体" w:cs="Times New Roman"/>
          <w:caps w:val="0"/>
          <w:color w:val="auto"/>
          <w:spacing w:val="0"/>
          <w:position w:val="0"/>
          <w:sz w:val="24"/>
          <w:highlight w:val="none"/>
          <w:lang w:val="en-US" w:eastAsia="zh-CN"/>
        </w:rPr>
        <w:t>伊犁哈萨克自治州塔城地区行政公署以塔行发[2021]48号文发布了《关于印发&lt;塔城地区“三线一单”生态环境分区管控方法&gt;的通知》以下简称《通知》。根据《通知》，塔城地区共划分108个环境管控单元，分为优先保护单元、重点管控单元、一般管控单元三类，实施分类管控。</w:t>
      </w:r>
    </w:p>
    <w:p>
      <w:pPr>
        <w:pageBreakBefore w:val="0"/>
        <w:wordWrap/>
        <w:bidi w:val="0"/>
        <w:adjustRightInd w:val="0"/>
        <w:spacing w:line="360" w:lineRule="auto"/>
        <w:ind w:left="0" w:leftChars="0" w:right="0" w:rightChars="0" w:firstLine="480" w:firstLineChars="200"/>
        <w:rPr>
          <w:rFonts w:hint="default" w:ascii="Times New Roman" w:hAnsi="Times New Roman" w:eastAsia="宋体" w:cs="Times New Roman"/>
          <w:caps w:val="0"/>
          <w:color w:val="auto"/>
          <w:spacing w:val="0"/>
          <w:position w:val="0"/>
          <w:sz w:val="24"/>
          <w:highlight w:val="none"/>
          <w:lang w:val="en-US" w:eastAsia="zh-CN"/>
        </w:rPr>
      </w:pPr>
      <w:r>
        <w:rPr>
          <w:rFonts w:hint="default" w:ascii="Times New Roman" w:hAnsi="Times New Roman" w:eastAsia="宋体" w:cs="Times New Roman"/>
          <w:caps w:val="0"/>
          <w:color w:val="auto"/>
          <w:spacing w:val="0"/>
          <w:position w:val="0"/>
          <w:sz w:val="24"/>
          <w:highlight w:val="none"/>
          <w:lang w:val="en-US" w:eastAsia="zh-CN"/>
        </w:rPr>
        <w:t>本项目位于塔城市</w:t>
      </w:r>
      <w:r>
        <w:rPr>
          <w:rFonts w:hint="eastAsia" w:cs="Times New Roman"/>
          <w:caps w:val="0"/>
          <w:color w:val="auto"/>
          <w:spacing w:val="0"/>
          <w:position w:val="0"/>
          <w:sz w:val="24"/>
          <w:highlight w:val="none"/>
          <w:lang w:val="en-US" w:eastAsia="zh-CN"/>
        </w:rPr>
        <w:t>博孜达克镇三园子村</w:t>
      </w:r>
      <w:r>
        <w:rPr>
          <w:rFonts w:hint="default" w:ascii="Times New Roman" w:hAnsi="Times New Roman" w:eastAsia="宋体" w:cs="Times New Roman"/>
          <w:caps w:val="0"/>
          <w:color w:val="auto"/>
          <w:spacing w:val="0"/>
          <w:position w:val="0"/>
          <w:sz w:val="24"/>
          <w:highlight w:val="none"/>
          <w:lang w:val="en-US" w:eastAsia="zh-CN"/>
        </w:rPr>
        <w:t>，根据《通知》塔城地区环境管控单元分布图，本项目处于</w:t>
      </w:r>
      <w:r>
        <w:rPr>
          <w:rFonts w:hint="default" w:ascii="Times New Roman" w:hAnsi="Times New Roman" w:cs="Times New Roman"/>
          <w:caps w:val="0"/>
          <w:color w:val="auto"/>
          <w:spacing w:val="0"/>
          <w:position w:val="0"/>
          <w:sz w:val="24"/>
          <w:highlight w:val="none"/>
          <w:lang w:val="en-US" w:eastAsia="zh-CN"/>
        </w:rPr>
        <w:t>优先保护</w:t>
      </w:r>
      <w:r>
        <w:rPr>
          <w:rFonts w:hint="default" w:ascii="Times New Roman" w:hAnsi="Times New Roman" w:eastAsia="宋体" w:cs="Times New Roman"/>
          <w:caps w:val="0"/>
          <w:color w:val="auto"/>
          <w:spacing w:val="0"/>
          <w:position w:val="0"/>
          <w:sz w:val="24"/>
          <w:highlight w:val="none"/>
          <w:lang w:val="en-US" w:eastAsia="zh-CN"/>
        </w:rPr>
        <w:t>单元，单元编码：ZH654201</w:t>
      </w:r>
      <w:r>
        <w:rPr>
          <w:rFonts w:hint="default" w:ascii="Times New Roman" w:hAnsi="Times New Roman" w:cs="Times New Roman"/>
          <w:caps w:val="0"/>
          <w:color w:val="auto"/>
          <w:spacing w:val="0"/>
          <w:position w:val="0"/>
          <w:sz w:val="24"/>
          <w:highlight w:val="none"/>
          <w:lang w:val="en-US" w:eastAsia="zh-CN"/>
        </w:rPr>
        <w:t>1</w:t>
      </w:r>
      <w:r>
        <w:rPr>
          <w:rFonts w:hint="default" w:ascii="Times New Roman" w:hAnsi="Times New Roman" w:eastAsia="宋体" w:cs="Times New Roman"/>
          <w:caps w:val="0"/>
          <w:color w:val="auto"/>
          <w:spacing w:val="0"/>
          <w:position w:val="0"/>
          <w:sz w:val="24"/>
          <w:highlight w:val="none"/>
          <w:lang w:val="en-US" w:eastAsia="zh-CN"/>
        </w:rPr>
        <w:t>0003，管控单元名称：塔城市一般生态空间01。本项目与塔城地区环境管控单元分布图位置关系详见图</w:t>
      </w:r>
      <w:r>
        <w:rPr>
          <w:rFonts w:hint="default" w:ascii="Times New Roman" w:hAnsi="Times New Roman" w:cs="Times New Roman"/>
          <w:caps w:val="0"/>
          <w:color w:val="auto"/>
          <w:spacing w:val="0"/>
          <w:position w:val="0"/>
          <w:sz w:val="24"/>
          <w:highlight w:val="none"/>
          <w:lang w:val="en-US" w:eastAsia="zh-CN"/>
        </w:rPr>
        <w:t>1.</w:t>
      </w:r>
      <w:r>
        <w:rPr>
          <w:rFonts w:hint="eastAsia" w:cs="Times New Roman"/>
          <w:caps w:val="0"/>
          <w:color w:val="auto"/>
          <w:spacing w:val="0"/>
          <w:position w:val="0"/>
          <w:sz w:val="24"/>
          <w:highlight w:val="none"/>
          <w:lang w:val="en-US" w:eastAsia="zh-CN"/>
        </w:rPr>
        <w:t>4</w:t>
      </w:r>
      <w:r>
        <w:rPr>
          <w:rFonts w:hint="default" w:ascii="Times New Roman" w:hAnsi="Times New Roman" w:cs="Times New Roman"/>
          <w:caps w:val="0"/>
          <w:color w:val="auto"/>
          <w:spacing w:val="0"/>
          <w:position w:val="0"/>
          <w:sz w:val="24"/>
          <w:highlight w:val="none"/>
          <w:lang w:val="en-US" w:eastAsia="zh-CN"/>
        </w:rPr>
        <w:t>-1</w:t>
      </w:r>
      <w:r>
        <w:rPr>
          <w:rFonts w:hint="default" w:ascii="Times New Roman" w:hAnsi="Times New Roman" w:eastAsia="宋体" w:cs="Times New Roman"/>
          <w:caps w:val="0"/>
          <w:color w:val="auto"/>
          <w:spacing w:val="0"/>
          <w:position w:val="0"/>
          <w:sz w:val="24"/>
          <w:highlight w:val="none"/>
          <w:lang w:val="en-US" w:eastAsia="zh-CN"/>
        </w:rPr>
        <w:t>。具体管控要求见表1.</w:t>
      </w:r>
      <w:r>
        <w:rPr>
          <w:rFonts w:hint="eastAsia" w:cs="Times New Roman"/>
          <w:caps w:val="0"/>
          <w:color w:val="auto"/>
          <w:spacing w:val="0"/>
          <w:position w:val="0"/>
          <w:sz w:val="24"/>
          <w:highlight w:val="none"/>
          <w:lang w:val="en-US" w:eastAsia="zh-CN"/>
        </w:rPr>
        <w:t>4-1</w:t>
      </w:r>
      <w:r>
        <w:rPr>
          <w:rFonts w:hint="default" w:ascii="Times New Roman" w:hAnsi="Times New Roman" w:eastAsia="宋体" w:cs="Times New Roman"/>
          <w:caps w:val="0"/>
          <w:color w:val="auto"/>
          <w:spacing w:val="0"/>
          <w:position w:val="0"/>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表1.</w:t>
      </w:r>
      <w:r>
        <w:rPr>
          <w:rFonts w:hint="eastAsia" w:cs="Times New Roman"/>
          <w:b/>
          <w:bCs/>
          <w:color w:val="auto"/>
          <w:sz w:val="24"/>
          <w:szCs w:val="24"/>
          <w:highlight w:val="none"/>
          <w:lang w:val="en-US" w:eastAsia="zh-CN"/>
        </w:rPr>
        <w:t>4-1</w:t>
      </w:r>
      <w:r>
        <w:rPr>
          <w:rFonts w:hint="default" w:ascii="Times New Roman" w:hAnsi="Times New Roman" w:eastAsia="宋体" w:cs="Times New Roman"/>
          <w:b/>
          <w:bCs/>
          <w:color w:val="auto"/>
          <w:sz w:val="24"/>
          <w:szCs w:val="24"/>
          <w:highlight w:val="none"/>
          <w:lang w:val="en-US" w:eastAsia="zh-CN"/>
        </w:rPr>
        <w:t xml:space="preserve">    管控单元要求符合性分析一览表</w:t>
      </w:r>
    </w:p>
    <w:tbl>
      <w:tblPr>
        <w:tblStyle w:val="3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1"/>
        <w:gridCol w:w="5033"/>
        <w:gridCol w:w="27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管控</w:t>
            </w:r>
            <w:r>
              <w:rPr>
                <w:rFonts w:hint="default" w:ascii="Times New Roman" w:hAnsi="Times New Roman" w:cs="Times New Roman"/>
                <w:b/>
                <w:bCs/>
                <w:color w:val="auto"/>
                <w:sz w:val="21"/>
                <w:szCs w:val="21"/>
                <w:highlight w:val="none"/>
                <w:lang w:val="en-US" w:eastAsia="zh-CN"/>
              </w:rPr>
              <w:t>单元名称</w:t>
            </w:r>
          </w:p>
        </w:tc>
        <w:tc>
          <w:tcPr>
            <w:tcW w:w="28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管控要求</w:t>
            </w:r>
          </w:p>
        </w:tc>
        <w:tc>
          <w:tcPr>
            <w:tcW w:w="15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项目符合性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空间布局约束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1" w:hRule="atLeast"/>
          <w:jc w:val="center"/>
        </w:trPr>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塔城市</w:t>
            </w:r>
            <w:r>
              <w:rPr>
                <w:rFonts w:hint="default" w:ascii="Times New Roman" w:hAnsi="Times New Roman" w:cs="Times New Roman"/>
                <w:color w:val="auto"/>
                <w:sz w:val="21"/>
                <w:szCs w:val="21"/>
                <w:highlight w:val="none"/>
                <w:lang w:val="en-US" w:eastAsia="zh-CN"/>
              </w:rPr>
              <w:t>一般生态空间01</w:t>
            </w:r>
          </w:p>
        </w:tc>
        <w:tc>
          <w:tcPr>
            <w:tcW w:w="28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1、执行自治区</w:t>
            </w:r>
            <w:r>
              <w:rPr>
                <w:rFonts w:hint="default" w:ascii="Times New Roman" w:hAnsi="Times New Roman" w:cs="Times New Roman"/>
                <w:color w:val="auto"/>
                <w:sz w:val="21"/>
                <w:szCs w:val="21"/>
                <w:highlight w:val="none"/>
                <w:lang w:val="en-US" w:eastAsia="zh-CN"/>
              </w:rPr>
              <w:t>管控单元分区管控</w:t>
            </w:r>
            <w:r>
              <w:rPr>
                <w:rFonts w:hint="default" w:ascii="Times New Roman" w:hAnsi="Times New Roman" w:eastAsia="宋体" w:cs="Times New Roman"/>
                <w:color w:val="auto"/>
                <w:sz w:val="21"/>
                <w:szCs w:val="21"/>
                <w:highlight w:val="none"/>
                <w:lang w:val="en-US" w:eastAsia="zh-CN"/>
              </w:rPr>
              <w:t>要求[A</w:t>
            </w:r>
            <w:r>
              <w:rPr>
                <w:rFonts w:hint="default" w:ascii="Times New Roman" w:hAnsi="Times New Roman" w:cs="Times New Roman"/>
                <w:color w:val="auto"/>
                <w:sz w:val="21"/>
                <w:szCs w:val="21"/>
                <w:highlight w:val="none"/>
                <w:lang w:val="en-US" w:eastAsia="zh-CN"/>
              </w:rPr>
              <w:t>5.2.2</w:t>
            </w:r>
            <w:r>
              <w:rPr>
                <w:rFonts w:hint="default" w:ascii="Times New Roman" w:hAnsi="Times New Roman" w:eastAsia="宋体" w:cs="Times New Roman"/>
                <w:color w:val="auto"/>
                <w:sz w:val="21"/>
                <w:szCs w:val="21"/>
                <w:highlight w:val="none"/>
                <w:lang w:val="en-US" w:eastAsia="zh-CN"/>
              </w:rPr>
              <w:t>][A</w:t>
            </w:r>
            <w:r>
              <w:rPr>
                <w:rFonts w:hint="default" w:ascii="Times New Roman" w:hAnsi="Times New Roman" w:cs="Times New Roman"/>
                <w:color w:val="auto"/>
                <w:sz w:val="21"/>
                <w:szCs w:val="21"/>
                <w:highlight w:val="none"/>
                <w:lang w:val="en-US" w:eastAsia="zh-CN"/>
              </w:rPr>
              <w:t>5.2.5</w:t>
            </w:r>
            <w:r>
              <w:rPr>
                <w:rFonts w:hint="default" w:ascii="Times New Roman" w:hAnsi="Times New Roman" w:eastAsia="宋体" w:cs="Times New Roman"/>
                <w:color w:val="auto"/>
                <w:sz w:val="21"/>
                <w:szCs w:val="21"/>
                <w:highlight w:val="none"/>
                <w:lang w:val="en-US" w:eastAsia="zh-CN"/>
              </w:rPr>
              <w:t>]条要求。</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【A5.2.2-1】维护自然生态平衡，发挥荒漠草原生态功能。同时加强小流域综合治理，控制人为因素对土壤的侵蚀，恢复退化植被。保护草地植被，保护野生动物，保护河流水质。</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A5.2.2-2】在侵蚀沟的沟坡和沟岸、河流的两岸以及湖泊和水库的周边，土地所有权人、使用权人或者有关管理单位应当营造植物保护带。禁止开垦、开发植物保护带。在二十五度以上陡坡地种植经济林的，应当科学选择树种，合理确定规模，采取水土保持措施，防止造成水土流失。生产建设项目选址、选线应当避让水土流失重点预防区和重点治理区；无法避让的，应当提高防治标准，优化施工工艺，减少地表扰动和植被损坏范围，有效控制可能造成的水土流失。</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【A5.2.2-3】严格保护植被、沙壳、结皮等具有水土保持功能的原生地貌，防止水土流失。</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水土流失重点预防区和重点治理区人民政府应当按照水土保持规划，加强水土保持重点工程建设，并采取下列水土保持措施加大生态修复力度：（一）坡面治理、沟道防护、山洪排导等工程措施；（二）造林、种草、封育保护等生物措施和生态修复措施。</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A5.2.5-1】全面实施保护天然林、退耕还林、退牧还草工程。在水土流失严重并可能对当地或下游造成严重危害的区域实施水土保持工程，进行重点治理。严格资源开发和建设项目的生态监管，控制新的人为水土流失。</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left"/>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21"/>
                <w:szCs w:val="21"/>
                <w:highlight w:val="none"/>
                <w:lang w:val="en-US" w:eastAsia="zh-CN"/>
              </w:rPr>
              <w:t>【A5.2.5-2】加强对取土、挖砂、采石等活动的管理，预防和减轻水土流失。生产建设项目选址、选线应当避让水土流失重点预防区和重点治理区；无法避让的，应当提高防治标准，优化施工工艺，减少地表扰动和植被损坏范围，有效控制可能造成的水土流失。</w:t>
            </w:r>
          </w:p>
        </w:tc>
        <w:tc>
          <w:tcPr>
            <w:tcW w:w="15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left"/>
              <w:textAlignment w:val="auto"/>
              <w:rPr>
                <w:rFonts w:hint="default" w:ascii="Times New Roman" w:hAnsi="Times New Roman" w:cs="Times New Roman"/>
                <w:color w:val="auto"/>
                <w:spacing w:val="-6"/>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本项目属于畜禽养殖场（小区）</w:t>
            </w:r>
            <w:r>
              <w:rPr>
                <w:rFonts w:hint="default" w:ascii="Times New Roman" w:hAnsi="Times New Roman" w:cs="Times New Roman"/>
                <w:color w:val="auto"/>
                <w:sz w:val="21"/>
                <w:szCs w:val="21"/>
                <w:highlight w:val="none"/>
                <w:lang w:val="en-US" w:eastAsia="zh-CN"/>
              </w:rPr>
              <w:t>建设项目，项目区内绿化。本项目产生的粪污</w:t>
            </w:r>
            <w:r>
              <w:rPr>
                <w:rFonts w:hint="default" w:ascii="Times New Roman" w:hAnsi="Times New Roman" w:eastAsia="宋体" w:cs="Times New Roman"/>
                <w:color w:val="auto"/>
                <w:spacing w:val="-6"/>
                <w:sz w:val="21"/>
                <w:szCs w:val="21"/>
                <w:highlight w:val="none"/>
              </w:rPr>
              <w:t>经过堆肥后</w:t>
            </w:r>
            <w:r>
              <w:rPr>
                <w:rFonts w:hint="eastAsia" w:cs="Times New Roman"/>
                <w:color w:val="auto"/>
                <w:spacing w:val="-6"/>
                <w:sz w:val="21"/>
                <w:szCs w:val="21"/>
                <w:highlight w:val="none"/>
                <w:lang w:eastAsia="zh-CN"/>
              </w:rPr>
              <w:t>用于垫料及还田利用</w:t>
            </w:r>
            <w:r>
              <w:rPr>
                <w:rFonts w:hint="default" w:ascii="Times New Roman" w:hAnsi="Times New Roman" w:cs="Times New Roman"/>
                <w:color w:val="auto"/>
                <w:spacing w:val="-6"/>
                <w:sz w:val="21"/>
                <w:szCs w:val="21"/>
                <w:highlight w:val="none"/>
                <w:lang w:eastAsia="zh-CN"/>
              </w:rPr>
              <w:t>。</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left"/>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spacing w:val="-6"/>
                <w:sz w:val="21"/>
                <w:szCs w:val="21"/>
                <w:highlight w:val="none"/>
                <w:lang w:val="en-US" w:eastAsia="zh-CN"/>
              </w:rPr>
              <w:t>本项目不位于</w:t>
            </w:r>
            <w:r>
              <w:rPr>
                <w:rFonts w:hint="default" w:ascii="Times New Roman" w:hAnsi="Times New Roman" w:cs="Times New Roman"/>
                <w:color w:val="auto"/>
                <w:sz w:val="21"/>
                <w:szCs w:val="21"/>
                <w:highlight w:val="none"/>
                <w:lang w:val="en-US" w:eastAsia="zh-CN"/>
              </w:rPr>
              <w:t>侵蚀沟。</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综上，本项目符合空间布局约束总体要求。</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caps w:val="0"/>
          <w:color w:val="auto"/>
          <w:spacing w:val="0"/>
          <w:position w:val="0"/>
          <w:sz w:val="24"/>
          <w:highlight w:val="none"/>
          <w:lang w:val="en-US" w:eastAsia="zh-CN"/>
        </w:rPr>
      </w:pPr>
      <w:r>
        <w:rPr>
          <w:rFonts w:hint="default" w:ascii="Times New Roman" w:hAnsi="Times New Roman" w:eastAsia="宋体" w:cs="Times New Roman"/>
          <w:b w:val="0"/>
          <w:bCs w:val="0"/>
          <w:caps w:val="0"/>
          <w:color w:val="auto"/>
          <w:spacing w:val="0"/>
          <w:position w:val="0"/>
          <w:sz w:val="24"/>
          <w:highlight w:val="none"/>
          <w:lang w:val="en-US" w:eastAsia="zh-CN"/>
        </w:rPr>
        <w:t>经过与《塔城地区“三线一单”生态环境分区管控方法》进行对照后，项目不在生态保护红线内、未超出环境质量底线及资源利用上线、符合生态环境准入清单要求。</w:t>
      </w:r>
    </w:p>
    <w:p>
      <w:pPr>
        <w:pStyle w:val="50"/>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textAlignment w:val="auto"/>
        <w:rPr>
          <w:rFonts w:hint="default" w:ascii="Times New Roman" w:hAnsi="Times New Roman" w:eastAsia="宋体" w:cs="Times New Roman"/>
          <w:b w:val="0"/>
          <w:bCs w:val="0"/>
          <w:caps w:val="0"/>
          <w:color w:val="auto"/>
          <w:spacing w:val="0"/>
          <w:position w:val="0"/>
          <w:sz w:val="24"/>
          <w:highlight w:val="none"/>
          <w:lang w:val="en-US" w:eastAsia="zh-CN"/>
        </w:rPr>
      </w:pPr>
      <w:r>
        <w:rPr>
          <w:rFonts w:hint="default" w:ascii="Times New Roman" w:hAnsi="Times New Roman" w:eastAsia="宋体" w:cs="Times New Roman"/>
          <w:b w:val="0"/>
          <w:bCs w:val="0"/>
          <w:caps w:val="0"/>
          <w:color w:val="auto"/>
          <w:spacing w:val="0"/>
          <w:position w:val="0"/>
          <w:sz w:val="24"/>
          <w:highlight w:val="none"/>
          <w:lang w:val="en-US" w:eastAsia="zh-CN"/>
        </w:rPr>
        <w:t>综上所述，本项目符合自治区及塔城地区“三线一单”的相关要求。</w:t>
      </w:r>
    </w:p>
    <w:p>
      <w:pPr>
        <w:pageBreakBefore w:val="0"/>
        <w:wordWrap/>
        <w:bidi w:val="0"/>
        <w:adjustRightInd w:val="0"/>
        <w:ind w:left="0" w:leftChars="0" w:right="0" w:rightChars="0" w:firstLine="480"/>
        <w:rPr>
          <w:rFonts w:hint="default" w:ascii="Times New Roman" w:hAnsi="Times New Roman" w:cs="Times New Roman"/>
          <w:color w:val="auto"/>
          <w:highlight w:val="yellow"/>
        </w:rPr>
        <w:sectPr>
          <w:footerReference r:id="rId7" w:type="default"/>
          <w:pgSz w:w="11906" w:h="16838"/>
          <w:pgMar w:top="1814" w:right="1701" w:bottom="1418" w:left="1701" w:header="1134" w:footer="851" w:gutter="0"/>
          <w:pgBorders>
            <w:top w:val="none" w:sz="0" w:space="0"/>
            <w:left w:val="none" w:sz="0" w:space="0"/>
            <w:bottom w:val="none" w:sz="0" w:space="0"/>
            <w:right w:val="none" w:sz="0" w:space="0"/>
          </w:pgBorders>
          <w:pgNumType w:fmt="decimal" w:start="1"/>
          <w:cols w:space="720"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Style w:val="68"/>
          <w:rFonts w:hint="default" w:ascii="Times New Roman" w:hAnsi="Times New Roman" w:cs="Times New Roman"/>
          <w:color w:val="auto"/>
          <w:highlight w:val="yellow"/>
        </w:rPr>
      </w:pPr>
      <w:r>
        <w:rPr>
          <w:rFonts w:hint="default" w:ascii="Times New Roman" w:hAnsi="Times New Roman" w:cs="Times New Roman"/>
          <w:color w:val="auto"/>
          <w:highlight w:val="yellow"/>
        </w:rPr>
        <mc:AlternateContent>
          <mc:Choice Requires="wps">
            <w:drawing>
              <wp:anchor distT="0" distB="0" distL="114300" distR="114300" simplePos="0" relativeHeight="251672576" behindDoc="0" locked="0" layoutInCell="1" allowOverlap="1">
                <wp:simplePos x="0" y="0"/>
                <wp:positionH relativeFrom="column">
                  <wp:posOffset>1768475</wp:posOffset>
                </wp:positionH>
                <wp:positionV relativeFrom="paragraph">
                  <wp:posOffset>1490345</wp:posOffset>
                </wp:positionV>
                <wp:extent cx="914400" cy="276225"/>
                <wp:effectExtent l="0" t="0" r="0" b="0"/>
                <wp:wrapNone/>
                <wp:docPr id="9" name="文本框 843"/>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a:noFill/>
                        </a:ln>
                      </wps:spPr>
                      <wps:txbx>
                        <w:txbxContent>
                          <w:p>
                            <w:pPr>
                              <w:ind w:firstLine="0" w:firstLineChars="0"/>
                              <w:rPr>
                                <w:rFonts w:hint="eastAsia"/>
                                <w:b/>
                                <w:bCs/>
                              </w:rPr>
                            </w:pPr>
                            <w:r>
                              <w:rPr>
                                <w:rFonts w:hint="eastAsia"/>
                                <w:b/>
                                <w:bCs/>
                              </w:rPr>
                              <w:t>项目位置</w:t>
                            </w:r>
                          </w:p>
                        </w:txbxContent>
                      </wps:txbx>
                      <wps:bodyPr wrap="square" upright="1"/>
                    </wps:wsp>
                  </a:graphicData>
                </a:graphic>
              </wp:anchor>
            </w:drawing>
          </mc:Choice>
          <mc:Fallback>
            <w:pict>
              <v:shape id="文本框 843" o:spid="_x0000_s1026" o:spt="202" type="#_x0000_t202" style="position:absolute;left:0pt;margin-left:139.25pt;margin-top:117.35pt;height:21.75pt;width:72pt;z-index:251672576;mso-width-relative:page;mso-height-relative:page;" filled="f" stroked="f" coordsize="21600,21600" o:gfxdata="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9NzfHXAAAACwEAAA8AAAAAAAAAAQAgAAAAIgAAAGRycy9kb3ducmV2LnhtbFBLAQIUABQA&#10;AAAIAIdO4kCfzM4VuAEAAF0DAAAOAAAAAAAAAAEAIAAAACYBAABkcnMvZTJvRG9jLnhtbFBLBQYA&#10;AAAABgAGAFkBAABQBQAAAAA=&#10;">
                <v:fill on="f" focussize="0,0"/>
                <v:stroke on="f"/>
                <v:imagedata o:title=""/>
                <o:lock v:ext="edit" aspectratio="f"/>
                <v:textbox>
                  <w:txbxContent>
                    <w:p>
                      <w:pPr>
                        <w:ind w:firstLine="0" w:firstLineChars="0"/>
                        <w:rPr>
                          <w:rFonts w:hint="eastAsia"/>
                          <w:b/>
                          <w:bCs/>
                        </w:rPr>
                      </w:pPr>
                      <w:r>
                        <w:rPr>
                          <w:rFonts w:hint="eastAsia"/>
                          <w:b/>
                          <w:bCs/>
                        </w:rPr>
                        <w:t>项目位置</w:t>
                      </w:r>
                    </w:p>
                  </w:txbxContent>
                </v:textbox>
              </v:shape>
            </w:pict>
          </mc:Fallback>
        </mc:AlternateContent>
      </w:r>
      <w:r>
        <w:rPr>
          <w:rFonts w:hint="default" w:ascii="Times New Roman" w:hAnsi="Times New Roman" w:cs="Times New Roman"/>
          <w:color w:val="auto"/>
          <w:highlight w:val="yellow"/>
        </w:rPr>
        <mc:AlternateContent>
          <mc:Choice Requires="wps">
            <w:drawing>
              <wp:anchor distT="0" distB="0" distL="114300" distR="114300" simplePos="0" relativeHeight="251671552" behindDoc="0" locked="0" layoutInCell="1" allowOverlap="1">
                <wp:simplePos x="0" y="0"/>
                <wp:positionH relativeFrom="column">
                  <wp:posOffset>2170430</wp:posOffset>
                </wp:positionH>
                <wp:positionV relativeFrom="paragraph">
                  <wp:posOffset>1400175</wp:posOffset>
                </wp:positionV>
                <wp:extent cx="94615" cy="76200"/>
                <wp:effectExtent l="4445" t="4445" r="15240" b="14605"/>
                <wp:wrapNone/>
                <wp:docPr id="8" name="椭圆 842"/>
                <wp:cNvGraphicFramePr/>
                <a:graphic xmlns:a="http://schemas.openxmlformats.org/drawingml/2006/main">
                  <a:graphicData uri="http://schemas.microsoft.com/office/word/2010/wordprocessingShape">
                    <wps:wsp>
                      <wps:cNvSpPr/>
                      <wps:spPr>
                        <a:xfrm>
                          <a:off x="0" y="0"/>
                          <a:ext cx="94615" cy="76200"/>
                        </a:xfrm>
                        <a:prstGeom prst="ellipse">
                          <a:avLst/>
                        </a:prstGeom>
                        <a:solidFill>
                          <a:srgbClr val="00B0F0"/>
                        </a:solidFill>
                        <a:ln w="9525" cap="flat" cmpd="sng">
                          <a:solidFill>
                            <a:srgbClr val="000000"/>
                          </a:solidFill>
                          <a:prstDash val="solid"/>
                          <a:headEnd type="none" w="med" len="med"/>
                          <a:tailEnd type="none" w="med" len="med"/>
                        </a:ln>
                      </wps:spPr>
                      <wps:bodyPr wrap="square" upright="1"/>
                    </wps:wsp>
                  </a:graphicData>
                </a:graphic>
              </wp:anchor>
            </w:drawing>
          </mc:Choice>
          <mc:Fallback>
            <w:pict>
              <v:shape id="椭圆 842" o:spid="_x0000_s1026" o:spt="3" type="#_x0000_t3" style="position:absolute;left:0pt;margin-left:170.9pt;margin-top:110.25pt;height:6pt;width:7.45pt;z-index:251671552;mso-width-relative:page;mso-height-relative:page;" fillcolor="#00B0F0" filled="t" stroked="t" coordsize="21600,21600" o:gfxdata="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KFggN0AAAALAQAADwAAAAAAAAABACAAAAAiAAAA&#10;ZHJzL2Rvd25yZXYueG1sUEsBAhQAFAAAAAgAh07iQBjAdHkCAgAAJAQAAA4AAAAAAAAAAQAgAAAA&#10;LAEAAGRycy9lMm9Eb2MueG1sUEsFBgAAAAAGAAYAWQEAAKAFAAAAAA==&#10;">
                <v:fill on="t" focussize="0,0"/>
                <v:stroke color="#000000" joinstyle="round"/>
                <v:imagedata o:title=""/>
                <o:lock v:ext="edit" aspectratio="f"/>
              </v:shape>
            </w:pict>
          </mc:Fallback>
        </mc:AlternateContent>
      </w:r>
      <w:r>
        <w:rPr>
          <w:rFonts w:hint="default" w:ascii="Times New Roman" w:hAnsi="Times New Roman" w:cs="Times New Roman"/>
          <w:color w:val="auto"/>
        </w:rPr>
        <w:drawing>
          <wp:inline distT="0" distB="0" distL="114300" distR="114300">
            <wp:extent cx="8633460" cy="5027930"/>
            <wp:effectExtent l="0" t="0" r="15240" b="127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27"/>
                    <a:stretch>
                      <a:fillRect/>
                    </a:stretch>
                  </pic:blipFill>
                  <pic:spPr>
                    <a:xfrm>
                      <a:off x="0" y="0"/>
                      <a:ext cx="8633460" cy="50279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Style w:val="68"/>
          <w:rFonts w:hint="default" w:ascii="Times New Roman" w:hAnsi="Times New Roman" w:cs="Times New Roman"/>
          <w:color w:val="auto"/>
          <w:highlight w:val="none"/>
        </w:rPr>
      </w:pPr>
      <w:r>
        <w:rPr>
          <w:rStyle w:val="68"/>
          <w:rFonts w:hint="default" w:ascii="Times New Roman" w:hAnsi="Times New Roman" w:cs="Times New Roman"/>
          <w:color w:val="auto"/>
          <w:highlight w:val="none"/>
        </w:rPr>
        <w:t>图</w:t>
      </w:r>
      <w:r>
        <w:rPr>
          <w:rStyle w:val="68"/>
          <w:rFonts w:hint="default" w:ascii="Times New Roman" w:hAnsi="Times New Roman" w:cs="Times New Roman"/>
          <w:color w:val="auto"/>
          <w:highlight w:val="none"/>
          <w:lang w:val="en-US" w:eastAsia="zh-CN"/>
        </w:rPr>
        <w:t>1.4-1</w:t>
      </w:r>
      <w:r>
        <w:rPr>
          <w:rStyle w:val="68"/>
          <w:rFonts w:hint="default" w:ascii="Times New Roman" w:hAnsi="Times New Roman" w:cs="Times New Roman"/>
          <w:color w:val="auto"/>
          <w:highlight w:val="none"/>
        </w:rPr>
        <w:t xml:space="preserve"> 环境管控单元图</w:t>
      </w:r>
    </w:p>
    <w:p>
      <w:pPr>
        <w:pStyle w:val="4"/>
        <w:pageBreakBefore w:val="0"/>
        <w:numPr>
          <w:ilvl w:val="1"/>
          <w:numId w:val="0"/>
        </w:numPr>
        <w:tabs>
          <w:tab w:val="clear" w:pos="0"/>
        </w:tabs>
        <w:wordWrap/>
        <w:bidi w:val="0"/>
        <w:adjustRightInd w:val="0"/>
        <w:ind w:leftChars="0" w:right="0" w:rightChars="0"/>
        <w:rPr>
          <w:rFonts w:hint="default" w:ascii="Times New Roman" w:hAnsi="Times New Roman" w:cs="Times New Roman"/>
          <w:color w:val="auto"/>
          <w:highlight w:val="yellow"/>
        </w:rPr>
        <w:sectPr>
          <w:pgSz w:w="16838" w:h="11906" w:orient="landscape"/>
          <w:pgMar w:top="1701" w:right="1814" w:bottom="1701" w:left="1418" w:header="1134" w:footer="851" w:gutter="0"/>
          <w:pgBorders>
            <w:top w:val="none" w:sz="0" w:space="0"/>
            <w:left w:val="none" w:sz="0" w:space="0"/>
            <w:bottom w:val="none" w:sz="0" w:space="0"/>
            <w:right w:val="none" w:sz="0" w:space="0"/>
          </w:pgBorders>
          <w:pgNumType w:fmt="decimal"/>
          <w:cols w:space="720" w:num="1"/>
          <w:docGrid w:type="lines" w:linePitch="312" w:charSpace="0"/>
        </w:sectPr>
      </w:pPr>
    </w:p>
    <w:p>
      <w:pPr>
        <w:pStyle w:val="4"/>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rPr>
      </w:pPr>
      <w:bookmarkStart w:id="52" w:name="_Toc19278"/>
      <w:bookmarkStart w:id="53" w:name="_Toc31827"/>
      <w:r>
        <w:rPr>
          <w:rFonts w:hint="default" w:ascii="Times New Roman" w:hAnsi="Times New Roman" w:eastAsia="宋体" w:cs="Times New Roman"/>
          <w:color w:val="auto"/>
          <w:highlight w:val="none"/>
        </w:rPr>
        <w:t>选址合理性分析</w:t>
      </w:r>
      <w:bookmarkEnd w:id="52"/>
      <w:bookmarkEnd w:id="53"/>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GB"/>
        </w:rPr>
        <w:t>本项目选址位于</w:t>
      </w:r>
      <w:r>
        <w:rPr>
          <w:rFonts w:hint="default" w:ascii="Times New Roman" w:hAnsi="Times New Roman" w:cs="Times New Roman"/>
          <w:color w:val="auto"/>
          <w:highlight w:val="none"/>
          <w:lang w:eastAsia="zh-CN"/>
        </w:rPr>
        <w:t>塔城市博孜达克镇三园子村</w:t>
      </w:r>
      <w:r>
        <w:rPr>
          <w:rFonts w:hint="default" w:ascii="Times New Roman" w:hAnsi="Times New Roman" w:cs="Times New Roman"/>
          <w:color w:val="auto"/>
          <w:highlight w:val="none"/>
          <w:lang w:val="en-GB"/>
        </w:rPr>
        <w:t>，地理坐标为</w:t>
      </w:r>
      <w:r>
        <w:rPr>
          <w:rFonts w:hint="default" w:ascii="Times New Roman" w:hAnsi="Times New Roman" w:cs="Times New Roman"/>
          <w:color w:val="auto"/>
          <w:highlight w:val="none"/>
        </w:rPr>
        <w:t>东经：</w:t>
      </w:r>
      <w:r>
        <w:rPr>
          <w:rFonts w:hint="default" w:ascii="Times New Roman" w:hAnsi="Times New Roman" w:cs="Times New Roman"/>
          <w:color w:val="auto"/>
          <w:highlight w:val="none"/>
          <w:lang w:eastAsia="zh-CN"/>
        </w:rPr>
        <w:t>83°11′51.214″</w:t>
      </w:r>
      <w:r>
        <w:rPr>
          <w:rFonts w:hint="default" w:ascii="Times New Roman" w:hAnsi="Times New Roman" w:cs="Times New Roman"/>
          <w:color w:val="auto"/>
          <w:highlight w:val="none"/>
        </w:rPr>
        <w:t>，北纬：</w:t>
      </w:r>
      <w:r>
        <w:rPr>
          <w:rFonts w:hint="default" w:ascii="Times New Roman" w:hAnsi="Times New Roman" w:cs="Times New Roman"/>
          <w:color w:val="auto"/>
          <w:highlight w:val="none"/>
          <w:lang w:eastAsia="zh-CN"/>
        </w:rPr>
        <w:t>46°35′48.363″</w:t>
      </w:r>
      <w:r>
        <w:rPr>
          <w:rFonts w:hint="default" w:ascii="Times New Roman" w:hAnsi="Times New Roman" w:cs="Times New Roman"/>
          <w:color w:val="auto"/>
          <w:highlight w:val="none"/>
        </w:rPr>
        <w:t>。</w:t>
      </w:r>
      <w:r>
        <w:rPr>
          <w:rFonts w:hint="default" w:ascii="Times New Roman" w:hAnsi="Times New Roman" w:cs="Times New Roman"/>
          <w:color w:val="auto"/>
          <w:kern w:val="0"/>
          <w:highlight w:val="none"/>
          <w:lang w:val="en-GB"/>
        </w:rPr>
        <w:t>项目区</w:t>
      </w:r>
      <w:r>
        <w:rPr>
          <w:rFonts w:hint="default" w:ascii="Times New Roman" w:hAnsi="Times New Roman" w:cs="Times New Roman"/>
          <w:color w:val="auto"/>
          <w:kern w:val="0"/>
          <w:highlight w:val="none"/>
          <w:lang w:val="en-US" w:eastAsia="zh-CN"/>
        </w:rPr>
        <w:t>四周</w:t>
      </w:r>
      <w:r>
        <w:rPr>
          <w:rFonts w:hint="default" w:ascii="Times New Roman" w:hAnsi="Times New Roman" w:cs="Times New Roman"/>
          <w:color w:val="auto"/>
          <w:kern w:val="0"/>
          <w:highlight w:val="none"/>
        </w:rPr>
        <w:t>为</w:t>
      </w:r>
      <w:r>
        <w:rPr>
          <w:rFonts w:hint="default" w:ascii="Times New Roman" w:hAnsi="Times New Roman" w:cs="Times New Roman"/>
          <w:color w:val="auto"/>
          <w:kern w:val="0"/>
          <w:highlight w:val="none"/>
          <w:lang w:val="en-US" w:eastAsia="zh-CN"/>
        </w:rPr>
        <w:t>空地</w:t>
      </w:r>
      <w:r>
        <w:rPr>
          <w:rFonts w:hint="default" w:ascii="Times New Roman" w:hAnsi="Times New Roman" w:cs="Times New Roman"/>
          <w:color w:val="auto"/>
          <w:kern w:val="0"/>
          <w:highlight w:val="none"/>
        </w:rPr>
        <w:t>，</w:t>
      </w:r>
      <w:r>
        <w:rPr>
          <w:rFonts w:hint="eastAsia" w:cs="Times New Roman"/>
          <w:color w:val="auto"/>
          <w:kern w:val="0"/>
          <w:highlight w:val="none"/>
          <w:lang w:val="en-US" w:eastAsia="zh-CN"/>
        </w:rPr>
        <w:t>永久</w:t>
      </w:r>
      <w:r>
        <w:rPr>
          <w:rFonts w:hint="default" w:ascii="Times New Roman" w:hAnsi="Times New Roman" w:cs="Times New Roman"/>
          <w:color w:val="auto"/>
          <w:highlight w:val="none"/>
        </w:rPr>
        <w:t>占地</w:t>
      </w:r>
      <w:r>
        <w:rPr>
          <w:rFonts w:hint="default" w:ascii="Times New Roman" w:hAnsi="Times New Roman" w:cs="Times New Roman"/>
          <w:color w:val="auto"/>
          <w:highlight w:val="none"/>
          <w:lang w:val="en-US" w:eastAsia="zh-CN"/>
        </w:rPr>
        <w:t>面积为667030.39m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lang w:val="en-US" w:eastAsia="zh-CN"/>
        </w:rPr>
        <w:t>距离本项目最近的居民点为本项目东南</w:t>
      </w:r>
      <w:r>
        <w:rPr>
          <w:rFonts w:hint="default" w:ascii="Times New Roman" w:hAnsi="Times New Roman" w:cs="Times New Roman"/>
          <w:color w:val="auto"/>
          <w:kern w:val="0"/>
          <w:highlight w:val="none"/>
        </w:rPr>
        <w:t>侧</w:t>
      </w:r>
      <w:r>
        <w:rPr>
          <w:rFonts w:hint="default" w:ascii="Times New Roman" w:hAnsi="Times New Roman" w:cs="Times New Roman"/>
          <w:color w:val="auto"/>
          <w:kern w:val="0"/>
          <w:highlight w:val="none"/>
          <w:lang w:val="en-US" w:eastAsia="zh-CN"/>
        </w:rPr>
        <w:t>2.8</w:t>
      </w:r>
      <w:r>
        <w:rPr>
          <w:rFonts w:hint="default" w:ascii="Times New Roman" w:hAnsi="Times New Roman" w:cs="Times New Roman"/>
          <w:color w:val="auto"/>
          <w:kern w:val="0"/>
          <w:highlight w:val="none"/>
        </w:rPr>
        <w:t>km</w:t>
      </w:r>
      <w:r>
        <w:rPr>
          <w:rFonts w:hint="default" w:ascii="Times New Roman" w:hAnsi="Times New Roman" w:cs="Times New Roman"/>
          <w:color w:val="auto"/>
          <w:kern w:val="0"/>
          <w:highlight w:val="none"/>
          <w:lang w:val="en-US" w:eastAsia="zh-CN"/>
        </w:rPr>
        <w:t>的博孜达克农场育种队</w:t>
      </w:r>
      <w:r>
        <w:rPr>
          <w:rFonts w:hint="default" w:ascii="Times New Roman" w:hAnsi="Times New Roman" w:cs="Times New Roman"/>
          <w:color w:val="auto"/>
          <w:kern w:val="0"/>
          <w:highlight w:val="none"/>
        </w:rPr>
        <w:t>居民点</w:t>
      </w:r>
      <w:r>
        <w:rPr>
          <w:rFonts w:hint="default" w:ascii="Times New Roman" w:hAnsi="Times New Roman" w:cs="Times New Roman"/>
          <w:color w:val="auto"/>
          <w:highlight w:val="none"/>
        </w:rPr>
        <w:t>。</w:t>
      </w:r>
    </w:p>
    <w:p>
      <w:pPr>
        <w:pStyle w:val="5"/>
        <w:pageBreakBefore w:val="0"/>
        <w:wordWrap/>
        <w:bidi w:val="0"/>
        <w:adjustRightInd w:val="0"/>
        <w:ind w:left="0" w:leftChars="0" w:right="0" w:rightChars="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与《畜禽养殖业污染防治技术规范》（HJ/T81-2001）中选址要求合理性分析</w:t>
      </w:r>
    </w:p>
    <w:p>
      <w:pPr>
        <w:pStyle w:val="78"/>
        <w:pageBreakBefore w:val="0"/>
        <w:wordWrap/>
        <w:bidi w:val="0"/>
        <w:adjustRightInd w:val="0"/>
        <w:ind w:left="0" w:leftChars="0" w:right="0" w:rightChars="0"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具体选址要求详见表</w:t>
      </w:r>
      <w:r>
        <w:rPr>
          <w:rFonts w:hint="eastAsia" w:cs="Times New Roman"/>
          <w:color w:val="auto"/>
          <w:highlight w:val="none"/>
          <w:lang w:val="en-US" w:eastAsia="zh-CN"/>
        </w:rPr>
        <w:t>1.5-1</w:t>
      </w:r>
      <w:r>
        <w:rPr>
          <w:rFonts w:hint="default" w:ascii="Times New Roman" w:hAnsi="Times New Roman" w:cs="Times New Roman"/>
          <w:color w:val="auto"/>
          <w:highlight w:val="none"/>
        </w:rPr>
        <w:t>。</w:t>
      </w:r>
    </w:p>
    <w:p>
      <w:pPr>
        <w:pStyle w:val="56"/>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w:t>
      </w:r>
      <w:r>
        <w:rPr>
          <w:rFonts w:hint="eastAsia" w:cs="Times New Roman"/>
          <w:color w:val="auto"/>
          <w:sz w:val="21"/>
          <w:szCs w:val="21"/>
          <w:highlight w:val="none"/>
          <w:lang w:val="en-US" w:eastAsia="zh-CN"/>
        </w:rPr>
        <w:t>1.5-1</w:t>
      </w:r>
      <w:r>
        <w:rPr>
          <w:rFonts w:hint="default" w:ascii="Times New Roman" w:hAnsi="Times New Roman" w:cs="Times New Roman"/>
          <w:color w:val="auto"/>
          <w:sz w:val="21"/>
          <w:szCs w:val="21"/>
          <w:highlight w:val="none"/>
        </w:rPr>
        <w:t xml:space="preserve">              畜禽养殖选址要求</w:t>
      </w:r>
    </w:p>
    <w:tbl>
      <w:tblPr>
        <w:tblStyle w:val="3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06"/>
        <w:gridCol w:w="33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73" w:type="pct"/>
            <w:tcBorders>
              <w:tl2br w:val="nil"/>
              <w:tr2bl w:val="nil"/>
            </w:tcBorders>
            <w:noWrap w:val="0"/>
            <w:vAlign w:val="center"/>
          </w:tcPr>
          <w:p>
            <w:pPr>
              <w:pStyle w:val="55"/>
              <w:pageBreakBefore w:val="0"/>
              <w:wordWrap/>
              <w:bidi w:val="0"/>
              <w:adjustRightInd w:val="0"/>
              <w:ind w:left="0" w:leftChars="0" w:right="0" w:right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《畜禽养殖业污染防治技术规范》（HJ/T81-2001）</w:t>
            </w:r>
          </w:p>
        </w:tc>
        <w:tc>
          <w:tcPr>
            <w:tcW w:w="1926" w:type="pct"/>
            <w:tcBorders>
              <w:tl2br w:val="nil"/>
              <w:tr2bl w:val="nil"/>
            </w:tcBorders>
            <w:noWrap w:val="0"/>
            <w:vAlign w:val="center"/>
          </w:tcPr>
          <w:p>
            <w:pPr>
              <w:pStyle w:val="55"/>
              <w:pageBreakBefore w:val="0"/>
              <w:wordWrap/>
              <w:bidi w:val="0"/>
              <w:adjustRightInd w:val="0"/>
              <w:ind w:left="0" w:leftChars="0" w:right="0" w:rightChars="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73" w:type="pct"/>
            <w:tcBorders>
              <w:tl2br w:val="nil"/>
              <w:tr2bl w:val="nil"/>
            </w:tcBorders>
            <w:noWrap w:val="0"/>
            <w:vAlign w:val="center"/>
          </w:tcPr>
          <w:p>
            <w:pPr>
              <w:pStyle w:val="55"/>
              <w:pageBreakBefore w:val="0"/>
              <w:wordWrap/>
              <w:bidi w:val="0"/>
              <w:adjustRightInd w:val="0"/>
              <w:ind w:left="0" w:leftChars="0" w:right="0" w:right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1禁止在下列区域内建设畜禽养殖场</w:t>
            </w:r>
            <w:r>
              <w:rPr>
                <w:rFonts w:hint="default" w:ascii="Times New Roman" w:hAnsi="Times New Roman" w:cs="Times New Roman"/>
                <w:color w:val="auto"/>
                <w:sz w:val="21"/>
                <w:szCs w:val="21"/>
                <w:highlight w:val="none"/>
                <w:lang w:val="en-US" w:eastAsia="zh-CN"/>
              </w:rPr>
              <w:t xml:space="preserve"> </w:t>
            </w:r>
          </w:p>
        </w:tc>
        <w:tc>
          <w:tcPr>
            <w:tcW w:w="1926" w:type="pct"/>
            <w:vMerge w:val="restart"/>
            <w:tcBorders>
              <w:tl2br w:val="nil"/>
              <w:tr2bl w:val="nil"/>
            </w:tcBorders>
            <w:noWrap w:val="0"/>
            <w:vAlign w:val="center"/>
          </w:tcPr>
          <w:p>
            <w:pPr>
              <w:pStyle w:val="55"/>
              <w:pageBreakBefore w:val="0"/>
              <w:wordWrap/>
              <w:bidi w:val="0"/>
              <w:adjustRightInd w:val="0"/>
              <w:ind w:left="0" w:leftChars="0" w:right="0" w:right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本项目位于</w:t>
            </w:r>
            <w:r>
              <w:rPr>
                <w:rFonts w:hint="default" w:ascii="Times New Roman" w:hAnsi="Times New Roman" w:cs="Times New Roman"/>
                <w:color w:val="auto"/>
                <w:sz w:val="21"/>
                <w:szCs w:val="21"/>
                <w:highlight w:val="none"/>
                <w:lang w:eastAsia="zh-CN"/>
              </w:rPr>
              <w:t>塔城市博孜达克镇三园子村</w:t>
            </w:r>
            <w:r>
              <w:rPr>
                <w:rFonts w:hint="default" w:ascii="Times New Roman" w:hAnsi="Times New Roman" w:cs="Times New Roman"/>
                <w:color w:val="auto"/>
                <w:sz w:val="21"/>
                <w:szCs w:val="21"/>
                <w:highlight w:val="none"/>
              </w:rPr>
              <w:t>。依据项目现场勘查，项目区周围无生活饮用水源保护区、风景名胜区、自然保护区的核心区和缓冲区、城市和城镇居民区和</w:t>
            </w:r>
            <w:r>
              <w:rPr>
                <w:rFonts w:hint="eastAsia" w:cs="Times New Roman"/>
                <w:color w:val="auto"/>
                <w:sz w:val="21"/>
                <w:szCs w:val="21"/>
                <w:highlight w:val="none"/>
                <w:lang w:val="en-US" w:eastAsia="zh-CN"/>
              </w:rPr>
              <w:t>塔城市</w:t>
            </w:r>
            <w:r>
              <w:rPr>
                <w:rFonts w:hint="default" w:ascii="Times New Roman" w:hAnsi="Times New Roman" w:cs="Times New Roman"/>
                <w:color w:val="auto"/>
                <w:sz w:val="21"/>
                <w:szCs w:val="21"/>
                <w:highlight w:val="none"/>
              </w:rPr>
              <w:t>人民政府划定的禁养区域。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73" w:type="pct"/>
            <w:tcBorders>
              <w:tl2br w:val="nil"/>
              <w:tr2bl w:val="nil"/>
            </w:tcBorders>
            <w:noWrap w:val="0"/>
            <w:vAlign w:val="center"/>
          </w:tcPr>
          <w:p>
            <w:pPr>
              <w:pStyle w:val="55"/>
              <w:pageBreakBefore w:val="0"/>
              <w:wordWrap/>
              <w:bidi w:val="0"/>
              <w:adjustRightInd w:val="0"/>
              <w:ind w:left="0" w:leftChars="0" w:right="0" w:right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1.1.生活饮用水源保护区、风景名胜区、自然保护区的核心区和缓冲区。</w:t>
            </w:r>
          </w:p>
        </w:tc>
        <w:tc>
          <w:tcPr>
            <w:tcW w:w="1926" w:type="pct"/>
            <w:vMerge w:val="continue"/>
            <w:tcBorders>
              <w:tl2br w:val="nil"/>
              <w:tr2bl w:val="nil"/>
            </w:tcBorders>
            <w:noWrap w:val="0"/>
            <w:vAlign w:val="center"/>
          </w:tcPr>
          <w:p>
            <w:pPr>
              <w:pStyle w:val="55"/>
              <w:pageBreakBefore w:val="0"/>
              <w:wordWrap/>
              <w:bidi w:val="0"/>
              <w:adjustRightInd w:val="0"/>
              <w:ind w:left="0" w:leftChars="0" w:right="0" w:rightChars="0"/>
              <w:jc w:val="both"/>
              <w:rPr>
                <w:rFonts w:hint="default" w:ascii="Times New Roman" w:hAnsi="Times New Roman" w:cs="Times New Roman"/>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73" w:type="pct"/>
            <w:tcBorders>
              <w:tl2br w:val="nil"/>
              <w:tr2bl w:val="nil"/>
            </w:tcBorders>
            <w:noWrap w:val="0"/>
            <w:vAlign w:val="center"/>
          </w:tcPr>
          <w:p>
            <w:pPr>
              <w:pStyle w:val="55"/>
              <w:pageBreakBefore w:val="0"/>
              <w:wordWrap/>
              <w:bidi w:val="0"/>
              <w:adjustRightInd w:val="0"/>
              <w:ind w:left="0" w:leftChars="0" w:right="0" w:right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1.2.城市和城镇居民区，包括文教科研取、医疗区、商业区、游览区、游览区等人口集中地区。</w:t>
            </w:r>
          </w:p>
        </w:tc>
        <w:tc>
          <w:tcPr>
            <w:tcW w:w="1926" w:type="pct"/>
            <w:vMerge w:val="continue"/>
            <w:tcBorders>
              <w:tl2br w:val="nil"/>
              <w:tr2bl w:val="nil"/>
            </w:tcBorders>
            <w:noWrap w:val="0"/>
            <w:vAlign w:val="center"/>
          </w:tcPr>
          <w:p>
            <w:pPr>
              <w:pStyle w:val="55"/>
              <w:pageBreakBefore w:val="0"/>
              <w:wordWrap/>
              <w:bidi w:val="0"/>
              <w:adjustRightInd w:val="0"/>
              <w:ind w:left="0" w:leftChars="0" w:right="0" w:rightChars="0"/>
              <w:jc w:val="both"/>
              <w:rPr>
                <w:rFonts w:hint="default" w:ascii="Times New Roman" w:hAnsi="Times New Roman" w:cs="Times New Roman"/>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73" w:type="pct"/>
            <w:tcBorders>
              <w:tl2br w:val="nil"/>
              <w:tr2bl w:val="nil"/>
            </w:tcBorders>
            <w:noWrap w:val="0"/>
            <w:vAlign w:val="center"/>
          </w:tcPr>
          <w:p>
            <w:pPr>
              <w:pStyle w:val="55"/>
              <w:pageBreakBefore w:val="0"/>
              <w:wordWrap/>
              <w:bidi w:val="0"/>
              <w:adjustRightInd w:val="0"/>
              <w:ind w:left="0" w:leftChars="0" w:right="0" w:right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1.3.县级人民政府依法划定的禁养区域</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 xml:space="preserve"> </w:t>
            </w:r>
          </w:p>
        </w:tc>
        <w:tc>
          <w:tcPr>
            <w:tcW w:w="1926" w:type="pct"/>
            <w:vMerge w:val="continue"/>
            <w:tcBorders>
              <w:tl2br w:val="nil"/>
              <w:tr2bl w:val="nil"/>
            </w:tcBorders>
            <w:noWrap w:val="0"/>
            <w:vAlign w:val="center"/>
          </w:tcPr>
          <w:p>
            <w:pPr>
              <w:pStyle w:val="55"/>
              <w:pageBreakBefore w:val="0"/>
              <w:wordWrap/>
              <w:bidi w:val="0"/>
              <w:adjustRightInd w:val="0"/>
              <w:ind w:left="0" w:leftChars="0" w:right="0" w:rightChars="0"/>
              <w:jc w:val="both"/>
              <w:rPr>
                <w:rFonts w:hint="default" w:ascii="Times New Roman" w:hAnsi="Times New Roman" w:cs="Times New Roman"/>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73" w:type="pct"/>
            <w:tcBorders>
              <w:tl2br w:val="nil"/>
              <w:tr2bl w:val="nil"/>
            </w:tcBorders>
            <w:noWrap w:val="0"/>
            <w:vAlign w:val="center"/>
          </w:tcPr>
          <w:p>
            <w:pPr>
              <w:pStyle w:val="55"/>
              <w:pageBreakBefore w:val="0"/>
              <w:wordWrap/>
              <w:bidi w:val="0"/>
              <w:adjustRightInd w:val="0"/>
              <w:ind w:left="0" w:leftChars="0" w:right="0" w:right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1.4</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国家或地方法律、法规规定需特殊保护的其他区域</w:t>
            </w:r>
            <w:r>
              <w:rPr>
                <w:rFonts w:hint="default" w:ascii="Times New Roman" w:hAnsi="Times New Roman" w:cs="Times New Roman"/>
                <w:color w:val="auto"/>
                <w:sz w:val="21"/>
                <w:szCs w:val="21"/>
                <w:highlight w:val="none"/>
                <w:lang w:val="en-US" w:eastAsia="zh-CN"/>
              </w:rPr>
              <w:t>。</w:t>
            </w:r>
          </w:p>
        </w:tc>
        <w:tc>
          <w:tcPr>
            <w:tcW w:w="1926" w:type="pct"/>
            <w:vMerge w:val="continue"/>
            <w:tcBorders>
              <w:tl2br w:val="nil"/>
              <w:tr2bl w:val="nil"/>
            </w:tcBorders>
            <w:noWrap w:val="0"/>
            <w:vAlign w:val="center"/>
          </w:tcPr>
          <w:p>
            <w:pPr>
              <w:pStyle w:val="55"/>
              <w:pageBreakBefore w:val="0"/>
              <w:wordWrap/>
              <w:bidi w:val="0"/>
              <w:adjustRightInd w:val="0"/>
              <w:ind w:left="0" w:leftChars="0" w:right="0" w:rightChars="0"/>
              <w:jc w:val="both"/>
              <w:rPr>
                <w:rFonts w:hint="default" w:ascii="Times New Roman" w:hAnsi="Times New Roman" w:cs="Times New Roman"/>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73" w:type="pct"/>
            <w:tcBorders>
              <w:tl2br w:val="nil"/>
              <w:tr2bl w:val="nil"/>
            </w:tcBorders>
            <w:noWrap w:val="0"/>
            <w:vAlign w:val="center"/>
          </w:tcPr>
          <w:p>
            <w:pPr>
              <w:pStyle w:val="55"/>
              <w:pageBreakBefore w:val="0"/>
              <w:wordWrap/>
              <w:bidi w:val="0"/>
              <w:adjustRightInd w:val="0"/>
              <w:ind w:left="0" w:leftChars="0" w:right="0" w:right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2新建、改建、扩建的畜禽养殖选址应避开1规定的禁建区域，在禁建区域</w:t>
            </w:r>
            <w:r>
              <w:rPr>
                <w:rFonts w:hint="default" w:ascii="Times New Roman" w:hAnsi="Times New Roman" w:cs="Times New Roman"/>
                <w:color w:val="auto"/>
                <w:sz w:val="21"/>
                <w:szCs w:val="21"/>
                <w:highlight w:val="none"/>
                <w:lang w:eastAsia="zh-CN"/>
              </w:rPr>
              <w:t>附近</w:t>
            </w:r>
            <w:r>
              <w:rPr>
                <w:rFonts w:hint="default" w:ascii="Times New Roman" w:hAnsi="Times New Roman" w:cs="Times New Roman"/>
                <w:color w:val="auto"/>
                <w:sz w:val="21"/>
                <w:szCs w:val="21"/>
                <w:highlight w:val="none"/>
              </w:rPr>
              <w:t>建设的，应设在1规定的禁建区域常年主导风向的下风向或侧风向处，场界与禁建区域边界的最小距离不得小于500m。</w:t>
            </w:r>
          </w:p>
        </w:tc>
        <w:tc>
          <w:tcPr>
            <w:tcW w:w="1926" w:type="pct"/>
            <w:vMerge w:val="continue"/>
            <w:tcBorders>
              <w:tl2br w:val="nil"/>
              <w:tr2bl w:val="nil"/>
            </w:tcBorders>
            <w:noWrap w:val="0"/>
            <w:vAlign w:val="center"/>
          </w:tcPr>
          <w:p>
            <w:pPr>
              <w:pStyle w:val="55"/>
              <w:pageBreakBefore w:val="0"/>
              <w:wordWrap/>
              <w:bidi w:val="0"/>
              <w:adjustRightInd w:val="0"/>
              <w:ind w:left="0" w:leftChars="0" w:right="0" w:rightChars="0"/>
              <w:jc w:val="both"/>
              <w:rPr>
                <w:rFonts w:hint="default" w:ascii="Times New Roman" w:hAnsi="Times New Roman" w:cs="Times New Roman"/>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73" w:type="pct"/>
            <w:tcBorders>
              <w:tl2br w:val="nil"/>
              <w:tr2bl w:val="nil"/>
            </w:tcBorders>
            <w:noWrap w:val="0"/>
            <w:vAlign w:val="center"/>
          </w:tcPr>
          <w:p>
            <w:pPr>
              <w:pStyle w:val="55"/>
              <w:pageBreakBefore w:val="0"/>
              <w:wordWrap/>
              <w:bidi w:val="0"/>
              <w:adjustRightInd w:val="0"/>
              <w:ind w:left="0" w:leftChars="0" w:right="0" w:right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畜禽粪便储存设施必须远离各类功能地表水体（距离不得小于400m）要求，并应设在养殖场生产及生活管理区的常年主导风向的下风向或侧风向处。</w:t>
            </w:r>
          </w:p>
        </w:tc>
        <w:tc>
          <w:tcPr>
            <w:tcW w:w="1926" w:type="pct"/>
            <w:tcBorders>
              <w:tl2br w:val="nil"/>
              <w:tr2bl w:val="nil"/>
            </w:tcBorders>
            <w:noWrap w:val="0"/>
            <w:vAlign w:val="center"/>
          </w:tcPr>
          <w:p>
            <w:pPr>
              <w:pStyle w:val="55"/>
              <w:pageBreakBefore w:val="0"/>
              <w:wordWrap/>
              <w:bidi w:val="0"/>
              <w:adjustRightInd w:val="0"/>
              <w:ind w:left="0" w:leftChars="0" w:right="0" w:rightChars="0"/>
              <w:jc w:val="both"/>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sz w:val="21"/>
                <w:szCs w:val="21"/>
                <w:highlight w:val="none"/>
                <w:lang w:val="en-US" w:eastAsia="zh-CN"/>
              </w:rPr>
              <w:t>本项目周边400m内无地表水体，</w:t>
            </w:r>
            <w:r>
              <w:rPr>
                <w:rFonts w:hint="default" w:ascii="Times New Roman" w:hAnsi="Times New Roman" w:cs="Times New Roman"/>
                <w:color w:val="auto"/>
                <w:highlight w:val="none"/>
                <w:lang w:val="en-US" w:eastAsia="zh-CN"/>
              </w:rPr>
              <w:t>堆粪场</w:t>
            </w:r>
            <w:r>
              <w:rPr>
                <w:rFonts w:hint="default" w:ascii="Times New Roman" w:hAnsi="Times New Roman" w:cs="Times New Roman"/>
                <w:color w:val="auto"/>
                <w:sz w:val="21"/>
                <w:szCs w:val="21"/>
                <w:highlight w:val="none"/>
                <w:lang w:val="en-US" w:eastAsia="zh-CN"/>
              </w:rPr>
              <w:t>位于项目区东南角，</w:t>
            </w:r>
            <w:r>
              <w:rPr>
                <w:rFonts w:hint="default" w:ascii="Times New Roman" w:hAnsi="Times New Roman" w:eastAsia="宋体" w:cs="Times New Roman"/>
                <w:color w:val="auto"/>
                <w:sz w:val="21"/>
                <w:szCs w:val="21"/>
                <w:highlight w:val="none"/>
              </w:rPr>
              <w:t>养殖场生产及生活管理区的常年主导风向的</w:t>
            </w:r>
            <w:r>
              <w:rPr>
                <w:rFonts w:hint="default" w:ascii="Times New Roman" w:hAnsi="Times New Roman" w:cs="Times New Roman"/>
                <w:color w:val="auto"/>
                <w:sz w:val="21"/>
                <w:szCs w:val="21"/>
                <w:highlight w:val="none"/>
                <w:lang w:val="en-US" w:eastAsia="zh-CN"/>
              </w:rPr>
              <w:t>下</w:t>
            </w:r>
            <w:r>
              <w:rPr>
                <w:rFonts w:hint="default" w:ascii="Times New Roman" w:hAnsi="Times New Roman" w:eastAsia="宋体" w:cs="Times New Roman"/>
                <w:color w:val="auto"/>
                <w:sz w:val="21"/>
                <w:szCs w:val="21"/>
                <w:highlight w:val="none"/>
              </w:rPr>
              <w:t>风向处</w:t>
            </w:r>
            <w:r>
              <w:rPr>
                <w:rFonts w:hint="default" w:ascii="Times New Roman" w:hAnsi="Times New Roman" w:cs="Times New Roman"/>
                <w:color w:val="auto"/>
                <w:sz w:val="21"/>
                <w:szCs w:val="21"/>
                <w:highlight w:val="none"/>
                <w:lang w:eastAsia="zh-CN"/>
              </w:rPr>
              <w:t>。</w:t>
            </w:r>
          </w:p>
        </w:tc>
      </w:tr>
    </w:tbl>
    <w:p>
      <w:pPr>
        <w:pageBreakBefore w:val="0"/>
        <w:wordWrap/>
        <w:bidi w:val="0"/>
        <w:adjustRightInd w:val="0"/>
        <w:ind w:left="0" w:leftChars="0" w:right="0" w:rightChars="0" w:firstLine="480"/>
        <w:rPr>
          <w:rFonts w:hint="default" w:ascii="Times New Roman" w:hAnsi="Times New Roman" w:cs="Times New Roman"/>
          <w:color w:val="auto"/>
          <w:spacing w:val="-6"/>
          <w:sz w:val="24"/>
          <w:highlight w:val="none"/>
        </w:rPr>
      </w:pPr>
      <w:r>
        <w:rPr>
          <w:rFonts w:hint="default" w:ascii="Times New Roman" w:hAnsi="Times New Roman" w:cs="Times New Roman"/>
          <w:color w:val="auto"/>
          <w:spacing w:val="-6"/>
          <w:sz w:val="24"/>
          <w:highlight w:val="none"/>
        </w:rPr>
        <w:t>因此项目选址符合《畜禽养殖业污染防治技术规范》（HJ/T81-2001）选址要求。</w:t>
      </w:r>
    </w:p>
    <w:p>
      <w:pPr>
        <w:pStyle w:val="5"/>
        <w:pageBreakBefore w:val="0"/>
        <w:wordWrap/>
        <w:bidi w:val="0"/>
        <w:adjustRightInd w:val="0"/>
        <w:ind w:left="0" w:leftChars="0" w:right="0" w:rightChars="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与《动物防疫条件审查办法》（中华人民共和国农业农村部令2022年第8号）符合性分析</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根据《动物防疫条件审查办法》（中华人民共和国农业农村部令2022年第8号）中规定，动物饲养场、动物隔离场所、动物屠宰加工场所以及动物和动物产品无害化处理场所应当符合下列条件：</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）各场所之间，各场所与动物诊疗场所、居民生活区、生活饮用水水源地、学校、医院等公共场所之间保持必要的距离；</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）场区周围建有围墙等隔离设施；场区出入口处设置运输车辆消毒通道或者消毒池，并单独设置人员消毒通道；生产经营区与生活办公区分开，并有隔离设施；生产经营区入口处设置人员更衣消毒室；</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）配备与其生产经营规模相适应的执业兽医或者动物防疫技术人员；</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）配备与其生产经营规模相适应的污水、污物处理设施，清洗消毒设施设备，以及必要的防鼠、防鸟、防虫设施设备；</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）建立隔离消毒、购销台账、日常巡查等动物防疫制度。</w:t>
      </w:r>
    </w:p>
    <w:p>
      <w:pPr>
        <w:pStyle w:val="17"/>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r>
        <w:rPr>
          <w:rFonts w:hint="eastAsia" w:cs="Times New Roman"/>
          <w:color w:val="auto"/>
          <w:highlight w:val="none"/>
          <w:lang w:val="en-US" w:eastAsia="zh-CN"/>
        </w:rPr>
        <w:t>与</w:t>
      </w:r>
      <w:r>
        <w:rPr>
          <w:rFonts w:hint="default" w:ascii="Times New Roman" w:hAnsi="Times New Roman" w:cs="Times New Roman"/>
          <w:color w:val="auto"/>
          <w:highlight w:val="none"/>
        </w:rPr>
        <w:t>动物诊疗场所、居民生活区、生活饮用水水源地、学校、医院等公共场所之间保持必要的距离，场区周围建有围墙等隔离设施；场区出入口处设置运输车辆消毒通道或者消毒池，并单独设置人员消毒通道；生产经营区与生活办公区分开，并有隔离设施；生产经营区入口处设置人员更衣消毒室</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配备与其生产经营规模相适应的执业兽医或者动物防疫技术人员</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粪污经过堆肥后</w:t>
      </w:r>
      <w:r>
        <w:rPr>
          <w:rFonts w:hint="eastAsia" w:cs="Times New Roman"/>
          <w:color w:val="auto"/>
          <w:highlight w:val="none"/>
          <w:lang w:eastAsia="zh-CN"/>
        </w:rPr>
        <w:t>用于垫料及还田利用</w:t>
      </w:r>
      <w:r>
        <w:rPr>
          <w:rFonts w:hint="default" w:ascii="Times New Roman" w:hAnsi="Times New Roman" w:cs="Times New Roman"/>
          <w:color w:val="auto"/>
          <w:highlight w:val="none"/>
        </w:rPr>
        <w:t>，</w:t>
      </w:r>
      <w:r>
        <w:rPr>
          <w:rFonts w:hint="eastAsia" w:cs="Times New Roman"/>
          <w:color w:val="auto"/>
          <w:highlight w:val="none"/>
          <w:lang w:eastAsia="zh-CN"/>
        </w:rPr>
        <w:t>挤奶厅设备和地面清洗废水</w:t>
      </w:r>
      <w:r>
        <w:rPr>
          <w:rFonts w:hint="default" w:ascii="Times New Roman" w:hAnsi="Times New Roman" w:cs="Times New Roman"/>
          <w:color w:val="auto"/>
          <w:highlight w:val="none"/>
          <w:lang w:eastAsia="zh-CN"/>
        </w:rPr>
        <w:t>及生活污水经集污池收集后</w:t>
      </w:r>
      <w:r>
        <w:rPr>
          <w:rFonts w:hint="default" w:ascii="Times New Roman" w:hAnsi="Times New Roman" w:cs="Times New Roman"/>
          <w:color w:val="auto"/>
          <w:highlight w:val="none"/>
          <w:lang w:val="en-US" w:eastAsia="zh-CN"/>
        </w:rPr>
        <w:t>定期</w:t>
      </w:r>
      <w:r>
        <w:rPr>
          <w:rFonts w:hint="eastAsia" w:cs="Times New Roman"/>
          <w:color w:val="auto"/>
          <w:highlight w:val="none"/>
          <w:lang w:val="en-US" w:eastAsia="zh-CN"/>
        </w:rPr>
        <w:t>清掏拉运</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制定</w:t>
      </w:r>
      <w:r>
        <w:rPr>
          <w:rFonts w:hint="default" w:ascii="Times New Roman" w:hAnsi="Times New Roman" w:cs="Times New Roman"/>
          <w:color w:val="auto"/>
          <w:highlight w:val="none"/>
        </w:rPr>
        <w:t>建立隔离消毒、购销台账、日常巡查等动物防疫制度，满足《动物防疫条件审查办法》中</w:t>
      </w:r>
      <w:r>
        <w:rPr>
          <w:rFonts w:hint="default" w:ascii="Times New Roman" w:hAnsi="Times New Roman" w:cs="Times New Roman"/>
          <w:color w:val="auto"/>
          <w:highlight w:val="none"/>
          <w:lang w:eastAsia="zh-CN"/>
        </w:rPr>
        <w:t>相关</w:t>
      </w:r>
      <w:r>
        <w:rPr>
          <w:rFonts w:hint="default" w:ascii="Times New Roman" w:hAnsi="Times New Roman" w:cs="Times New Roman"/>
          <w:color w:val="auto"/>
          <w:highlight w:val="none"/>
        </w:rPr>
        <w:t>要求。</w:t>
      </w:r>
    </w:p>
    <w:p>
      <w:pPr>
        <w:pStyle w:val="5"/>
        <w:pageBreakBefore w:val="0"/>
        <w:wordWrap/>
        <w:bidi w:val="0"/>
        <w:adjustRightInd w:val="0"/>
        <w:ind w:left="0" w:leftChars="0" w:right="0" w:rightChars="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根据《中华人民共和国动物防疫法》（2021年1月22日修订）中第二十四条规定如下：</w:t>
      </w:r>
    </w:p>
    <w:p>
      <w:pPr>
        <w:pStyle w:val="17"/>
        <w:pageBreakBefore w:val="0"/>
        <w:wordWrap/>
        <w:bidi w:val="0"/>
        <w:adjustRightInd w:val="0"/>
        <w:ind w:left="0" w:leftChars="0" w:right="0" w:rightChars="0" w:firstLine="472"/>
        <w:rPr>
          <w:rFonts w:hint="default" w:ascii="Times New Roman" w:hAnsi="Times New Roman" w:cs="Times New Roman"/>
          <w:color w:val="auto"/>
          <w:spacing w:val="-2"/>
          <w:highlight w:val="none"/>
        </w:rPr>
      </w:pPr>
      <w:r>
        <w:rPr>
          <w:rFonts w:hint="default" w:ascii="Times New Roman" w:hAnsi="Times New Roman" w:cs="Times New Roman"/>
          <w:color w:val="auto"/>
          <w:spacing w:val="-2"/>
          <w:highlight w:val="none"/>
        </w:rPr>
        <w:t>第二十四条 动物饲养场和隔离场所、动物屠宰加工场所以及动物和动物产品无害化处理场所，应当符合下列动物防疫条件：场所的位置与居民生活区、生活饮用水水源地、学校、医院等公共场所的距离符合国务院农业农村主管部门的规定。</w:t>
      </w:r>
    </w:p>
    <w:p>
      <w:pPr>
        <w:pStyle w:val="17"/>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r>
        <w:rPr>
          <w:rFonts w:hint="default" w:ascii="Times New Roman" w:hAnsi="Times New Roman" w:cs="Times New Roman"/>
          <w:color w:val="auto"/>
          <w:highlight w:val="none"/>
          <w:lang w:val="en-US" w:eastAsia="zh-CN"/>
        </w:rPr>
        <w:t>周边无</w:t>
      </w:r>
      <w:r>
        <w:rPr>
          <w:rFonts w:hint="default" w:ascii="Times New Roman" w:hAnsi="Times New Roman" w:cs="Times New Roman"/>
          <w:color w:val="auto"/>
          <w:spacing w:val="-2"/>
          <w:highlight w:val="none"/>
        </w:rPr>
        <w:t>居民生活区、生活饮用水水源地、学校、医院等公共场所</w:t>
      </w:r>
      <w:r>
        <w:rPr>
          <w:rFonts w:hint="default" w:ascii="Times New Roman" w:hAnsi="Times New Roman" w:cs="Times New Roman"/>
          <w:color w:val="auto"/>
          <w:highlight w:val="none"/>
        </w:rPr>
        <w:t>符合国务院农业农村主管部门的规定，符合《中华人民共和国动物防疫法》（2021年1月22日修订）的要求。</w:t>
      </w:r>
    </w:p>
    <w:p>
      <w:pPr>
        <w:pStyle w:val="5"/>
        <w:keepNext/>
        <w:keepLines/>
        <w:pageBreakBefore w:val="0"/>
        <w:widowControl w:val="0"/>
        <w:kinsoku/>
        <w:wordWrap/>
        <w:overflowPunct/>
        <w:topLinePunct w:val="0"/>
        <w:autoSpaceDE/>
        <w:autoSpaceDN/>
        <w:bidi w:val="0"/>
        <w:adjustRightInd w:val="0"/>
        <w:snapToGrid w:val="0"/>
        <w:ind w:left="0" w:leftChars="0" w:right="0" w:rightChars="0" w:firstLineChars="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与</w:t>
      </w:r>
      <w:r>
        <w:rPr>
          <w:rFonts w:hint="default" w:ascii="Times New Roman" w:hAnsi="Times New Roman" w:eastAsia="宋体" w:cs="Times New Roman"/>
          <w:color w:val="auto"/>
          <w:highlight w:val="none"/>
        </w:rPr>
        <w:t>《畜禽养殖业污染治理工程技术规范》（HJ497-2009）</w:t>
      </w:r>
      <w:r>
        <w:rPr>
          <w:rFonts w:hint="default" w:ascii="Times New Roman" w:hAnsi="Times New Roman" w:eastAsia="宋体" w:cs="Times New Roman"/>
          <w:color w:val="auto"/>
          <w:highlight w:val="none"/>
          <w:lang w:val="en-US" w:eastAsia="zh-CN"/>
        </w:rPr>
        <w:t>符合性分析</w:t>
      </w:r>
    </w:p>
    <w:p>
      <w:pPr>
        <w:pStyle w:val="17"/>
        <w:pageBreakBefore w:val="0"/>
        <w:wordWrap/>
        <w:bidi w:val="0"/>
        <w:adjustRightInd w:val="0"/>
        <w:ind w:left="0" w:leftChars="0" w:right="0" w:rightChars="0" w:firstLine="48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畜禽养殖业污染治理工程应与养殖场生产区、居民区等建筑保持一定的卫生防护距离，设置在畜禽养殖场的生产区、生活区主导风向的下风向或侧风向处</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畜禽养殖业污染治理工程的位置应有利于排放、资源化利用和运输，并留有扩建的余地，方便施工、运行和维护</w:t>
      </w:r>
      <w:r>
        <w:rPr>
          <w:rFonts w:hint="default" w:ascii="Times New Roman" w:hAnsi="Times New Roman" w:eastAsia="宋体" w:cs="Times New Roman"/>
          <w:color w:val="auto"/>
          <w:highlight w:val="none"/>
          <w:lang w:eastAsia="zh-CN"/>
        </w:rPr>
        <w:t>；</w:t>
      </w:r>
    </w:p>
    <w:p>
      <w:pPr>
        <w:pStyle w:val="17"/>
        <w:pageBreakBefore w:val="0"/>
        <w:wordWrap/>
        <w:bidi w:val="0"/>
        <w:adjustRightInd w:val="0"/>
        <w:ind w:left="0" w:leftChars="0" w:right="0" w:rightChars="0" w:firstLine="48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堆粪场</w:t>
      </w:r>
      <w:r>
        <w:rPr>
          <w:rFonts w:hint="default" w:ascii="Times New Roman" w:hAnsi="Times New Roman" w:eastAsia="宋体" w:cs="Times New Roman"/>
          <w:color w:val="auto"/>
          <w:highlight w:val="none"/>
          <w:lang w:val="en-US" w:eastAsia="zh-CN"/>
        </w:rPr>
        <w:t>位于</w:t>
      </w:r>
      <w:r>
        <w:rPr>
          <w:rFonts w:hint="default" w:ascii="Times New Roman" w:hAnsi="Times New Roman" w:eastAsia="宋体" w:cs="Times New Roman"/>
          <w:color w:val="auto"/>
          <w:highlight w:val="none"/>
        </w:rPr>
        <w:t>养殖场生活区常年主导风向的</w:t>
      </w:r>
      <w:r>
        <w:rPr>
          <w:rFonts w:hint="default" w:ascii="Times New Roman" w:hAnsi="Times New Roman" w:cs="Times New Roman"/>
          <w:color w:val="auto"/>
          <w:highlight w:val="none"/>
          <w:lang w:val="en-US" w:eastAsia="zh-CN"/>
        </w:rPr>
        <w:t>下</w:t>
      </w:r>
      <w:r>
        <w:rPr>
          <w:rFonts w:hint="default" w:ascii="Times New Roman" w:hAnsi="Times New Roman" w:eastAsia="宋体" w:cs="Times New Roman"/>
          <w:color w:val="auto"/>
          <w:highlight w:val="none"/>
        </w:rPr>
        <w:t>风向</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且</w:t>
      </w:r>
      <w:r>
        <w:rPr>
          <w:rFonts w:hint="default" w:ascii="Times New Roman" w:hAnsi="Times New Roman" w:eastAsia="宋体" w:cs="Times New Roman"/>
          <w:color w:val="auto"/>
          <w:highlight w:val="none"/>
        </w:rPr>
        <w:t>位置有利于排放、资源化利用和运输，并留有扩建的余地，方便施工、运行和维护</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符合</w:t>
      </w:r>
      <w:r>
        <w:rPr>
          <w:rFonts w:hint="default" w:ascii="Times New Roman" w:hAnsi="Times New Roman" w:eastAsia="宋体" w:cs="Times New Roman"/>
          <w:color w:val="auto"/>
          <w:highlight w:val="none"/>
        </w:rPr>
        <w:t>《畜禽养殖业污染治理工程技术规范》（HJ497-2009）</w:t>
      </w:r>
      <w:r>
        <w:rPr>
          <w:rFonts w:hint="default" w:ascii="Times New Roman" w:hAnsi="Times New Roman" w:eastAsia="宋体" w:cs="Times New Roman"/>
          <w:color w:val="auto"/>
          <w:highlight w:val="none"/>
          <w:lang w:val="en-US" w:eastAsia="zh-CN"/>
        </w:rPr>
        <w:t>的要求。</w:t>
      </w:r>
    </w:p>
    <w:p>
      <w:pPr>
        <w:pStyle w:val="5"/>
        <w:pageBreakBefore w:val="0"/>
        <w:wordWrap/>
        <w:bidi w:val="0"/>
        <w:adjustRightInd w:val="0"/>
        <w:ind w:left="0" w:leftChars="0" w:right="0" w:rightChars="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《新疆维吾尔自治区环境保护条例》（2018年修正）符合性分析</w:t>
      </w:r>
    </w:p>
    <w:p>
      <w:pPr>
        <w:pStyle w:val="17"/>
        <w:pageBreakBefore w:val="0"/>
        <w:wordWrap/>
        <w:bidi w:val="0"/>
        <w:adjustRightInd w:val="0"/>
        <w:ind w:left="0" w:leftChars="0" w:right="0" w:rightChars="0"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新疆维吾尔自治区环境保护条例</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要求</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森林公园、世界自然和文化遗产地、文物保护单位保护范围及其他历史、文化、自然保护地禁止建设畜禽养殖场</w:t>
      </w:r>
      <w:r>
        <w:rPr>
          <w:rFonts w:hint="default" w:ascii="Times New Roman" w:hAnsi="Times New Roman" w:eastAsia="宋体" w:cs="Times New Roman"/>
          <w:color w:val="auto"/>
          <w:highlight w:val="none"/>
          <w:lang w:val="en-US" w:eastAsia="zh-CN"/>
        </w:rPr>
        <w:t>。</w:t>
      </w:r>
    </w:p>
    <w:p>
      <w:pPr>
        <w:pageBreakBefore w:val="0"/>
        <w:wordWrap/>
        <w:bidi w:val="0"/>
        <w:adjustRightInd w:val="0"/>
        <w:ind w:left="0" w:leftChars="0" w:right="0" w:right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本项目位于</w:t>
      </w:r>
      <w:r>
        <w:rPr>
          <w:rFonts w:hint="default" w:ascii="Times New Roman" w:hAnsi="Times New Roman" w:cs="Times New Roman"/>
          <w:color w:val="auto"/>
          <w:highlight w:val="none"/>
          <w:lang w:eastAsia="zh-CN"/>
        </w:rPr>
        <w:t>塔城市博孜达克镇三园子村</w:t>
      </w:r>
      <w:r>
        <w:rPr>
          <w:rFonts w:hint="default" w:ascii="Times New Roman" w:hAnsi="Times New Roman" w:cs="Times New Roman"/>
          <w:color w:val="auto"/>
          <w:highlight w:val="none"/>
        </w:rPr>
        <w:t>。依据项目现场勘查，项目</w:t>
      </w:r>
      <w:r>
        <w:rPr>
          <w:rFonts w:hint="default" w:ascii="Times New Roman" w:hAnsi="Times New Roman" w:cs="Times New Roman"/>
          <w:color w:val="auto"/>
          <w:highlight w:val="none"/>
          <w:lang w:val="en-US" w:eastAsia="zh-CN"/>
        </w:rPr>
        <w:t>不位于</w:t>
      </w:r>
      <w:r>
        <w:rPr>
          <w:rFonts w:hint="default" w:ascii="Times New Roman" w:hAnsi="Times New Roman" w:eastAsia="宋体" w:cs="Times New Roman"/>
          <w:color w:val="auto"/>
          <w:highlight w:val="none"/>
        </w:rPr>
        <w:t>森林公园、世界自然和文化遗产地、文物保护单位保护范围及其他历史、文化、自然保护地</w:t>
      </w:r>
      <w:r>
        <w:rPr>
          <w:rFonts w:hint="default" w:ascii="Times New Roman" w:hAnsi="Times New Roman" w:eastAsia="宋体" w:cs="Times New Roman"/>
          <w:color w:val="auto"/>
          <w:highlight w:val="none"/>
          <w:lang w:val="en-US" w:eastAsia="zh-CN"/>
        </w:rPr>
        <w:t>。符合</w:t>
      </w:r>
      <w:r>
        <w:rPr>
          <w:rFonts w:hint="default" w:ascii="Times New Roman" w:hAnsi="Times New Roman" w:eastAsia="宋体" w:cs="Times New Roman"/>
          <w:color w:val="auto"/>
          <w:highlight w:val="none"/>
        </w:rPr>
        <w:t>《新疆维吾尔自治区环境保护条例》</w:t>
      </w:r>
      <w:r>
        <w:rPr>
          <w:rFonts w:hint="default" w:ascii="Times New Roman" w:hAnsi="Times New Roman" w:eastAsia="宋体" w:cs="Times New Roman"/>
          <w:color w:val="auto"/>
          <w:highlight w:val="none"/>
          <w:lang w:val="en-US" w:eastAsia="zh-CN"/>
        </w:rPr>
        <w:t>要求。</w:t>
      </w:r>
    </w:p>
    <w:p>
      <w:pPr>
        <w:pStyle w:val="5"/>
        <w:pageBreakBefore w:val="0"/>
        <w:wordWrap/>
        <w:bidi w:val="0"/>
        <w:adjustRightInd w:val="0"/>
        <w:ind w:left="0" w:leftChars="0" w:right="0" w:rightChars="0" w:firstLineChars="0"/>
        <w:rPr>
          <w:rFonts w:hint="default" w:ascii="Times New Roman" w:hAnsi="Times New Roman" w:eastAsia="宋体" w:cs="Times New Roman"/>
          <w:color w:val="auto"/>
          <w:highlight w:val="none"/>
          <w:lang w:val="en-US" w:eastAsia="zh-CN"/>
        </w:rPr>
      </w:pPr>
      <w:bookmarkStart w:id="54" w:name="_Toc25385"/>
      <w:r>
        <w:rPr>
          <w:rFonts w:hint="default" w:ascii="Times New Roman" w:hAnsi="Times New Roman" w:eastAsia="宋体" w:cs="Times New Roman"/>
          <w:color w:val="auto"/>
          <w:highlight w:val="none"/>
          <w:lang w:val="en-US" w:eastAsia="zh-CN"/>
        </w:rPr>
        <w:t>小结</w:t>
      </w:r>
      <w:bookmarkEnd w:id="54"/>
    </w:p>
    <w:p>
      <w:pPr>
        <w:pageBreakBefore w:val="0"/>
        <w:wordWrap/>
        <w:bidi w:val="0"/>
        <w:adjustRightInd w:val="0"/>
        <w:ind w:left="0" w:leftChars="0" w:right="0" w:rightChars="0"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综上所述，从环境保护角度分析本项目选址合理。</w:t>
      </w:r>
    </w:p>
    <w:p>
      <w:pPr>
        <w:pStyle w:val="4"/>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rPr>
      </w:pPr>
      <w:bookmarkStart w:id="55" w:name="_Toc25193"/>
      <w:r>
        <w:rPr>
          <w:rFonts w:hint="default" w:ascii="Times New Roman" w:hAnsi="Times New Roman" w:eastAsia="宋体" w:cs="Times New Roman"/>
          <w:color w:val="auto"/>
          <w:highlight w:val="none"/>
        </w:rPr>
        <w:t>关注的主要环境问题及环境影响</w:t>
      </w:r>
      <w:bookmarkEnd w:id="50"/>
      <w:bookmarkEnd w:id="51"/>
      <w:bookmarkEnd w:id="55"/>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本项目为奶牛场标准化养殖场建设项目，本次环评关注的主要环境问题一是选址的环境合理性，二是恶臭无组织排放控制、三是粪污的合理处理处置及去向</w:t>
      </w:r>
      <w:r>
        <w:rPr>
          <w:rFonts w:hint="eastAsia" w:cs="Times New Roman"/>
          <w:color w:val="auto"/>
          <w:highlight w:val="none"/>
          <w:lang w:val="en-US" w:eastAsia="zh-CN"/>
        </w:rPr>
        <w:t>、</w:t>
      </w:r>
      <w:r>
        <w:rPr>
          <w:rFonts w:hint="eastAsia"/>
          <w:color w:val="auto"/>
          <w:lang w:val="en-US" w:eastAsia="zh-CN"/>
        </w:rPr>
        <w:t>四是</w:t>
      </w:r>
      <w:r>
        <w:rPr>
          <w:rFonts w:hint="eastAsia"/>
          <w:color w:val="auto"/>
        </w:rPr>
        <w:t>病死牛尸体</w:t>
      </w:r>
      <w:r>
        <w:rPr>
          <w:rFonts w:hint="eastAsia"/>
          <w:color w:val="auto"/>
          <w:lang w:eastAsia="zh-CN"/>
        </w:rPr>
        <w:t>、</w:t>
      </w:r>
      <w:r>
        <w:rPr>
          <w:rFonts w:hint="eastAsia"/>
          <w:color w:val="auto"/>
        </w:rPr>
        <w:t>分娩废物、医疗垃圾的产生情况</w:t>
      </w:r>
      <w:r>
        <w:rPr>
          <w:rFonts w:hint="eastAsia" w:cs="Times New Roman"/>
          <w:color w:val="auto"/>
          <w:highlight w:val="none"/>
          <w:lang w:val="en-US" w:eastAsia="zh-CN"/>
        </w:rPr>
        <w:t>及</w:t>
      </w:r>
      <w:r>
        <w:rPr>
          <w:rFonts w:hint="eastAsia"/>
          <w:color w:val="auto"/>
        </w:rPr>
        <w:t>各类固体废物的暂存设施设置的规范情况和处置是否符合环保要求</w:t>
      </w:r>
      <w:r>
        <w:rPr>
          <w:rFonts w:hint="default" w:ascii="Times New Roman" w:hAnsi="Times New Roman" w:eastAsia="宋体" w:cs="Times New Roman"/>
          <w:color w:val="auto"/>
          <w:highlight w:val="none"/>
          <w:lang w:val="en-US" w:eastAsia="zh-CN"/>
        </w:rPr>
        <w:t>；关注的主要环境影响是臭气对大气的影响以及固体粪污的环境影响。</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本项目主要环境影响为：</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（1）大气环境影响</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由估算结果可知，恶臭污染物NH</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rPr>
        <w:t>、H</w:t>
      </w:r>
      <w:r>
        <w:rPr>
          <w:rFonts w:hint="default" w:ascii="Times New Roman" w:hAnsi="Times New Roman" w:eastAsia="宋体" w:cs="Times New Roman"/>
          <w:color w:val="auto"/>
          <w:highlight w:val="none"/>
          <w:vertAlign w:val="subscript"/>
        </w:rPr>
        <w:t>2</w:t>
      </w:r>
      <w:r>
        <w:rPr>
          <w:rFonts w:hint="default" w:ascii="Times New Roman" w:hAnsi="Times New Roman" w:eastAsia="宋体" w:cs="Times New Roman"/>
          <w:color w:val="auto"/>
          <w:highlight w:val="none"/>
        </w:rPr>
        <w:t>S</w:t>
      </w:r>
      <w:r>
        <w:rPr>
          <w:rFonts w:hint="default" w:ascii="Times New Roman" w:hAnsi="Times New Roman" w:eastAsia="宋体" w:cs="Times New Roman"/>
          <w:color w:val="auto"/>
          <w:highlight w:val="none"/>
          <w:lang w:eastAsia="zh-CN"/>
        </w:rPr>
        <w:t>、</w:t>
      </w:r>
      <w:r>
        <w:rPr>
          <w:rFonts w:hint="default" w:ascii="Times New Roman" w:hAnsi="Times New Roman" w:cs="Times New Roman"/>
          <w:color w:val="auto"/>
          <w:highlight w:val="none"/>
          <w:lang w:val="en-US" w:eastAsia="zh-CN"/>
        </w:rPr>
        <w:t>颗粒物</w:t>
      </w:r>
      <w:r>
        <w:rPr>
          <w:rFonts w:hint="default" w:ascii="Times New Roman" w:hAnsi="Times New Roman" w:eastAsia="宋体" w:cs="Times New Roman"/>
          <w:color w:val="auto"/>
          <w:highlight w:val="none"/>
        </w:rPr>
        <w:t>占标率</w:t>
      </w:r>
      <w:r>
        <w:rPr>
          <w:rFonts w:hint="default" w:ascii="Times New Roman" w:hAnsi="Times New Roman" w:cs="Times New Roman"/>
          <w:color w:val="auto"/>
          <w:highlight w:val="none"/>
          <w:lang w:val="en-US" w:eastAsia="zh-CN"/>
        </w:rPr>
        <w:t>均</w:t>
      </w:r>
      <w:r>
        <w:rPr>
          <w:rFonts w:hint="default" w:ascii="Times New Roman" w:hAnsi="Times New Roman" w:eastAsia="宋体" w:cs="Times New Roman"/>
          <w:color w:val="auto"/>
          <w:highlight w:val="none"/>
        </w:rPr>
        <w:t>&lt;10%，各类污染物对地面的贡献浓度均较小，对环境空气不会产生明显的影响，各类污染物排放均满足相应要求。场界无组织废气排放满足《恶臭污染物排放标准》</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GB14554-1993</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中表1标准限值及《畜禽养殖业污染物排放标准》（GB18596-2001）表7标准限值。因此，项目实施后不会对区域大气环境产生明显影响。</w:t>
      </w:r>
    </w:p>
    <w:p>
      <w:pPr>
        <w:pageBreakBefore w:val="0"/>
        <w:wordWrap/>
        <w:bidi w:val="0"/>
        <w:adjustRightInd w:val="0"/>
        <w:ind w:left="0" w:leftChars="0" w:right="0" w:rightChars="0" w:firstLine="48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2）水环境影响</w:t>
      </w:r>
    </w:p>
    <w:p>
      <w:pPr>
        <w:pageBreakBefore w:val="0"/>
        <w:wordWrap/>
        <w:bidi w:val="0"/>
        <w:adjustRightInd w:val="0"/>
        <w:ind w:left="0" w:leftChars="0" w:right="0" w:rightChars="0" w:firstLine="480"/>
        <w:rPr>
          <w:rFonts w:hint="eastAsia" w:ascii="Times New Roman" w:hAnsi="Times New Roman" w:eastAsia="宋体" w:cs="Times New Roman"/>
          <w:color w:val="auto"/>
          <w:highlight w:val="none"/>
          <w:lang w:eastAsia="zh-CN"/>
        </w:rPr>
      </w:pPr>
      <w:r>
        <w:rPr>
          <w:rFonts w:hint="eastAsia" w:cs="Times New Roman"/>
          <w:color w:val="auto"/>
          <w:kern w:val="0"/>
          <w:sz w:val="24"/>
          <w:szCs w:val="24"/>
          <w:highlight w:val="none"/>
          <w:lang w:val="en-US" w:eastAsia="zh-CN" w:bidi="ar"/>
        </w:rPr>
        <w:t>牛尿进入垫料中，</w:t>
      </w:r>
      <w:r>
        <w:rPr>
          <w:rFonts w:hint="default" w:ascii="Times New Roman" w:hAnsi="Times New Roman" w:eastAsia="宋体" w:cs="Times New Roman"/>
          <w:color w:val="auto"/>
          <w:kern w:val="0"/>
          <w:sz w:val="24"/>
          <w:szCs w:val="24"/>
          <w:highlight w:val="none"/>
          <w:lang w:val="en-US" w:eastAsia="zh-CN" w:bidi="ar"/>
        </w:rPr>
        <w:t>部分自然蒸发，剩余</w:t>
      </w:r>
      <w:r>
        <w:rPr>
          <w:rFonts w:hint="eastAsia" w:cs="Times New Roman"/>
          <w:color w:val="auto"/>
          <w:kern w:val="0"/>
          <w:sz w:val="24"/>
          <w:szCs w:val="24"/>
          <w:highlight w:val="none"/>
          <w:lang w:val="en-US" w:eastAsia="zh-CN" w:bidi="ar"/>
        </w:rPr>
        <w:t>部分与垫料</w:t>
      </w:r>
      <w:r>
        <w:rPr>
          <w:rFonts w:hint="default" w:ascii="Times New Roman" w:hAnsi="Times New Roman" w:eastAsia="宋体" w:cs="Times New Roman"/>
          <w:color w:val="auto"/>
          <w:kern w:val="0"/>
          <w:sz w:val="24"/>
          <w:szCs w:val="24"/>
          <w:highlight w:val="none"/>
          <w:lang w:val="en-US" w:eastAsia="zh-CN" w:bidi="ar"/>
        </w:rPr>
        <w:t>一起进入</w:t>
      </w:r>
      <w:r>
        <w:rPr>
          <w:rFonts w:hint="default" w:ascii="Times New Roman" w:hAnsi="Times New Roman" w:cs="Times New Roman"/>
          <w:color w:val="auto"/>
          <w:kern w:val="0"/>
          <w:sz w:val="24"/>
          <w:szCs w:val="24"/>
          <w:highlight w:val="none"/>
          <w:lang w:val="en-US" w:eastAsia="zh-CN" w:bidi="ar"/>
        </w:rPr>
        <w:t>堆粪场</w:t>
      </w:r>
      <w:r>
        <w:rPr>
          <w:rFonts w:hint="default" w:ascii="Times New Roman" w:hAnsi="Times New Roman" w:eastAsia="宋体" w:cs="Times New Roman"/>
          <w:color w:val="auto"/>
          <w:kern w:val="0"/>
          <w:sz w:val="24"/>
          <w:szCs w:val="24"/>
          <w:highlight w:val="none"/>
          <w:lang w:val="en-US" w:eastAsia="zh-CN" w:bidi="ar"/>
        </w:rPr>
        <w:t>，不外排</w:t>
      </w:r>
      <w:r>
        <w:rPr>
          <w:rFonts w:hint="eastAsia" w:ascii="Times New Roman" w:hAnsi="Times New Roman" w:eastAsia="宋体" w:cs="Times New Roman"/>
          <w:color w:val="auto"/>
          <w:highlight w:val="none"/>
          <w:lang w:eastAsia="zh-CN"/>
        </w:rPr>
        <w:t>；</w:t>
      </w:r>
      <w:r>
        <w:rPr>
          <w:rFonts w:hint="eastAsia" w:cs="Times New Roman"/>
          <w:color w:val="auto"/>
          <w:highlight w:val="none"/>
          <w:lang w:eastAsia="zh-CN"/>
        </w:rPr>
        <w:t>挤奶厅设备和地面清洗废水</w:t>
      </w:r>
      <w:r>
        <w:rPr>
          <w:rFonts w:hint="default" w:ascii="Times New Roman" w:hAnsi="Times New Roman" w:eastAsia="宋体" w:cs="Times New Roman"/>
          <w:color w:val="auto"/>
          <w:highlight w:val="none"/>
        </w:rPr>
        <w:t>全部排入</w:t>
      </w:r>
      <w:r>
        <w:rPr>
          <w:rFonts w:hint="eastAsia" w:ascii="Times New Roman" w:hAnsi="Times New Roman" w:eastAsia="宋体" w:cs="Times New Roman"/>
          <w:color w:val="auto"/>
          <w:highlight w:val="none"/>
          <w:lang w:eastAsia="zh-CN"/>
        </w:rPr>
        <w:t>集污池后定期清掏。</w:t>
      </w:r>
      <w:r>
        <w:rPr>
          <w:rFonts w:hint="eastAsia" w:ascii="Times New Roman" w:hAnsi="Times New Roman" w:eastAsia="宋体" w:cs="Times New Roman"/>
          <w:color w:val="auto"/>
          <w:highlight w:val="none"/>
        </w:rPr>
        <w:t>生活污水暂存于</w:t>
      </w:r>
      <w:r>
        <w:rPr>
          <w:rFonts w:hint="eastAsia" w:ascii="Times New Roman" w:hAnsi="Times New Roman" w:eastAsia="宋体" w:cs="Times New Roman"/>
          <w:color w:val="auto"/>
          <w:highlight w:val="none"/>
          <w:lang w:eastAsia="zh-CN"/>
        </w:rPr>
        <w:t>集污池</w:t>
      </w: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定期拉运</w:t>
      </w:r>
      <w:r>
        <w:rPr>
          <w:rFonts w:hint="eastAsia" w:ascii="Times New Roman" w:hAnsi="Times New Roman" w:eastAsia="宋体" w:cs="Times New Roman"/>
          <w:color w:val="auto"/>
          <w:highlight w:val="none"/>
          <w:lang w:val="en-US" w:eastAsia="zh-CN"/>
        </w:rPr>
        <w:t>至</w:t>
      </w:r>
      <w:r>
        <w:rPr>
          <w:rFonts w:hint="eastAsia" w:cs="Times New Roman"/>
          <w:color w:val="auto"/>
          <w:highlight w:val="none"/>
          <w:lang w:val="en-US" w:eastAsia="zh-CN"/>
        </w:rPr>
        <w:t>塔城市污水厂</w:t>
      </w:r>
      <w:r>
        <w:rPr>
          <w:rFonts w:hint="eastAsia" w:ascii="Times New Roman" w:hAnsi="Times New Roman" w:eastAsia="宋体" w:cs="Times New Roman"/>
          <w:color w:val="auto"/>
          <w:highlight w:val="none"/>
        </w:rPr>
        <w:t>处理</w:t>
      </w:r>
      <w:r>
        <w:rPr>
          <w:rFonts w:hint="eastAsia" w:ascii="Times New Roman" w:hAnsi="Times New Roman" w:eastAsia="宋体" w:cs="Times New Roman"/>
          <w:color w:val="auto"/>
          <w:highlight w:val="none"/>
          <w:lang w:eastAsia="zh-CN"/>
        </w:rPr>
        <w:t>。</w:t>
      </w:r>
    </w:p>
    <w:p>
      <w:pPr>
        <w:pageBreakBefore w:val="0"/>
        <w:wordWrap/>
        <w:bidi w:val="0"/>
        <w:adjustRightInd w:val="0"/>
        <w:ind w:left="0" w:leftChars="0" w:right="0" w:rightChars="0" w:firstLine="48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声</w:t>
      </w:r>
      <w:r>
        <w:rPr>
          <w:rFonts w:hint="eastAsia" w:ascii="Times New Roman" w:hAnsi="Times New Roman" w:eastAsia="宋体" w:cs="Times New Roman"/>
          <w:color w:val="auto"/>
          <w:highlight w:val="none"/>
          <w:lang w:val="en-US" w:eastAsia="zh-CN"/>
        </w:rPr>
        <w:t>环境影响</w:t>
      </w:r>
    </w:p>
    <w:p>
      <w:pPr>
        <w:pageBreakBefore w:val="0"/>
        <w:wordWrap/>
        <w:bidi w:val="0"/>
        <w:adjustRightInd w:val="0"/>
        <w:ind w:left="0" w:leftChars="0" w:right="0" w:rightChars="0" w:firstLine="480"/>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采取选取低噪声设备</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eastAsia="zh-CN"/>
        </w:rPr>
        <w:t>减振、隔声、合理布局等措施</w:t>
      </w:r>
      <w:r>
        <w:rPr>
          <w:rFonts w:hint="eastAsia" w:ascii="Times New Roman" w:hAnsi="Times New Roman" w:eastAsia="宋体" w:cs="Times New Roman"/>
          <w:color w:val="auto"/>
          <w:highlight w:val="none"/>
          <w:lang w:eastAsia="zh-CN"/>
        </w:rPr>
        <w:t>。</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hint="eastAsia" w:cs="Times New Roman"/>
          <w:color w:val="auto"/>
          <w:highlight w:val="none"/>
          <w:lang w:val="en-US" w:eastAsia="zh-CN"/>
        </w:rPr>
        <w:t>4</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固体粪污</w:t>
      </w:r>
      <w:r>
        <w:rPr>
          <w:rFonts w:hint="default" w:ascii="Times New Roman" w:hAnsi="Times New Roman" w:eastAsia="宋体" w:cs="Times New Roman"/>
          <w:color w:val="auto"/>
          <w:highlight w:val="none"/>
        </w:rPr>
        <w:t>环境影响</w:t>
      </w:r>
    </w:p>
    <w:p>
      <w:pPr>
        <w:pageBreakBefore w:val="0"/>
        <w:wordWrap/>
        <w:bidi w:val="0"/>
        <w:adjustRightInd w:val="0"/>
        <w:ind w:left="0" w:leftChars="0" w:right="0" w:rightChars="0" w:firstLine="480"/>
        <w:rPr>
          <w:rFonts w:hint="default" w:ascii="Times New Roman" w:hAnsi="Times New Roman" w:cs="Times New Roman"/>
          <w:color w:val="auto"/>
        </w:rPr>
      </w:pPr>
      <w:r>
        <w:rPr>
          <w:rFonts w:hint="default" w:ascii="Times New Roman" w:hAnsi="Times New Roman" w:eastAsia="宋体" w:cs="Times New Roman"/>
          <w:color w:val="auto"/>
          <w:highlight w:val="none"/>
        </w:rPr>
        <w:t>本项目固体废物处置遵循无害化、减量化、资源化的原则。</w:t>
      </w:r>
      <w:r>
        <w:rPr>
          <w:rFonts w:hint="default" w:ascii="Times New Roman" w:hAnsi="Times New Roman" w:eastAsia="宋体" w:cs="Times New Roman"/>
          <w:color w:val="auto"/>
          <w:highlight w:val="none"/>
          <w:lang w:eastAsia="zh-CN"/>
        </w:rPr>
        <w:t>粪污</w:t>
      </w:r>
      <w:r>
        <w:rPr>
          <w:rFonts w:hint="default" w:ascii="Times New Roman" w:hAnsi="Times New Roman" w:eastAsia="宋体" w:cs="Times New Roman"/>
          <w:color w:val="auto"/>
          <w:highlight w:val="none"/>
        </w:rPr>
        <w:t>由清粪车清运至</w:t>
      </w:r>
      <w:r>
        <w:rPr>
          <w:rFonts w:hint="default" w:ascii="Times New Roman" w:hAnsi="Times New Roman" w:cs="Times New Roman"/>
          <w:color w:val="auto"/>
          <w:highlight w:val="none"/>
          <w:lang w:eastAsia="zh-CN"/>
        </w:rPr>
        <w:t>堆粪场</w:t>
      </w:r>
      <w:r>
        <w:rPr>
          <w:rFonts w:hint="default" w:ascii="Times New Roman" w:hAnsi="Times New Roman" w:eastAsia="宋体" w:cs="Times New Roman"/>
          <w:color w:val="auto"/>
          <w:highlight w:val="none"/>
        </w:rPr>
        <w:t>，堆肥处理后</w:t>
      </w:r>
      <w:r>
        <w:rPr>
          <w:rFonts w:hint="eastAsia" w:cs="Times New Roman"/>
          <w:color w:val="auto"/>
          <w:highlight w:val="none"/>
          <w:lang w:eastAsia="zh-CN"/>
        </w:rPr>
        <w:t>用于垫料及还田利用</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病死牛尸体</w:t>
      </w:r>
      <w:r>
        <w:rPr>
          <w:rFonts w:hint="default" w:ascii="Times New Roman" w:hAnsi="Times New Roman" w:eastAsia="宋体" w:cs="Times New Roman"/>
          <w:color w:val="auto"/>
          <w:highlight w:val="none"/>
        </w:rPr>
        <w:t>由</w:t>
      </w:r>
      <w:r>
        <w:rPr>
          <w:rFonts w:hint="eastAsia" w:ascii="Times New Roman" w:hAnsi="Times New Roman" w:eastAsia="宋体" w:cs="Times New Roman"/>
          <w:color w:val="auto"/>
          <w:highlight w:val="none"/>
          <w:lang w:val="en-US" w:eastAsia="zh-CN"/>
        </w:rPr>
        <w:t>安全填埋井填埋。医疗废物暂存间暂存后</w:t>
      </w:r>
      <w:r>
        <w:rPr>
          <w:rFonts w:hint="default" w:ascii="Times New Roman" w:hAnsi="Times New Roman" w:eastAsia="宋体" w:cs="Times New Roman"/>
          <w:color w:val="auto"/>
          <w:highlight w:val="none"/>
        </w:rPr>
        <w:t>定期由有资质单位处理</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生活垃圾</w:t>
      </w:r>
      <w:r>
        <w:rPr>
          <w:rFonts w:hint="default" w:ascii="Times New Roman" w:hAnsi="Times New Roman" w:eastAsia="宋体" w:cs="Times New Roman"/>
          <w:color w:val="auto"/>
          <w:highlight w:val="none"/>
        </w:rPr>
        <w:t>委托当地环卫部门定期清运</w:t>
      </w:r>
      <w:r>
        <w:rPr>
          <w:rFonts w:hint="eastAsia" w:ascii="Times New Roman" w:hAnsi="Times New Roman" w:eastAsia="宋体" w:cs="Times New Roman"/>
          <w:color w:val="auto"/>
          <w:highlight w:val="none"/>
          <w:lang w:eastAsia="zh-CN"/>
        </w:rPr>
        <w:t>。</w:t>
      </w:r>
    </w:p>
    <w:p>
      <w:pPr>
        <w:pStyle w:val="4"/>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lang w:val="zh-CN"/>
        </w:rPr>
      </w:pPr>
      <w:bookmarkStart w:id="56" w:name="_Toc9652"/>
      <w:bookmarkStart w:id="57" w:name="_Toc38"/>
      <w:bookmarkStart w:id="58" w:name="_Toc21103"/>
      <w:r>
        <w:rPr>
          <w:rFonts w:hint="default" w:ascii="Times New Roman" w:hAnsi="Times New Roman" w:eastAsia="宋体" w:cs="Times New Roman"/>
          <w:color w:val="auto"/>
          <w:highlight w:val="none"/>
          <w:lang w:val="zh-CN"/>
        </w:rPr>
        <w:t>环境影响报告书的主要结论</w:t>
      </w:r>
      <w:bookmarkEnd w:id="56"/>
      <w:bookmarkEnd w:id="57"/>
      <w:bookmarkEnd w:id="58"/>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本项目符合国家</w:t>
      </w:r>
      <w:r>
        <w:rPr>
          <w:rFonts w:hint="default" w:ascii="Times New Roman" w:hAnsi="Times New Roman" w:cs="Times New Roman"/>
          <w:color w:val="auto"/>
          <w:highlight w:val="none"/>
          <w:lang w:val="en-US" w:eastAsia="zh-CN"/>
        </w:rPr>
        <w:t>及地方当前</w:t>
      </w:r>
      <w:r>
        <w:rPr>
          <w:rFonts w:hint="default" w:ascii="Times New Roman" w:hAnsi="Times New Roman" w:eastAsia="宋体" w:cs="Times New Roman"/>
          <w:color w:val="auto"/>
          <w:highlight w:val="none"/>
        </w:rPr>
        <w:t>产业政策，选址</w:t>
      </w:r>
      <w:r>
        <w:rPr>
          <w:rFonts w:hint="default" w:ascii="Times New Roman" w:hAnsi="Times New Roman" w:cs="Times New Roman"/>
          <w:color w:val="auto"/>
          <w:highlight w:val="none"/>
          <w:lang w:val="en-US" w:eastAsia="zh-CN"/>
        </w:rPr>
        <w:t>可行，场区内布局基本合理，采用的生产工艺和设备较为先进</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项目采取的各项污染防治措施经济、技术可行；运行期间废水“零排放”，采取的各项大气污染防治措施可实现污染物达标排放，各类固体废物均能得到妥善的处理、处置，</w:t>
      </w:r>
      <w:r>
        <w:rPr>
          <w:rFonts w:hint="default" w:ascii="Times New Roman" w:hAnsi="Times New Roman" w:eastAsia="宋体" w:cs="Times New Roman"/>
          <w:color w:val="auto"/>
          <w:highlight w:val="none"/>
        </w:rPr>
        <w:t>项目对环境的影响程度较小，不会对周围环境产生明显影响和环境质量功能的改变</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环境影响和环境风险可控；</w:t>
      </w:r>
      <w:r>
        <w:rPr>
          <w:rFonts w:hint="default" w:ascii="Times New Roman" w:hAnsi="Times New Roman" w:eastAsia="宋体" w:cs="Times New Roman"/>
          <w:color w:val="auto"/>
          <w:highlight w:val="none"/>
        </w:rPr>
        <w:t>本项目具有很好的经济效益和社会效益</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项目建设得到当地政府及公众的支持。因此，在全面加强监督管理，建设单位在严格执行环保“三同时”制度和认真落实各项环保措施的条件下，从环境保护角度分析，本项目的建设是可行的。</w:t>
      </w:r>
    </w:p>
    <w:p>
      <w:pPr>
        <w:pageBreakBefore w:val="0"/>
        <w:wordWrap/>
        <w:bidi w:val="0"/>
        <w:adjustRightInd w:val="0"/>
        <w:spacing w:line="420" w:lineRule="auto"/>
        <w:ind w:left="0" w:leftChars="0" w:right="0" w:rightChars="0" w:firstLine="420"/>
        <w:jc w:val="center"/>
        <w:rPr>
          <w:rFonts w:hint="default" w:ascii="Times New Roman" w:hAnsi="Times New Roman" w:cs="Times New Roman"/>
          <w:b/>
          <w:color w:val="auto"/>
          <w:sz w:val="28"/>
          <w:highlight w:val="yellow"/>
        </w:rPr>
      </w:pPr>
    </w:p>
    <w:p>
      <w:pPr>
        <w:pageBreakBefore w:val="0"/>
        <w:wordWrap/>
        <w:bidi w:val="0"/>
        <w:adjustRightInd w:val="0"/>
        <w:spacing w:line="420" w:lineRule="auto"/>
        <w:ind w:left="0" w:leftChars="0" w:right="0" w:rightChars="0" w:firstLine="562"/>
        <w:jc w:val="center"/>
        <w:rPr>
          <w:rFonts w:hint="default" w:ascii="Times New Roman" w:hAnsi="Times New Roman" w:cs="Times New Roman"/>
          <w:b/>
          <w:color w:val="auto"/>
          <w:sz w:val="28"/>
          <w:highlight w:val="yellow"/>
        </w:rPr>
      </w:pPr>
    </w:p>
    <w:p>
      <w:pPr>
        <w:pageBreakBefore w:val="0"/>
        <w:wordWrap/>
        <w:bidi w:val="0"/>
        <w:adjustRightInd w:val="0"/>
        <w:spacing w:line="420" w:lineRule="auto"/>
        <w:ind w:left="0" w:leftChars="0" w:right="0" w:rightChars="0" w:firstLine="562"/>
        <w:jc w:val="center"/>
        <w:rPr>
          <w:rFonts w:hint="default" w:ascii="Times New Roman" w:hAnsi="Times New Roman" w:cs="Times New Roman"/>
          <w:b/>
          <w:color w:val="auto"/>
          <w:sz w:val="28"/>
          <w:highlight w:val="yellow"/>
        </w:rPr>
      </w:pPr>
    </w:p>
    <w:p>
      <w:pPr>
        <w:pageBreakBefore w:val="0"/>
        <w:wordWrap/>
        <w:bidi w:val="0"/>
        <w:adjustRightInd w:val="0"/>
        <w:spacing w:line="420" w:lineRule="auto"/>
        <w:ind w:left="0" w:leftChars="0" w:right="0" w:rightChars="0" w:firstLine="562"/>
        <w:rPr>
          <w:rFonts w:hint="default" w:ascii="Times New Roman" w:hAnsi="Times New Roman" w:cs="Times New Roman"/>
          <w:b/>
          <w:color w:val="auto"/>
          <w:sz w:val="28"/>
          <w:highlight w:val="yellow"/>
        </w:rPr>
      </w:pPr>
    </w:p>
    <w:p>
      <w:pPr>
        <w:pageBreakBefore w:val="0"/>
        <w:wordWrap/>
        <w:bidi w:val="0"/>
        <w:adjustRightInd w:val="0"/>
        <w:spacing w:line="420" w:lineRule="auto"/>
        <w:ind w:left="0" w:leftChars="0" w:right="0" w:rightChars="0" w:firstLine="480"/>
        <w:jc w:val="both"/>
        <w:rPr>
          <w:rFonts w:hint="default" w:ascii="Times New Roman" w:hAnsi="Times New Roman" w:cs="Times New Roman"/>
          <w:color w:val="auto"/>
          <w:highlight w:val="yellow"/>
        </w:rPr>
      </w:pPr>
    </w:p>
    <w:p>
      <w:pPr>
        <w:pageBreakBefore w:val="0"/>
        <w:wordWrap/>
        <w:bidi w:val="0"/>
        <w:adjustRightInd w:val="0"/>
        <w:spacing w:line="420" w:lineRule="auto"/>
        <w:ind w:left="0" w:leftChars="0" w:right="0" w:rightChars="0" w:firstLine="480"/>
        <w:jc w:val="both"/>
        <w:rPr>
          <w:rFonts w:hint="default" w:ascii="Times New Roman" w:hAnsi="Times New Roman" w:cs="Times New Roman"/>
          <w:color w:val="auto"/>
          <w:highlight w:val="yellow"/>
        </w:rPr>
        <w:sectPr>
          <w:headerReference r:id="rId8" w:type="default"/>
          <w:footerReference r:id="rId9" w:type="default"/>
          <w:pgSz w:w="11906" w:h="16838"/>
          <w:pgMar w:top="1440" w:right="1531"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3"/>
        <w:pageBreakBefore w:val="0"/>
        <w:wordWrap/>
        <w:bidi w:val="0"/>
        <w:adjustRightInd w:val="0"/>
        <w:ind w:left="0" w:leftChars="0" w:right="0" w:rightChars="0" w:hanging="432" w:firstLineChars="0"/>
        <w:jc w:val="center"/>
        <w:rPr>
          <w:rFonts w:hint="default" w:ascii="Times New Roman" w:hAnsi="Times New Roman" w:cs="Times New Roman"/>
          <w:color w:val="auto"/>
          <w:highlight w:val="none"/>
        </w:rPr>
      </w:pPr>
      <w:bookmarkStart w:id="59" w:name="_Toc425"/>
      <w:bookmarkStart w:id="60" w:name="_Toc1599"/>
      <w:bookmarkStart w:id="61" w:name="_Toc263850712"/>
      <w:bookmarkStart w:id="62" w:name="_Toc14641"/>
      <w:bookmarkStart w:id="63" w:name="_Toc21786"/>
      <w:bookmarkStart w:id="64" w:name="_Toc263850713"/>
      <w:bookmarkStart w:id="65" w:name="_Toc263850716"/>
      <w:r>
        <w:rPr>
          <w:rFonts w:hint="default" w:ascii="Times New Roman" w:hAnsi="Times New Roman" w:cs="Times New Roman"/>
          <w:color w:val="auto"/>
          <w:highlight w:val="none"/>
        </w:rPr>
        <w:t>总则</w:t>
      </w:r>
      <w:bookmarkEnd w:id="59"/>
      <w:bookmarkEnd w:id="60"/>
      <w:bookmarkEnd w:id="61"/>
      <w:bookmarkEnd w:id="62"/>
      <w:bookmarkEnd w:id="63"/>
    </w:p>
    <w:p>
      <w:pPr>
        <w:pStyle w:val="4"/>
        <w:pageBreakBefore w:val="0"/>
        <w:wordWrap/>
        <w:bidi w:val="0"/>
        <w:adjustRightInd w:val="0"/>
        <w:ind w:left="0" w:leftChars="0" w:right="0" w:rightChars="0" w:firstLine="0" w:firstLineChars="0"/>
        <w:jc w:val="both"/>
        <w:rPr>
          <w:rFonts w:hint="default" w:ascii="Times New Roman" w:hAnsi="Times New Roman" w:cs="Times New Roman"/>
          <w:color w:val="auto"/>
          <w:highlight w:val="none"/>
        </w:rPr>
      </w:pPr>
      <w:bookmarkStart w:id="66" w:name="_Toc3397"/>
      <w:bookmarkStart w:id="67" w:name="_Toc27926"/>
      <w:bookmarkStart w:id="68" w:name="_Toc26266"/>
      <w:bookmarkStart w:id="69" w:name="_Toc224"/>
      <w:bookmarkStart w:id="70" w:name="_Toc29550"/>
      <w:r>
        <w:rPr>
          <w:rFonts w:hint="default" w:ascii="Times New Roman" w:hAnsi="Times New Roman" w:cs="Times New Roman"/>
          <w:color w:val="auto"/>
          <w:highlight w:val="none"/>
        </w:rPr>
        <w:t>编制依据</w:t>
      </w:r>
      <w:bookmarkEnd w:id="66"/>
      <w:bookmarkEnd w:id="67"/>
      <w:bookmarkEnd w:id="68"/>
      <w:bookmarkEnd w:id="69"/>
    </w:p>
    <w:p>
      <w:pPr>
        <w:pStyle w:val="5"/>
        <w:pageBreakBefore w:val="0"/>
        <w:wordWrap/>
        <w:bidi w:val="0"/>
        <w:adjustRightInd w:val="0"/>
        <w:ind w:left="0" w:leftChars="0" w:right="0" w:rightChars="0" w:firstLine="0" w:firstLineChars="0"/>
        <w:jc w:val="both"/>
        <w:rPr>
          <w:rFonts w:hint="default" w:ascii="Times New Roman" w:hAnsi="Times New Roman" w:cs="Times New Roman"/>
          <w:color w:val="auto"/>
          <w:highlight w:val="none"/>
        </w:rPr>
      </w:pPr>
      <w:bookmarkStart w:id="71" w:name="_Toc30254"/>
      <w:r>
        <w:rPr>
          <w:rFonts w:hint="default" w:ascii="Times New Roman" w:hAnsi="Times New Roman" w:cs="Times New Roman"/>
          <w:color w:val="auto"/>
          <w:highlight w:val="none"/>
        </w:rPr>
        <w:t>法律、法规依据</w:t>
      </w:r>
      <w:bookmarkEnd w:id="71"/>
    </w:p>
    <w:p>
      <w:pPr>
        <w:pStyle w:val="17"/>
        <w:keepNext w:val="0"/>
        <w:keepLines w:val="0"/>
        <w:pageBreakBefore w:val="0"/>
        <w:widowControl w:val="0"/>
        <w:numPr>
          <w:ilvl w:val="0"/>
          <w:numId w:val="6"/>
        </w:numPr>
        <w:kinsoku/>
        <w:wordWrap/>
        <w:overflowPunct/>
        <w:topLinePunct w:val="0"/>
        <w:autoSpaceDE/>
        <w:autoSpaceDN/>
        <w:bidi w:val="0"/>
        <w:adjustRightInd w:val="0"/>
        <w:snapToGrid w:val="0"/>
        <w:ind w:left="0" w:leftChars="0" w:right="0" w:rightChars="0"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《中华人民共和国环境保护法》</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2014.4.24修订，2015.1.1施行</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w:t>
      </w:r>
    </w:p>
    <w:p>
      <w:pPr>
        <w:pStyle w:val="17"/>
        <w:keepNext w:val="0"/>
        <w:keepLines w:val="0"/>
        <w:pageBreakBefore w:val="0"/>
        <w:widowControl w:val="0"/>
        <w:numPr>
          <w:ilvl w:val="0"/>
          <w:numId w:val="6"/>
        </w:numPr>
        <w:kinsoku/>
        <w:wordWrap/>
        <w:overflowPunct/>
        <w:topLinePunct w:val="0"/>
        <w:autoSpaceDE/>
        <w:autoSpaceDN/>
        <w:bidi w:val="0"/>
        <w:adjustRightInd w:val="0"/>
        <w:snapToGrid w:val="0"/>
        <w:ind w:left="0" w:leftChars="0" w:right="0" w:rightChars="0"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《中华人民共和国环境影响评价法》</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zh-CN"/>
        </w:rPr>
        <w:t>201</w:t>
      </w:r>
      <w:r>
        <w:rPr>
          <w:rFonts w:hint="default" w:ascii="Times New Roman" w:hAnsi="Times New Roman" w:eastAsia="宋体" w:cs="Times New Roman"/>
          <w:color w:val="auto"/>
          <w:highlight w:val="none"/>
        </w:rPr>
        <w:t>8</w:t>
      </w:r>
      <w:r>
        <w:rPr>
          <w:rFonts w:hint="default" w:ascii="Times New Roman" w:hAnsi="Times New Roman" w:eastAsia="宋体" w:cs="Times New Roman"/>
          <w:color w:val="auto"/>
          <w:highlight w:val="none"/>
          <w:lang w:val="zh-CN"/>
        </w:rPr>
        <w:t>.</w:t>
      </w:r>
      <w:r>
        <w:rPr>
          <w:rFonts w:hint="default" w:ascii="Times New Roman" w:hAnsi="Times New Roman" w:eastAsia="宋体" w:cs="Times New Roman"/>
          <w:color w:val="auto"/>
          <w:highlight w:val="none"/>
        </w:rPr>
        <w:t>12.29</w:t>
      </w:r>
      <w:r>
        <w:rPr>
          <w:rFonts w:hint="default" w:ascii="Times New Roman" w:hAnsi="Times New Roman" w:eastAsia="宋体" w:cs="Times New Roman"/>
          <w:color w:val="auto"/>
          <w:highlight w:val="none"/>
          <w:lang w:val="zh-CN"/>
        </w:rPr>
        <w:t>修</w:t>
      </w:r>
      <w:r>
        <w:rPr>
          <w:rFonts w:hint="default" w:ascii="Times New Roman" w:hAnsi="Times New Roman" w:eastAsia="宋体" w:cs="Times New Roman"/>
          <w:color w:val="auto"/>
          <w:highlight w:val="none"/>
        </w:rPr>
        <w:t>正</w:t>
      </w:r>
      <w:r>
        <w:rPr>
          <w:rFonts w:hint="default" w:ascii="Times New Roman" w:hAnsi="Times New Roman" w:eastAsia="宋体" w:cs="Times New Roman"/>
          <w:color w:val="auto"/>
          <w:highlight w:val="none"/>
          <w:lang w:val="zh-CN"/>
        </w:rPr>
        <w:t>，201</w:t>
      </w:r>
      <w:r>
        <w:rPr>
          <w:rFonts w:hint="default" w:ascii="Times New Roman" w:hAnsi="Times New Roman" w:eastAsia="宋体" w:cs="Times New Roman"/>
          <w:color w:val="auto"/>
          <w:highlight w:val="none"/>
        </w:rPr>
        <w:t>8</w:t>
      </w:r>
      <w:r>
        <w:rPr>
          <w:rFonts w:hint="default" w:ascii="Times New Roman" w:hAnsi="Times New Roman" w:eastAsia="宋体" w:cs="Times New Roman"/>
          <w:color w:val="auto"/>
          <w:highlight w:val="none"/>
          <w:lang w:val="zh-CN"/>
        </w:rPr>
        <w:t>.</w:t>
      </w:r>
      <w:r>
        <w:rPr>
          <w:rFonts w:hint="default" w:ascii="Times New Roman" w:hAnsi="Times New Roman" w:eastAsia="宋体" w:cs="Times New Roman"/>
          <w:color w:val="auto"/>
          <w:highlight w:val="none"/>
        </w:rPr>
        <w:t>12.29施行</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w:t>
      </w:r>
    </w:p>
    <w:p>
      <w:pPr>
        <w:pStyle w:val="17"/>
        <w:keepNext w:val="0"/>
        <w:keepLines w:val="0"/>
        <w:pageBreakBefore w:val="0"/>
        <w:widowControl w:val="0"/>
        <w:numPr>
          <w:ilvl w:val="0"/>
          <w:numId w:val="6"/>
        </w:numPr>
        <w:kinsoku/>
        <w:wordWrap/>
        <w:overflowPunct/>
        <w:topLinePunct w:val="0"/>
        <w:autoSpaceDE/>
        <w:autoSpaceDN/>
        <w:bidi w:val="0"/>
        <w:adjustRightInd w:val="0"/>
        <w:snapToGrid w:val="0"/>
        <w:ind w:left="0" w:leftChars="0" w:right="0" w:rightChars="0"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《中华人民共和国大气污染防治法》（</w:t>
      </w:r>
      <w:r>
        <w:rPr>
          <w:rFonts w:hint="default" w:ascii="Times New Roman" w:hAnsi="Times New Roman" w:eastAsia="宋体" w:cs="Times New Roman"/>
          <w:color w:val="auto"/>
          <w:highlight w:val="none"/>
          <w:lang w:val="zh-CN"/>
        </w:rPr>
        <w:t>201</w:t>
      </w:r>
      <w:r>
        <w:rPr>
          <w:rFonts w:hint="default" w:ascii="Times New Roman" w:hAnsi="Times New Roman" w:eastAsia="宋体" w:cs="Times New Roman"/>
          <w:color w:val="auto"/>
          <w:highlight w:val="none"/>
        </w:rPr>
        <w:t>8.</w:t>
      </w:r>
      <w:r>
        <w:rPr>
          <w:rFonts w:hint="default" w:ascii="Times New Roman" w:hAnsi="Times New Roman" w:eastAsia="宋体" w:cs="Times New Roman"/>
          <w:color w:val="auto"/>
          <w:highlight w:val="none"/>
          <w:lang w:val="zh-CN"/>
        </w:rPr>
        <w:t>1</w:t>
      </w:r>
      <w:r>
        <w:rPr>
          <w:rFonts w:hint="default" w:ascii="Times New Roman" w:hAnsi="Times New Roman" w:eastAsia="宋体" w:cs="Times New Roman"/>
          <w:color w:val="auto"/>
          <w:highlight w:val="none"/>
        </w:rPr>
        <w:t>0.26</w:t>
      </w:r>
      <w:r>
        <w:rPr>
          <w:rFonts w:hint="default" w:ascii="Times New Roman" w:hAnsi="Times New Roman" w:eastAsia="宋体" w:cs="Times New Roman"/>
          <w:color w:val="auto"/>
          <w:highlight w:val="none"/>
          <w:lang w:val="zh-CN"/>
        </w:rPr>
        <w:t>修</w:t>
      </w:r>
      <w:r>
        <w:rPr>
          <w:rFonts w:hint="default" w:ascii="Times New Roman" w:hAnsi="Times New Roman" w:eastAsia="宋体" w:cs="Times New Roman"/>
          <w:color w:val="auto"/>
          <w:highlight w:val="none"/>
        </w:rPr>
        <w:t>正</w:t>
      </w:r>
      <w:r>
        <w:rPr>
          <w:rFonts w:hint="default" w:ascii="Times New Roman" w:hAnsi="Times New Roman" w:eastAsia="宋体" w:cs="Times New Roman"/>
          <w:color w:val="auto"/>
          <w:highlight w:val="none"/>
          <w:lang w:val="zh-CN"/>
        </w:rPr>
        <w:t>，201</w:t>
      </w:r>
      <w:r>
        <w:rPr>
          <w:rFonts w:hint="default" w:ascii="Times New Roman" w:hAnsi="Times New Roman" w:eastAsia="宋体" w:cs="Times New Roman"/>
          <w:color w:val="auto"/>
          <w:highlight w:val="none"/>
        </w:rPr>
        <w:t>8.</w:t>
      </w:r>
      <w:r>
        <w:rPr>
          <w:rFonts w:hint="default" w:ascii="Times New Roman" w:hAnsi="Times New Roman" w:eastAsia="宋体" w:cs="Times New Roman"/>
          <w:color w:val="auto"/>
          <w:highlight w:val="none"/>
          <w:lang w:val="zh-CN"/>
        </w:rPr>
        <w:t>1</w:t>
      </w:r>
      <w:r>
        <w:rPr>
          <w:rFonts w:hint="default" w:ascii="Times New Roman" w:hAnsi="Times New Roman" w:eastAsia="宋体" w:cs="Times New Roman"/>
          <w:color w:val="auto"/>
          <w:highlight w:val="none"/>
        </w:rPr>
        <w:t>0.26施行）；</w:t>
      </w:r>
    </w:p>
    <w:p>
      <w:pPr>
        <w:pStyle w:val="17"/>
        <w:keepNext w:val="0"/>
        <w:keepLines w:val="0"/>
        <w:pageBreakBefore w:val="0"/>
        <w:widowControl w:val="0"/>
        <w:numPr>
          <w:ilvl w:val="0"/>
          <w:numId w:val="6"/>
        </w:numPr>
        <w:kinsoku/>
        <w:wordWrap/>
        <w:overflowPunct/>
        <w:topLinePunct w:val="0"/>
        <w:autoSpaceDE/>
        <w:autoSpaceDN/>
        <w:bidi w:val="0"/>
        <w:adjustRightInd w:val="0"/>
        <w:snapToGrid w:val="0"/>
        <w:ind w:left="0" w:leftChars="0" w:right="0" w:rightChars="0"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《中华人民共和国水污染防治法》</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zh-CN" w:eastAsia="zh-CN"/>
        </w:rPr>
        <w:t>2017.6.27修正，20</w:t>
      </w:r>
      <w:r>
        <w:rPr>
          <w:rFonts w:hint="default"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lang w:val="zh-CN" w:eastAsia="zh-CN"/>
        </w:rPr>
        <w:t>8</w:t>
      </w:r>
      <w:r>
        <w:rPr>
          <w:rFonts w:hint="default" w:ascii="Times New Roman" w:hAnsi="Times New Roman" w:eastAsia="宋体" w:cs="Times New Roman"/>
          <w:color w:val="auto"/>
          <w:highlight w:val="none"/>
          <w:lang w:val="en-US" w:eastAsia="zh-CN"/>
        </w:rPr>
        <w:t>.1.1</w:t>
      </w:r>
      <w:r>
        <w:rPr>
          <w:rFonts w:hint="default" w:ascii="Times New Roman" w:hAnsi="Times New Roman" w:eastAsia="宋体" w:cs="Times New Roman"/>
          <w:color w:val="auto"/>
          <w:highlight w:val="none"/>
        </w:rPr>
        <w:t>施行</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w:t>
      </w:r>
    </w:p>
    <w:p>
      <w:pPr>
        <w:pStyle w:val="17"/>
        <w:keepNext w:val="0"/>
        <w:keepLines w:val="0"/>
        <w:pageBreakBefore w:val="0"/>
        <w:widowControl w:val="0"/>
        <w:numPr>
          <w:ilvl w:val="0"/>
          <w:numId w:val="6"/>
        </w:numPr>
        <w:kinsoku/>
        <w:wordWrap/>
        <w:overflowPunct/>
        <w:topLinePunct w:val="0"/>
        <w:autoSpaceDE/>
        <w:autoSpaceDN/>
        <w:bidi w:val="0"/>
        <w:adjustRightInd w:val="0"/>
        <w:snapToGrid w:val="0"/>
        <w:ind w:left="0" w:leftChars="0" w:right="0" w:rightChars="0"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《中华人民共和国噪声污染防治法》</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2022</w:t>
      </w:r>
      <w:r>
        <w:rPr>
          <w:rFonts w:hint="default" w:ascii="Times New Roman" w:hAnsi="Times New Roman" w:eastAsia="宋体" w:cs="Times New Roman"/>
          <w:color w:val="auto"/>
          <w:highlight w:val="none"/>
          <w:lang w:val="zh-CN"/>
        </w:rPr>
        <w:t>.</w:t>
      </w:r>
      <w:r>
        <w:rPr>
          <w:rFonts w:hint="default" w:ascii="Times New Roman" w:hAnsi="Times New Roman" w:eastAsia="宋体" w:cs="Times New Roman"/>
          <w:color w:val="auto"/>
          <w:highlight w:val="none"/>
          <w:lang w:val="en-US" w:eastAsia="zh-CN"/>
        </w:rPr>
        <w:t>6</w:t>
      </w:r>
      <w:r>
        <w:rPr>
          <w:rFonts w:hint="default" w:ascii="Times New Roman" w:hAnsi="Times New Roman" w:eastAsia="宋体" w:cs="Times New Roman"/>
          <w:color w:val="auto"/>
          <w:highlight w:val="none"/>
          <w:lang w:val="zh-CN"/>
        </w:rPr>
        <w:t>.</w:t>
      </w:r>
      <w:r>
        <w:rPr>
          <w:rFonts w:hint="default"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施行</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w:t>
      </w:r>
    </w:p>
    <w:p>
      <w:pPr>
        <w:pStyle w:val="17"/>
        <w:keepNext w:val="0"/>
        <w:keepLines w:val="0"/>
        <w:pageBreakBefore w:val="0"/>
        <w:widowControl w:val="0"/>
        <w:numPr>
          <w:ilvl w:val="0"/>
          <w:numId w:val="6"/>
        </w:numPr>
        <w:kinsoku/>
        <w:wordWrap/>
        <w:overflowPunct/>
        <w:topLinePunct w:val="0"/>
        <w:autoSpaceDE/>
        <w:autoSpaceDN/>
        <w:bidi w:val="0"/>
        <w:adjustRightInd w:val="0"/>
        <w:snapToGrid w:val="0"/>
        <w:ind w:left="0" w:leftChars="0" w:right="0" w:rightChars="0"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《中华人民共和国固体废物污染环境防治法》（2020年4月29日修订，2020年9月1日施行）；</w:t>
      </w:r>
    </w:p>
    <w:p>
      <w:pPr>
        <w:pStyle w:val="17"/>
        <w:keepNext w:val="0"/>
        <w:keepLines w:val="0"/>
        <w:pageBreakBefore w:val="0"/>
        <w:widowControl w:val="0"/>
        <w:numPr>
          <w:ilvl w:val="0"/>
          <w:numId w:val="6"/>
        </w:numPr>
        <w:kinsoku/>
        <w:wordWrap/>
        <w:overflowPunct/>
        <w:topLinePunct w:val="0"/>
        <w:autoSpaceDE/>
        <w:autoSpaceDN/>
        <w:bidi w:val="0"/>
        <w:adjustRightInd w:val="0"/>
        <w:snapToGrid w:val="0"/>
        <w:ind w:left="0" w:leftChars="0" w:right="0" w:rightChars="0"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lang w:val="zh-CN"/>
        </w:rPr>
        <w:t>《中华人民</w:t>
      </w:r>
      <w:r>
        <w:rPr>
          <w:rFonts w:hint="default" w:ascii="Times New Roman" w:hAnsi="Times New Roman" w:eastAsia="宋体" w:cs="Times New Roman"/>
          <w:color w:val="auto"/>
          <w:highlight w:val="none"/>
          <w:lang w:val="zh-CN"/>
        </w:rPr>
        <w:t>共和国土壤污染防治法》（2018年8月31日通过，2019年1月1日施行）；</w:t>
      </w:r>
    </w:p>
    <w:p>
      <w:pPr>
        <w:pStyle w:val="17"/>
        <w:keepNext w:val="0"/>
        <w:keepLines w:val="0"/>
        <w:pageBreakBefore w:val="0"/>
        <w:widowControl w:val="0"/>
        <w:numPr>
          <w:ilvl w:val="0"/>
          <w:numId w:val="6"/>
        </w:numPr>
        <w:kinsoku/>
        <w:wordWrap/>
        <w:overflowPunct/>
        <w:topLinePunct w:val="0"/>
        <w:autoSpaceDE/>
        <w:autoSpaceDN/>
        <w:bidi w:val="0"/>
        <w:adjustRightInd w:val="0"/>
        <w:snapToGrid w:val="0"/>
        <w:ind w:left="0" w:leftChars="0" w:right="0" w:rightChars="0" w:firstLine="480" w:firstLineChars="200"/>
        <w:jc w:val="both"/>
        <w:textAlignment w:val="auto"/>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rPr>
        <w:t>《中华人民共和国水法》</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2016年7月2日修正</w:t>
      </w:r>
      <w:r>
        <w:rPr>
          <w:rFonts w:hint="default" w:ascii="Times New Roman" w:hAnsi="Times New Roman" w:eastAsia="宋体" w:cs="Times New Roman"/>
          <w:color w:val="auto"/>
          <w:highlight w:val="none"/>
          <w:lang w:val="zh-CN" w:eastAsia="zh-CN"/>
        </w:rPr>
        <w:t>）</w:t>
      </w:r>
    </w:p>
    <w:p>
      <w:pPr>
        <w:pStyle w:val="17"/>
        <w:keepNext w:val="0"/>
        <w:keepLines w:val="0"/>
        <w:pageBreakBefore w:val="0"/>
        <w:widowControl w:val="0"/>
        <w:numPr>
          <w:ilvl w:val="0"/>
          <w:numId w:val="6"/>
        </w:numPr>
        <w:kinsoku/>
        <w:wordWrap/>
        <w:overflowPunct/>
        <w:topLinePunct w:val="0"/>
        <w:autoSpaceDE/>
        <w:autoSpaceDN/>
        <w:bidi w:val="0"/>
        <w:adjustRightInd w:val="0"/>
        <w:snapToGrid w:val="0"/>
        <w:ind w:left="0" w:leftChars="0" w:right="0" w:rightChars="0" w:firstLine="480" w:firstLineChars="200"/>
        <w:jc w:val="both"/>
        <w:textAlignment w:val="auto"/>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《中华人民共和国</w:t>
      </w:r>
      <w:r>
        <w:rPr>
          <w:rFonts w:hint="eastAsia" w:ascii="Times New Roman" w:hAnsi="Times New Roman" w:eastAsia="宋体" w:cs="Times New Roman"/>
          <w:color w:val="auto"/>
          <w:highlight w:val="none"/>
          <w:lang w:val="en-US" w:eastAsia="zh-CN"/>
        </w:rPr>
        <w:t>城乡规划</w:t>
      </w:r>
      <w:r>
        <w:rPr>
          <w:rFonts w:hint="default" w:ascii="Times New Roman" w:hAnsi="Times New Roman" w:eastAsia="宋体" w:cs="Times New Roman"/>
          <w:color w:val="auto"/>
          <w:highlight w:val="none"/>
          <w:lang w:val="zh-CN"/>
        </w:rPr>
        <w:t>法》</w:t>
      </w:r>
      <w:r>
        <w:rPr>
          <w:rFonts w:hint="eastAsia" w:ascii="Times New Roman" w:hAnsi="Times New Roman" w:eastAsia="宋体" w:cs="Times New Roman"/>
          <w:color w:val="auto"/>
          <w:highlight w:val="none"/>
          <w:lang w:val="zh-CN" w:eastAsia="zh-CN"/>
        </w:rPr>
        <w:t>（</w:t>
      </w:r>
      <w:r>
        <w:rPr>
          <w:rFonts w:hint="eastAsia" w:ascii="Times New Roman" w:hAnsi="Times New Roman" w:eastAsia="宋体" w:cs="Times New Roman"/>
          <w:color w:val="auto"/>
          <w:highlight w:val="none"/>
          <w:lang w:val="en-US" w:eastAsia="zh-CN"/>
        </w:rPr>
        <w:t>2019年4月23日修正）</w:t>
      </w:r>
    </w:p>
    <w:p>
      <w:pPr>
        <w:pStyle w:val="17"/>
        <w:keepNext w:val="0"/>
        <w:keepLines w:val="0"/>
        <w:pageBreakBefore w:val="0"/>
        <w:widowControl w:val="0"/>
        <w:numPr>
          <w:ilvl w:val="0"/>
          <w:numId w:val="6"/>
        </w:numPr>
        <w:kinsoku/>
        <w:wordWrap/>
        <w:overflowPunct/>
        <w:topLinePunct w:val="0"/>
        <w:autoSpaceDE/>
        <w:autoSpaceDN/>
        <w:bidi w:val="0"/>
        <w:adjustRightInd w:val="0"/>
        <w:snapToGrid w:val="0"/>
        <w:ind w:left="0" w:leftChars="0" w:right="0" w:rightChars="0" w:firstLine="480" w:firstLineChars="200"/>
        <w:jc w:val="both"/>
        <w:textAlignment w:val="auto"/>
        <w:rPr>
          <w:rFonts w:hint="eastAsia"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rPr>
        <w:t>《中华人民共和国土地管理法</w:t>
      </w:r>
      <w:r>
        <w:rPr>
          <w:rFonts w:hint="eastAsia" w:ascii="Times New Roman" w:hAnsi="Times New Roman" w:eastAsia="宋体" w:cs="Times New Roman"/>
          <w:color w:val="auto"/>
          <w:highlight w:val="none"/>
          <w:lang w:val="en-US" w:eastAsia="zh-CN"/>
        </w:rPr>
        <w:t>实施条例</w:t>
      </w:r>
      <w:r>
        <w:rPr>
          <w:rFonts w:hint="default" w:ascii="Times New Roman" w:hAnsi="Times New Roman" w:eastAsia="宋体" w:cs="Times New Roman"/>
          <w:color w:val="auto"/>
          <w:highlight w:val="none"/>
          <w:lang w:val="zh-CN"/>
        </w:rPr>
        <w:t>》</w:t>
      </w:r>
      <w:r>
        <w:rPr>
          <w:rFonts w:hint="eastAsia" w:ascii="Times New Roman" w:hAnsi="Times New Roman" w:eastAsia="宋体" w:cs="Times New Roman"/>
          <w:color w:val="auto"/>
          <w:highlight w:val="none"/>
          <w:lang w:val="zh-CN" w:eastAsia="zh-CN"/>
        </w:rPr>
        <w:t>（</w:t>
      </w:r>
      <w:r>
        <w:rPr>
          <w:rFonts w:hint="default" w:ascii="Times New Roman" w:hAnsi="Times New Roman" w:eastAsia="宋体" w:cs="Times New Roman"/>
          <w:color w:val="auto"/>
          <w:highlight w:val="none"/>
          <w:lang w:val="zh-CN"/>
        </w:rPr>
        <w:t>2021年</w:t>
      </w:r>
      <w:r>
        <w:rPr>
          <w:rFonts w:hint="eastAsia" w:ascii="Times New Roman" w:hAnsi="Times New Roman" w:eastAsia="宋体" w:cs="Times New Roman"/>
          <w:color w:val="auto"/>
          <w:highlight w:val="none"/>
          <w:lang w:val="en-US" w:eastAsia="zh-CN"/>
        </w:rPr>
        <w:t>9</w:t>
      </w:r>
      <w:r>
        <w:rPr>
          <w:rFonts w:hint="default" w:ascii="Times New Roman" w:hAnsi="Times New Roman" w:eastAsia="宋体" w:cs="Times New Roman"/>
          <w:color w:val="auto"/>
          <w:highlight w:val="none"/>
          <w:lang w:val="zh-CN"/>
        </w:rPr>
        <w:t>月1日施行</w:t>
      </w:r>
      <w:r>
        <w:rPr>
          <w:rFonts w:hint="eastAsia" w:ascii="Times New Roman" w:hAnsi="Times New Roman" w:eastAsia="宋体" w:cs="Times New Roman"/>
          <w:color w:val="auto"/>
          <w:highlight w:val="none"/>
          <w:lang w:val="zh-CN" w:eastAsia="zh-CN"/>
        </w:rPr>
        <w:t>）</w:t>
      </w:r>
    </w:p>
    <w:p>
      <w:pPr>
        <w:pStyle w:val="17"/>
        <w:keepNext w:val="0"/>
        <w:keepLines w:val="0"/>
        <w:pageBreakBefore w:val="0"/>
        <w:widowControl w:val="0"/>
        <w:numPr>
          <w:ilvl w:val="0"/>
          <w:numId w:val="6"/>
        </w:numPr>
        <w:kinsoku/>
        <w:wordWrap/>
        <w:overflowPunct/>
        <w:topLinePunct w:val="0"/>
        <w:autoSpaceDE/>
        <w:autoSpaceDN/>
        <w:bidi w:val="0"/>
        <w:adjustRightInd w:val="0"/>
        <w:snapToGrid w:val="0"/>
        <w:ind w:left="0" w:leftChars="0" w:right="0" w:rightChars="0" w:firstLine="456" w:firstLineChars="200"/>
        <w:jc w:val="both"/>
        <w:textAlignment w:val="auto"/>
        <w:rPr>
          <w:rFonts w:hint="default" w:ascii="Times New Roman" w:hAnsi="Times New Roman" w:eastAsia="宋体" w:cs="Times New Roman"/>
          <w:color w:val="auto"/>
          <w:spacing w:val="-6"/>
          <w:kern w:val="2"/>
          <w:sz w:val="24"/>
          <w:szCs w:val="24"/>
          <w:highlight w:val="none"/>
          <w:lang w:val="en-US" w:eastAsia="zh-CN" w:bidi="ar-SA"/>
        </w:rPr>
      </w:pPr>
      <w:r>
        <w:rPr>
          <w:rFonts w:hint="default" w:ascii="Times New Roman" w:hAnsi="Times New Roman" w:eastAsia="宋体" w:cs="Times New Roman"/>
          <w:color w:val="auto"/>
          <w:spacing w:val="-6"/>
          <w:kern w:val="2"/>
          <w:sz w:val="24"/>
          <w:szCs w:val="24"/>
          <w:highlight w:val="none"/>
          <w:lang w:val="en-US" w:eastAsia="zh-CN" w:bidi="ar-SA"/>
        </w:rPr>
        <w:t>《中华人民共和国畜牧法》（2015年4月24日修正，2015年4月24日施行）；</w:t>
      </w:r>
    </w:p>
    <w:p>
      <w:pPr>
        <w:pStyle w:val="17"/>
        <w:keepNext w:val="0"/>
        <w:keepLines w:val="0"/>
        <w:pageBreakBefore w:val="0"/>
        <w:widowControl w:val="0"/>
        <w:numPr>
          <w:ilvl w:val="0"/>
          <w:numId w:val="6"/>
        </w:numPr>
        <w:kinsoku/>
        <w:wordWrap/>
        <w:overflowPunct/>
        <w:topLinePunct w:val="0"/>
        <w:autoSpaceDE/>
        <w:autoSpaceDN/>
        <w:bidi w:val="0"/>
        <w:adjustRightInd w:val="0"/>
        <w:snapToGrid w:val="0"/>
        <w:ind w:left="0" w:leftChars="0" w:right="0" w:rightChars="0"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《中华人民共和国动物防疫法》</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2021年1月22日修订</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2021年5月1日施行</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w:t>
      </w:r>
    </w:p>
    <w:p>
      <w:pPr>
        <w:pStyle w:val="17"/>
        <w:keepNext w:val="0"/>
        <w:keepLines w:val="0"/>
        <w:pageBreakBefore w:val="0"/>
        <w:widowControl w:val="0"/>
        <w:numPr>
          <w:ilvl w:val="0"/>
          <w:numId w:val="6"/>
        </w:numPr>
        <w:kinsoku/>
        <w:wordWrap/>
        <w:overflowPunct/>
        <w:topLinePunct w:val="0"/>
        <w:autoSpaceDE/>
        <w:autoSpaceDN/>
        <w:bidi w:val="0"/>
        <w:adjustRightInd w:val="0"/>
        <w:snapToGrid w:val="0"/>
        <w:ind w:left="0" w:leftChars="0" w:right="0" w:rightChars="0"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《中华人民共和国清洁生产促进法》</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2012年2月29日修正</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2012年7月1日施行</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w:t>
      </w:r>
    </w:p>
    <w:p>
      <w:pPr>
        <w:pStyle w:val="17"/>
        <w:keepNext w:val="0"/>
        <w:keepLines w:val="0"/>
        <w:pageBreakBefore w:val="0"/>
        <w:widowControl w:val="0"/>
        <w:numPr>
          <w:ilvl w:val="0"/>
          <w:numId w:val="6"/>
        </w:numPr>
        <w:kinsoku/>
        <w:wordWrap/>
        <w:overflowPunct/>
        <w:topLinePunct w:val="0"/>
        <w:autoSpaceDE/>
        <w:autoSpaceDN/>
        <w:bidi w:val="0"/>
        <w:adjustRightInd w:val="0"/>
        <w:snapToGrid w:val="0"/>
        <w:ind w:left="0" w:leftChars="0" w:right="0" w:rightChars="0"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《中华人民共和国土地管理法》</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2019年8月26日修正</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2020年1月1日施行</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w:t>
      </w:r>
    </w:p>
    <w:p>
      <w:pPr>
        <w:pStyle w:val="17"/>
        <w:keepNext w:val="0"/>
        <w:keepLines w:val="0"/>
        <w:pageBreakBefore w:val="0"/>
        <w:widowControl w:val="0"/>
        <w:numPr>
          <w:ilvl w:val="0"/>
          <w:numId w:val="6"/>
        </w:numPr>
        <w:kinsoku/>
        <w:wordWrap/>
        <w:overflowPunct/>
        <w:topLinePunct w:val="0"/>
        <w:autoSpaceDE/>
        <w:autoSpaceDN/>
        <w:bidi w:val="0"/>
        <w:adjustRightInd w:val="0"/>
        <w:snapToGrid w:val="0"/>
        <w:ind w:left="0" w:leftChars="0" w:right="0" w:rightChars="0"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《中华人民共和国水土保持法》主席令第39号</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2010年12月25日修订，2011年3月1日施行</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w:t>
      </w:r>
    </w:p>
    <w:p>
      <w:pPr>
        <w:pStyle w:val="17"/>
        <w:keepNext w:val="0"/>
        <w:keepLines w:val="0"/>
        <w:pageBreakBefore w:val="0"/>
        <w:widowControl w:val="0"/>
        <w:numPr>
          <w:ilvl w:val="0"/>
          <w:numId w:val="6"/>
        </w:numPr>
        <w:kinsoku/>
        <w:wordWrap/>
        <w:overflowPunct/>
        <w:topLinePunct w:val="0"/>
        <w:autoSpaceDE/>
        <w:autoSpaceDN/>
        <w:bidi w:val="0"/>
        <w:adjustRightInd w:val="0"/>
        <w:snapToGrid w:val="0"/>
        <w:ind w:left="0" w:leftChars="0" w:right="0" w:rightChars="0"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《中华人民共和国节约能源法》</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2018年10月26日修正</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2018年10月26日施行</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w:t>
      </w:r>
    </w:p>
    <w:p>
      <w:pPr>
        <w:pStyle w:val="17"/>
        <w:keepNext w:val="0"/>
        <w:keepLines w:val="0"/>
        <w:pageBreakBefore w:val="0"/>
        <w:widowControl w:val="0"/>
        <w:numPr>
          <w:ilvl w:val="0"/>
          <w:numId w:val="6"/>
        </w:numPr>
        <w:kinsoku/>
        <w:wordWrap/>
        <w:overflowPunct/>
        <w:topLinePunct w:val="0"/>
        <w:autoSpaceDE/>
        <w:autoSpaceDN/>
        <w:bidi w:val="0"/>
        <w:adjustRightInd w:val="0"/>
        <w:snapToGrid w:val="0"/>
        <w:ind w:left="0" w:leftChars="0" w:right="0" w:rightChars="0"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《中华人民共和国草原法》</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2021年4月29日修正</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2021年4月29日施行</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 xml:space="preserve">； </w:t>
      </w:r>
    </w:p>
    <w:p>
      <w:pPr>
        <w:pStyle w:val="17"/>
        <w:keepNext w:val="0"/>
        <w:keepLines w:val="0"/>
        <w:pageBreakBefore w:val="0"/>
        <w:widowControl w:val="0"/>
        <w:numPr>
          <w:ilvl w:val="0"/>
          <w:numId w:val="6"/>
        </w:numPr>
        <w:kinsoku/>
        <w:wordWrap/>
        <w:overflowPunct/>
        <w:topLinePunct w:val="0"/>
        <w:autoSpaceDE/>
        <w:autoSpaceDN/>
        <w:bidi w:val="0"/>
        <w:adjustRightInd w:val="0"/>
        <w:snapToGrid w:val="0"/>
        <w:ind w:left="0" w:leftChars="0" w:right="0" w:rightChars="0"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zh-CN"/>
        </w:rPr>
        <w:t>《中华人民共和国循环经济促进法》（2018年10月26日修正</w:t>
      </w:r>
      <w:r>
        <w:rPr>
          <w:rFonts w:hint="default" w:ascii="Times New Roman" w:hAnsi="Times New Roman" w:eastAsia="宋体" w:cs="Times New Roman"/>
          <w:color w:val="auto"/>
          <w:highlight w:val="none"/>
          <w:lang w:val="zh-CN" w:eastAsia="zh-CN"/>
        </w:rPr>
        <w:t>；</w:t>
      </w:r>
      <w:r>
        <w:rPr>
          <w:rFonts w:hint="default" w:ascii="Times New Roman" w:hAnsi="Times New Roman" w:eastAsia="宋体" w:cs="Times New Roman"/>
          <w:color w:val="auto"/>
          <w:highlight w:val="none"/>
          <w:lang w:val="zh-CN"/>
        </w:rPr>
        <w:t>2018年10月26</w:t>
      </w:r>
      <w:r>
        <w:rPr>
          <w:rFonts w:hint="default" w:ascii="Times New Roman" w:hAnsi="Times New Roman" w:eastAsia="宋体" w:cs="Times New Roman"/>
          <w:color w:val="auto"/>
          <w:highlight w:val="none"/>
          <w:lang w:val="en-US" w:eastAsia="zh-CN"/>
        </w:rPr>
        <w:t>日</w:t>
      </w:r>
      <w:r>
        <w:rPr>
          <w:rFonts w:hint="default" w:ascii="Times New Roman" w:hAnsi="Times New Roman" w:eastAsia="宋体" w:cs="Times New Roman"/>
          <w:color w:val="auto"/>
          <w:highlight w:val="none"/>
          <w:lang w:val="zh-CN"/>
        </w:rPr>
        <w:t>施行）；</w:t>
      </w:r>
    </w:p>
    <w:p>
      <w:pPr>
        <w:pStyle w:val="17"/>
        <w:keepNext w:val="0"/>
        <w:keepLines w:val="0"/>
        <w:pageBreakBefore w:val="0"/>
        <w:widowControl w:val="0"/>
        <w:numPr>
          <w:ilvl w:val="0"/>
          <w:numId w:val="6"/>
        </w:numPr>
        <w:kinsoku/>
        <w:wordWrap/>
        <w:overflowPunct/>
        <w:topLinePunct w:val="0"/>
        <w:autoSpaceDE/>
        <w:autoSpaceDN/>
        <w:bidi w:val="0"/>
        <w:adjustRightInd w:val="0"/>
        <w:snapToGrid w:val="0"/>
        <w:ind w:left="0" w:leftChars="0" w:right="0" w:rightChars="0" w:firstLine="456" w:firstLineChars="200"/>
        <w:jc w:val="both"/>
        <w:textAlignment w:val="auto"/>
        <w:rPr>
          <w:rFonts w:hint="default" w:ascii="Times New Roman" w:hAnsi="Times New Roman" w:eastAsia="宋体" w:cs="Times New Roman"/>
          <w:color w:val="auto"/>
          <w:spacing w:val="-6"/>
          <w:kern w:val="2"/>
          <w:sz w:val="24"/>
          <w:szCs w:val="24"/>
          <w:highlight w:val="none"/>
          <w:lang w:val="en-US" w:eastAsia="zh-CN" w:bidi="ar-SA"/>
        </w:rPr>
      </w:pPr>
      <w:r>
        <w:rPr>
          <w:rFonts w:hint="default" w:ascii="Times New Roman" w:hAnsi="Times New Roman" w:eastAsia="宋体" w:cs="Times New Roman"/>
          <w:color w:val="auto"/>
          <w:spacing w:val="-6"/>
          <w:kern w:val="2"/>
          <w:sz w:val="24"/>
          <w:szCs w:val="24"/>
          <w:highlight w:val="none"/>
          <w:lang w:val="zh-CN" w:eastAsia="zh-CN" w:bidi="ar-SA"/>
        </w:rPr>
        <w:t>《中华人民共和国防洪法》（2016年7月2日修正，2016年7月2日施行）；</w:t>
      </w:r>
    </w:p>
    <w:p>
      <w:pPr>
        <w:pStyle w:val="17"/>
        <w:keepNext w:val="0"/>
        <w:keepLines w:val="0"/>
        <w:pageBreakBefore w:val="0"/>
        <w:widowControl w:val="0"/>
        <w:numPr>
          <w:ilvl w:val="0"/>
          <w:numId w:val="6"/>
        </w:numPr>
        <w:kinsoku/>
        <w:wordWrap/>
        <w:overflowPunct/>
        <w:topLinePunct w:val="0"/>
        <w:autoSpaceDE/>
        <w:autoSpaceDN/>
        <w:bidi w:val="0"/>
        <w:adjustRightInd w:val="0"/>
        <w:snapToGrid w:val="0"/>
        <w:ind w:left="0" w:leftChars="0" w:right="0" w:rightChars="0"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zh-CN"/>
        </w:rPr>
        <w:t>《中华人民共和国安全生产法》（2021年6月10日修正</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zh-CN"/>
        </w:rPr>
        <w:t>2021年9月1日施行）；</w:t>
      </w:r>
    </w:p>
    <w:p>
      <w:pPr>
        <w:pStyle w:val="17"/>
        <w:keepNext w:val="0"/>
        <w:keepLines w:val="0"/>
        <w:pageBreakBefore w:val="0"/>
        <w:widowControl w:val="0"/>
        <w:numPr>
          <w:ilvl w:val="0"/>
          <w:numId w:val="6"/>
        </w:numPr>
        <w:kinsoku/>
        <w:wordWrap/>
        <w:overflowPunct/>
        <w:topLinePunct w:val="0"/>
        <w:autoSpaceDE/>
        <w:autoSpaceDN/>
        <w:bidi w:val="0"/>
        <w:adjustRightInd w:val="0"/>
        <w:snapToGrid w:val="0"/>
        <w:ind w:left="0" w:leftChars="0" w:right="0" w:rightChars="0" w:firstLine="480" w:firstLineChars="200"/>
        <w:jc w:val="both"/>
        <w:textAlignment w:val="auto"/>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《中华人民共和国突发事件应对法》（2007年8月30日</w:t>
      </w:r>
      <w:r>
        <w:rPr>
          <w:rFonts w:hint="default" w:ascii="Times New Roman" w:hAnsi="Times New Roman" w:eastAsia="宋体" w:cs="Times New Roman"/>
          <w:color w:val="auto"/>
          <w:highlight w:val="none"/>
          <w:lang w:val="en-US" w:eastAsia="zh-CN"/>
        </w:rPr>
        <w:t>发布，</w:t>
      </w:r>
      <w:r>
        <w:rPr>
          <w:rFonts w:hint="default" w:ascii="Times New Roman" w:hAnsi="Times New Roman" w:eastAsia="宋体" w:cs="Times New Roman"/>
          <w:color w:val="auto"/>
          <w:highlight w:val="none"/>
          <w:lang w:val="zh-CN"/>
        </w:rPr>
        <w:t>2007年11月1日施行）；</w:t>
      </w:r>
    </w:p>
    <w:p>
      <w:pPr>
        <w:pStyle w:val="17"/>
        <w:keepNext w:val="0"/>
        <w:keepLines w:val="0"/>
        <w:pageBreakBefore w:val="0"/>
        <w:widowControl w:val="0"/>
        <w:numPr>
          <w:ilvl w:val="0"/>
          <w:numId w:val="6"/>
        </w:numPr>
        <w:kinsoku/>
        <w:wordWrap/>
        <w:overflowPunct/>
        <w:topLinePunct w:val="0"/>
        <w:autoSpaceDE/>
        <w:autoSpaceDN/>
        <w:bidi w:val="0"/>
        <w:adjustRightInd w:val="0"/>
        <w:snapToGrid w:val="0"/>
        <w:ind w:left="0" w:leftChars="0" w:right="0" w:rightChars="0" w:firstLine="480" w:firstLineChars="200"/>
        <w:jc w:val="both"/>
        <w:textAlignment w:val="auto"/>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《中华人民共和国防沙治沙法》（2018年10月26日修正，2018年10月26日施行）；</w:t>
      </w:r>
    </w:p>
    <w:p>
      <w:pPr>
        <w:pStyle w:val="17"/>
        <w:keepNext w:val="0"/>
        <w:keepLines w:val="0"/>
        <w:pageBreakBefore w:val="0"/>
        <w:widowControl w:val="0"/>
        <w:numPr>
          <w:ilvl w:val="0"/>
          <w:numId w:val="6"/>
        </w:numPr>
        <w:kinsoku/>
        <w:wordWrap/>
        <w:overflowPunct/>
        <w:topLinePunct w:val="0"/>
        <w:autoSpaceDE/>
        <w:autoSpaceDN/>
        <w:bidi w:val="0"/>
        <w:adjustRightInd w:val="0"/>
        <w:snapToGrid w:val="0"/>
        <w:ind w:left="0" w:leftChars="0" w:right="0" w:rightChars="0"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《中华人民共和国传染病防治</w:t>
      </w:r>
      <w:r>
        <w:rPr>
          <w:rFonts w:hint="default" w:ascii="Times New Roman" w:hAnsi="Times New Roman" w:eastAsia="宋体" w:cs="Times New Roman"/>
          <w:color w:val="auto"/>
          <w:highlight w:val="none"/>
          <w:lang w:val="zh-CN"/>
        </w:rPr>
        <w:t>法》（2013年6月29日</w:t>
      </w:r>
      <w:r>
        <w:rPr>
          <w:rFonts w:hint="default" w:ascii="Times New Roman" w:hAnsi="Times New Roman" w:eastAsia="宋体" w:cs="Times New Roman"/>
          <w:color w:val="auto"/>
          <w:highlight w:val="none"/>
          <w:lang w:val="en-US" w:eastAsia="zh-CN"/>
        </w:rPr>
        <w:t>修正，</w:t>
      </w:r>
      <w:r>
        <w:rPr>
          <w:rFonts w:hint="default" w:ascii="Times New Roman" w:hAnsi="Times New Roman" w:eastAsia="宋体" w:cs="Times New Roman"/>
          <w:color w:val="auto"/>
          <w:highlight w:val="none"/>
          <w:lang w:val="zh-CN"/>
        </w:rPr>
        <w:t>2013年6月29日施行）；</w:t>
      </w:r>
    </w:p>
    <w:p>
      <w:pPr>
        <w:pStyle w:val="17"/>
        <w:keepNext w:val="0"/>
        <w:keepLines w:val="0"/>
        <w:pageBreakBefore w:val="0"/>
        <w:widowControl w:val="0"/>
        <w:numPr>
          <w:ilvl w:val="0"/>
          <w:numId w:val="6"/>
        </w:numPr>
        <w:kinsoku/>
        <w:wordWrap/>
        <w:overflowPunct/>
        <w:topLinePunct w:val="0"/>
        <w:autoSpaceDE/>
        <w:autoSpaceDN/>
        <w:bidi w:val="0"/>
        <w:adjustRightInd w:val="0"/>
        <w:snapToGrid w:val="0"/>
        <w:ind w:left="0" w:leftChars="0" w:right="0" w:rightChars="0"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《中华人民共和国食品安全法》（</w:t>
      </w: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lang w:val="zh-CN"/>
        </w:rPr>
        <w:t>021年4月29日修正</w:t>
      </w:r>
      <w:r>
        <w:rPr>
          <w:rFonts w:hint="default" w:ascii="Times New Roman" w:hAnsi="Times New Roman" w:eastAsia="宋体" w:cs="Times New Roman"/>
          <w:color w:val="auto"/>
          <w:highlight w:val="none"/>
          <w:lang w:val="zh-CN" w:eastAsia="zh-CN"/>
        </w:rPr>
        <w:t>，</w:t>
      </w: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lang w:val="zh-CN"/>
        </w:rPr>
        <w:t>021年4月29日施行</w:t>
      </w:r>
      <w:r>
        <w:rPr>
          <w:rFonts w:hint="default" w:ascii="Times New Roman" w:hAnsi="Times New Roman" w:eastAsia="宋体" w:cs="Times New Roman"/>
          <w:color w:val="auto"/>
          <w:highlight w:val="none"/>
        </w:rPr>
        <w:t>）；</w:t>
      </w:r>
    </w:p>
    <w:p>
      <w:pPr>
        <w:pStyle w:val="17"/>
        <w:keepNext w:val="0"/>
        <w:keepLines w:val="0"/>
        <w:pageBreakBefore w:val="0"/>
        <w:widowControl w:val="0"/>
        <w:numPr>
          <w:ilvl w:val="0"/>
          <w:numId w:val="6"/>
        </w:numPr>
        <w:kinsoku/>
        <w:wordWrap/>
        <w:overflowPunct/>
        <w:topLinePunct w:val="0"/>
        <w:autoSpaceDE/>
        <w:autoSpaceDN/>
        <w:bidi w:val="0"/>
        <w:adjustRightInd w:val="0"/>
        <w:snapToGrid w:val="0"/>
        <w:ind w:left="0" w:leftChars="0" w:right="0" w:rightChars="0"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《建设项目环境保护管理条例》国务院第253号令</w:t>
      </w:r>
      <w:r>
        <w:rPr>
          <w:rFonts w:hint="default" w:ascii="Times New Roman" w:hAnsi="Times New Roman" w:eastAsia="宋体" w:cs="Times New Roman"/>
          <w:color w:val="auto"/>
          <w:highlight w:val="none"/>
          <w:lang w:val="zh-CN" w:eastAsia="zh-CN"/>
        </w:rPr>
        <w:t>（</w:t>
      </w:r>
      <w:r>
        <w:rPr>
          <w:rFonts w:hint="default" w:ascii="Times New Roman" w:hAnsi="Times New Roman" w:eastAsia="宋体" w:cs="Times New Roman"/>
          <w:color w:val="auto"/>
          <w:highlight w:val="none"/>
          <w:lang w:val="zh-CN"/>
        </w:rPr>
        <w:t>2017年7月16日修订</w:t>
      </w:r>
      <w:r>
        <w:rPr>
          <w:rFonts w:hint="default" w:ascii="Times New Roman" w:hAnsi="Times New Roman" w:eastAsia="宋体" w:cs="Times New Roman"/>
          <w:color w:val="auto"/>
          <w:highlight w:val="none"/>
          <w:lang w:val="zh-CN" w:eastAsia="zh-CN"/>
        </w:rPr>
        <w:t>，</w:t>
      </w:r>
      <w:r>
        <w:rPr>
          <w:rFonts w:hint="default" w:ascii="Times New Roman" w:hAnsi="Times New Roman" w:eastAsia="宋体" w:cs="Times New Roman"/>
          <w:color w:val="auto"/>
          <w:highlight w:val="none"/>
          <w:lang w:val="zh-CN"/>
        </w:rPr>
        <w:t>2017年10月1日施行</w:t>
      </w:r>
      <w:r>
        <w:rPr>
          <w:rFonts w:hint="default" w:ascii="Times New Roman" w:hAnsi="Times New Roman" w:eastAsia="宋体" w:cs="Times New Roman"/>
          <w:color w:val="auto"/>
          <w:highlight w:val="none"/>
          <w:lang w:val="zh-CN" w:eastAsia="zh-CN"/>
        </w:rPr>
        <w:t>）</w:t>
      </w:r>
      <w:r>
        <w:rPr>
          <w:rFonts w:hint="default" w:ascii="Times New Roman" w:hAnsi="Times New Roman" w:eastAsia="宋体" w:cs="Times New Roman"/>
          <w:color w:val="auto"/>
          <w:highlight w:val="none"/>
        </w:rPr>
        <w:t>；</w:t>
      </w:r>
    </w:p>
    <w:p>
      <w:pPr>
        <w:pStyle w:val="17"/>
        <w:keepNext w:val="0"/>
        <w:keepLines w:val="0"/>
        <w:pageBreakBefore w:val="0"/>
        <w:widowControl w:val="0"/>
        <w:numPr>
          <w:ilvl w:val="0"/>
          <w:numId w:val="6"/>
        </w:numPr>
        <w:kinsoku/>
        <w:wordWrap/>
        <w:overflowPunct/>
        <w:topLinePunct w:val="0"/>
        <w:autoSpaceDE/>
        <w:autoSpaceDN/>
        <w:bidi w:val="0"/>
        <w:adjustRightInd w:val="0"/>
        <w:snapToGrid w:val="0"/>
        <w:ind w:left="0" w:leftChars="0" w:right="0" w:rightChars="0"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《畜禽规模养殖污染防治条例》（</w:t>
      </w:r>
      <w:r>
        <w:rPr>
          <w:rFonts w:hint="default" w:ascii="Times New Roman" w:hAnsi="Times New Roman" w:eastAsia="宋体" w:cs="Times New Roman"/>
          <w:color w:val="auto"/>
          <w:highlight w:val="none"/>
          <w:lang w:val="zh-CN"/>
        </w:rPr>
        <w:t>2013年11月11日公布</w:t>
      </w:r>
      <w:r>
        <w:rPr>
          <w:rFonts w:hint="default" w:ascii="Times New Roman" w:hAnsi="Times New Roman" w:eastAsia="宋体" w:cs="Times New Roman"/>
          <w:color w:val="auto"/>
          <w:highlight w:val="none"/>
          <w:lang w:val="zh-CN" w:eastAsia="zh-CN"/>
        </w:rPr>
        <w:t>，</w:t>
      </w:r>
      <w:r>
        <w:rPr>
          <w:rFonts w:hint="default" w:ascii="Times New Roman" w:hAnsi="Times New Roman" w:eastAsia="宋体" w:cs="Times New Roman"/>
          <w:color w:val="auto"/>
          <w:highlight w:val="none"/>
          <w:lang w:val="zh-CN"/>
        </w:rPr>
        <w:t>2014年1月1日</w:t>
      </w:r>
      <w:r>
        <w:rPr>
          <w:rFonts w:hint="default" w:ascii="Times New Roman" w:hAnsi="Times New Roman" w:eastAsia="宋体" w:cs="Times New Roman"/>
          <w:color w:val="auto"/>
          <w:highlight w:val="none"/>
        </w:rPr>
        <w:t xml:space="preserve">施行）； </w:t>
      </w:r>
    </w:p>
    <w:p>
      <w:pPr>
        <w:pStyle w:val="17"/>
        <w:keepNext w:val="0"/>
        <w:keepLines w:val="0"/>
        <w:pageBreakBefore w:val="0"/>
        <w:widowControl w:val="0"/>
        <w:numPr>
          <w:ilvl w:val="0"/>
          <w:numId w:val="6"/>
        </w:numPr>
        <w:kinsoku/>
        <w:wordWrap/>
        <w:overflowPunct/>
        <w:topLinePunct w:val="0"/>
        <w:autoSpaceDE/>
        <w:autoSpaceDN/>
        <w:bidi w:val="0"/>
        <w:adjustRightInd w:val="0"/>
        <w:snapToGrid w:val="0"/>
        <w:ind w:left="0" w:leftChars="0" w:right="0" w:rightChars="0" w:firstLine="480" w:firstLineChars="200"/>
        <w:jc w:val="both"/>
        <w:textAlignment w:val="auto"/>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《医疗废物管理条例》（2011年1月8日修正，2011年1月8日</w:t>
      </w:r>
      <w:r>
        <w:rPr>
          <w:rFonts w:hint="default" w:ascii="Times New Roman" w:hAnsi="Times New Roman" w:eastAsia="宋体" w:cs="Times New Roman"/>
          <w:color w:val="auto"/>
          <w:highlight w:val="none"/>
        </w:rPr>
        <w:t>施行</w:t>
      </w:r>
      <w:r>
        <w:rPr>
          <w:rFonts w:hint="default" w:ascii="Times New Roman" w:hAnsi="Times New Roman" w:eastAsia="宋体" w:cs="Times New Roman"/>
          <w:color w:val="auto"/>
          <w:highlight w:val="none"/>
          <w:lang w:val="zh-CN"/>
        </w:rPr>
        <w:t>）；</w:t>
      </w:r>
    </w:p>
    <w:p>
      <w:pPr>
        <w:pStyle w:val="17"/>
        <w:keepNext w:val="0"/>
        <w:keepLines w:val="0"/>
        <w:pageBreakBefore w:val="0"/>
        <w:widowControl w:val="0"/>
        <w:numPr>
          <w:ilvl w:val="0"/>
          <w:numId w:val="6"/>
        </w:numPr>
        <w:kinsoku/>
        <w:wordWrap/>
        <w:overflowPunct/>
        <w:topLinePunct w:val="0"/>
        <w:autoSpaceDE/>
        <w:autoSpaceDN/>
        <w:bidi w:val="0"/>
        <w:adjustRightInd w:val="0"/>
        <w:snapToGrid w:val="0"/>
        <w:ind w:left="0" w:leftChars="0" w:right="0" w:rightChars="0" w:firstLine="480" w:firstLineChars="200"/>
        <w:jc w:val="both"/>
        <w:textAlignment w:val="auto"/>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《重大动物疫情应急条例》（2005年11月16日</w:t>
      </w:r>
      <w:r>
        <w:rPr>
          <w:rFonts w:hint="default" w:ascii="Times New Roman" w:hAnsi="Times New Roman" w:eastAsia="宋体" w:cs="Times New Roman"/>
          <w:color w:val="auto"/>
          <w:highlight w:val="none"/>
          <w:lang w:val="en-US" w:eastAsia="zh-CN"/>
        </w:rPr>
        <w:t>发布，</w:t>
      </w:r>
      <w:r>
        <w:rPr>
          <w:rFonts w:hint="default" w:ascii="Times New Roman" w:hAnsi="Times New Roman" w:eastAsia="宋体" w:cs="Times New Roman"/>
          <w:color w:val="auto"/>
          <w:highlight w:val="none"/>
          <w:lang w:val="zh-CN"/>
        </w:rPr>
        <w:t>2005年11月16日</w:t>
      </w:r>
      <w:r>
        <w:rPr>
          <w:rFonts w:hint="default" w:ascii="Times New Roman" w:hAnsi="Times New Roman" w:eastAsia="宋体" w:cs="Times New Roman"/>
          <w:color w:val="auto"/>
          <w:highlight w:val="none"/>
        </w:rPr>
        <w:t>施行</w:t>
      </w:r>
      <w:r>
        <w:rPr>
          <w:rFonts w:hint="default" w:ascii="Times New Roman" w:hAnsi="Times New Roman" w:eastAsia="宋体" w:cs="Times New Roman"/>
          <w:color w:val="auto"/>
          <w:highlight w:val="none"/>
          <w:lang w:val="zh-CN"/>
        </w:rPr>
        <w:t>）；</w:t>
      </w:r>
    </w:p>
    <w:p>
      <w:pPr>
        <w:pStyle w:val="17"/>
        <w:keepNext w:val="0"/>
        <w:keepLines w:val="0"/>
        <w:pageBreakBefore w:val="0"/>
        <w:widowControl w:val="0"/>
        <w:numPr>
          <w:ilvl w:val="0"/>
          <w:numId w:val="6"/>
        </w:numPr>
        <w:kinsoku/>
        <w:wordWrap/>
        <w:overflowPunct/>
        <w:topLinePunct w:val="0"/>
        <w:autoSpaceDE/>
        <w:autoSpaceDN/>
        <w:bidi w:val="0"/>
        <w:adjustRightInd w:val="0"/>
        <w:snapToGrid w:val="0"/>
        <w:ind w:left="0" w:leftChars="0" w:right="0" w:rightChars="0" w:firstLine="480" w:firstLineChars="200"/>
        <w:jc w:val="both"/>
        <w:textAlignment w:val="auto"/>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《排污许可管理条例》（2021年01月29日</w:t>
      </w:r>
      <w:r>
        <w:rPr>
          <w:rFonts w:hint="default" w:ascii="Times New Roman" w:hAnsi="Times New Roman" w:eastAsia="宋体" w:cs="Times New Roman"/>
          <w:color w:val="auto"/>
          <w:highlight w:val="none"/>
          <w:lang w:val="en-US" w:eastAsia="zh-CN"/>
        </w:rPr>
        <w:t>发布，</w:t>
      </w:r>
      <w:r>
        <w:rPr>
          <w:rFonts w:hint="default" w:ascii="Times New Roman" w:hAnsi="Times New Roman" w:eastAsia="宋体" w:cs="Times New Roman"/>
          <w:color w:val="auto"/>
          <w:highlight w:val="none"/>
          <w:lang w:val="zh-CN"/>
        </w:rPr>
        <w:t>2021年3月1日施行）</w:t>
      </w:r>
      <w:r>
        <w:rPr>
          <w:rFonts w:hint="default" w:ascii="Times New Roman" w:hAnsi="Times New Roman" w:eastAsia="宋体" w:cs="Times New Roman"/>
          <w:color w:val="auto"/>
          <w:highlight w:val="none"/>
          <w:lang w:eastAsia="zh-CN"/>
        </w:rPr>
        <w:t>；</w:t>
      </w:r>
    </w:p>
    <w:p>
      <w:pPr>
        <w:pStyle w:val="17"/>
        <w:keepNext w:val="0"/>
        <w:keepLines w:val="0"/>
        <w:pageBreakBefore w:val="0"/>
        <w:widowControl w:val="0"/>
        <w:numPr>
          <w:ilvl w:val="0"/>
          <w:numId w:val="6"/>
        </w:numPr>
        <w:kinsoku/>
        <w:wordWrap/>
        <w:overflowPunct/>
        <w:topLinePunct w:val="0"/>
        <w:autoSpaceDE/>
        <w:autoSpaceDN/>
        <w:bidi w:val="0"/>
        <w:adjustRightInd w:val="0"/>
        <w:snapToGrid w:val="0"/>
        <w:ind w:left="0" w:leftChars="0" w:right="0" w:rightChars="0" w:firstLine="456" w:firstLineChars="200"/>
        <w:jc w:val="both"/>
        <w:textAlignment w:val="auto"/>
        <w:rPr>
          <w:rFonts w:hint="default" w:ascii="Times New Roman" w:hAnsi="Times New Roman" w:eastAsia="宋体" w:cs="Times New Roman"/>
          <w:color w:val="auto"/>
          <w:spacing w:val="-6"/>
          <w:kern w:val="2"/>
          <w:sz w:val="24"/>
          <w:szCs w:val="24"/>
          <w:highlight w:val="none"/>
          <w:lang w:val="zh-CN" w:eastAsia="zh-CN" w:bidi="ar-SA"/>
        </w:rPr>
      </w:pPr>
      <w:r>
        <w:rPr>
          <w:rFonts w:hint="default" w:ascii="Times New Roman" w:hAnsi="Times New Roman" w:eastAsia="宋体" w:cs="Times New Roman"/>
          <w:color w:val="auto"/>
          <w:spacing w:val="-6"/>
          <w:kern w:val="2"/>
          <w:sz w:val="24"/>
          <w:szCs w:val="24"/>
          <w:highlight w:val="none"/>
          <w:lang w:val="zh-CN" w:eastAsia="zh-CN" w:bidi="ar-SA"/>
        </w:rPr>
        <w:t>《地下水管理条例》（2021年10月21日发布，自2021年12月1日起施行）。</w:t>
      </w:r>
    </w:p>
    <w:p>
      <w:pPr>
        <w:pStyle w:val="5"/>
        <w:pageBreakBefore w:val="0"/>
        <w:wordWrap/>
        <w:bidi w:val="0"/>
        <w:adjustRightInd w:val="0"/>
        <w:ind w:left="0" w:leftChars="0" w:right="0" w:rightChars="0" w:firstLine="0" w:firstLineChars="0"/>
        <w:jc w:val="both"/>
        <w:rPr>
          <w:rFonts w:hint="default" w:ascii="Times New Roman" w:hAnsi="Times New Roman" w:cs="Times New Roman"/>
          <w:color w:val="auto"/>
          <w:highlight w:val="none"/>
        </w:rPr>
      </w:pPr>
      <w:bookmarkStart w:id="72" w:name="_Toc5312"/>
      <w:r>
        <w:rPr>
          <w:rFonts w:hint="default" w:ascii="Times New Roman" w:hAnsi="Times New Roman" w:cs="Times New Roman"/>
          <w:color w:val="auto"/>
          <w:highlight w:val="none"/>
        </w:rPr>
        <w:t>部门规章、规范性文件及行动计划</w:t>
      </w:r>
      <w:bookmarkEnd w:id="72"/>
    </w:p>
    <w:p>
      <w:pPr>
        <w:pageBreakBefore w:val="0"/>
        <w:numPr>
          <w:ilvl w:val="0"/>
          <w:numId w:val="7"/>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《建设项目环境影响评价分类管理名录（2021年</w:t>
      </w:r>
      <w:r>
        <w:rPr>
          <w:rFonts w:hint="default" w:ascii="Times New Roman" w:hAnsi="Times New Roman" w:cs="Times New Roman"/>
          <w:color w:val="auto"/>
          <w:highlight w:val="none"/>
          <w:lang w:val="en-US" w:eastAsia="zh-CN"/>
        </w:rPr>
        <w:t>版</w:t>
      </w:r>
      <w:r>
        <w:rPr>
          <w:rFonts w:hint="default" w:ascii="Times New Roman" w:hAnsi="Times New Roman" w:cs="Times New Roman"/>
          <w:color w:val="auto"/>
          <w:highlight w:val="none"/>
          <w:lang w:eastAsia="zh-CN"/>
        </w:rPr>
        <w:t>）》</w:t>
      </w:r>
      <w:r>
        <w:rPr>
          <w:rFonts w:hint="eastAsia" w:ascii="Times New Roman" w:hAnsi="Times New Roman" w:cs="Times New Roman"/>
          <w:color w:val="auto"/>
          <w:highlight w:val="none"/>
          <w:lang w:eastAsia="zh-CN"/>
        </w:rPr>
        <w:t>（生态环境部令第16号）（2021年1月1日起施行</w:t>
      </w:r>
      <w:r>
        <w:rPr>
          <w:rFonts w:hint="eastAsia" w:cs="Times New Roman"/>
          <w:color w:val="auto"/>
          <w:highlight w:val="none"/>
          <w:lang w:eastAsia="zh-CN"/>
        </w:rPr>
        <w:t>）；</w:t>
      </w:r>
    </w:p>
    <w:p>
      <w:pPr>
        <w:pageBreakBefore w:val="0"/>
        <w:numPr>
          <w:ilvl w:val="0"/>
          <w:numId w:val="7"/>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《排污许可管理办法（试行）》</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2018年1月10日环境保护部令第48号公布</w:t>
      </w:r>
      <w:r>
        <w:rPr>
          <w:rFonts w:hint="eastAsia" w:cs="Times New Roman"/>
          <w:color w:val="auto"/>
          <w:highlight w:val="none"/>
          <w:lang w:eastAsia="zh-CN"/>
        </w:rPr>
        <w:t>）</w:t>
      </w:r>
      <w:r>
        <w:rPr>
          <w:rFonts w:hint="default" w:ascii="Times New Roman" w:hAnsi="Times New Roman" w:cs="Times New Roman"/>
          <w:color w:val="auto"/>
          <w:highlight w:val="none"/>
        </w:rPr>
        <w:t>（20</w:t>
      </w:r>
      <w:r>
        <w:rPr>
          <w:rFonts w:hint="default" w:ascii="Times New Roman" w:hAnsi="Times New Roman" w:cs="Times New Roman"/>
          <w:color w:val="auto"/>
          <w:highlight w:val="none"/>
          <w:lang w:val="en-US" w:eastAsia="zh-CN"/>
        </w:rPr>
        <w:t>19</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月</w:t>
      </w:r>
      <w:r>
        <w:rPr>
          <w:rFonts w:hint="default" w:ascii="Times New Roman" w:hAnsi="Times New Roman" w:cs="Times New Roman"/>
          <w:color w:val="auto"/>
          <w:highlight w:val="none"/>
          <w:lang w:val="en-US" w:eastAsia="zh-CN"/>
        </w:rPr>
        <w:t>22</w:t>
      </w:r>
      <w:r>
        <w:rPr>
          <w:rFonts w:hint="default" w:ascii="Times New Roman" w:hAnsi="Times New Roman" w:cs="Times New Roman"/>
          <w:color w:val="auto"/>
          <w:highlight w:val="none"/>
        </w:rPr>
        <w:t>日</w:t>
      </w:r>
      <w:r>
        <w:rPr>
          <w:rFonts w:hint="default" w:ascii="Times New Roman" w:hAnsi="Times New Roman" w:cs="Times New Roman"/>
          <w:color w:val="auto"/>
          <w:highlight w:val="none"/>
          <w:lang w:val="en-US" w:eastAsia="zh-CN"/>
        </w:rPr>
        <w:t>施行</w:t>
      </w:r>
      <w:r>
        <w:rPr>
          <w:rFonts w:hint="default" w:ascii="Times New Roman" w:hAnsi="Times New Roman" w:cs="Times New Roman"/>
          <w:color w:val="auto"/>
          <w:highlight w:val="none"/>
        </w:rPr>
        <w:t>）；</w:t>
      </w:r>
    </w:p>
    <w:p>
      <w:pPr>
        <w:pageBreakBefore w:val="0"/>
        <w:numPr>
          <w:ilvl w:val="0"/>
          <w:numId w:val="7"/>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《环境影响评价公众参与办法》</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生态环境部部令 第4号</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（2019年1月1日施行）；</w:t>
      </w:r>
    </w:p>
    <w:p>
      <w:pPr>
        <w:pageBreakBefore w:val="0"/>
        <w:numPr>
          <w:ilvl w:val="0"/>
          <w:numId w:val="7"/>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《建设项目竣工环境保护验收暂行办法》（环境保护部国环规环评</w:t>
      </w:r>
      <w:r>
        <w:rPr>
          <w:rFonts w:hint="eastAsia" w:ascii="Times New Roman" w:hAnsi="Times New Roman" w:cs="Times New Roman"/>
          <w:color w:val="auto"/>
          <w:highlight w:val="none"/>
        </w:rPr>
        <w:t>[2017]4号发布</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2017年11月20日施行）；</w:t>
      </w:r>
    </w:p>
    <w:p>
      <w:pPr>
        <w:pageBreakBefore w:val="0"/>
        <w:numPr>
          <w:ilvl w:val="0"/>
          <w:numId w:val="7"/>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《突发环境事件应急管理办法》</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环境保护部令第34号</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（2015年 6月5日施行）；</w:t>
      </w:r>
    </w:p>
    <w:p>
      <w:pPr>
        <w:pageBreakBefore w:val="0"/>
        <w:numPr>
          <w:ilvl w:val="0"/>
          <w:numId w:val="7"/>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《危险废物转移管理办法》（生态环境部 公安部 交通运输部 部令 第23号）（</w:t>
      </w:r>
      <w:r>
        <w:rPr>
          <w:rFonts w:hint="default" w:ascii="Times New Roman" w:hAnsi="Times New Roman" w:cs="Times New Roman"/>
          <w:color w:val="auto"/>
          <w:highlight w:val="none"/>
          <w:lang w:val="en-US" w:eastAsia="zh-CN"/>
        </w:rPr>
        <w:t>2022</w:t>
      </w:r>
      <w:r>
        <w:rPr>
          <w:rFonts w:hint="default" w:ascii="Times New Roman" w:hAnsi="Times New Roman" w:cs="Times New Roman"/>
          <w:color w:val="auto"/>
          <w:highlight w:val="none"/>
        </w:rPr>
        <w:t>年1月1日施行）；</w:t>
      </w:r>
    </w:p>
    <w:p>
      <w:pPr>
        <w:pageBreakBefore w:val="0"/>
        <w:numPr>
          <w:ilvl w:val="0"/>
          <w:numId w:val="7"/>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《企业环境信息依法披露管理办法》</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生态环境部令第24号</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2022年2月8日起正式施行</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w:t>
      </w:r>
    </w:p>
    <w:p>
      <w:pPr>
        <w:pageBreakBefore w:val="0"/>
        <w:numPr>
          <w:ilvl w:val="0"/>
          <w:numId w:val="7"/>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《环境保护部办公厅关于做好环境影响评价制度与排污许可制衔接相关工作的通知》</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环办环评〔2017〕84号</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（2017年11月15日印发）；</w:t>
      </w:r>
    </w:p>
    <w:p>
      <w:pPr>
        <w:pageBreakBefore w:val="0"/>
        <w:numPr>
          <w:ilvl w:val="0"/>
          <w:numId w:val="7"/>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《国务院办公厅关于印发控制污染物排放许可制实施方案的通知》</w:t>
      </w:r>
      <w:r>
        <w:rPr>
          <w:rFonts w:hint="eastAsia" w:cs="Times New Roman"/>
          <w:color w:val="auto"/>
          <w:highlight w:val="none"/>
          <w:lang w:eastAsia="zh-CN"/>
        </w:rPr>
        <w:t>（</w:t>
      </w:r>
      <w:r>
        <w:rPr>
          <w:rFonts w:hint="eastAsia" w:ascii="宋体" w:hAnsi="宋体" w:eastAsia="宋体" w:cs="宋体"/>
          <w:i w:val="0"/>
          <w:iCs w:val="0"/>
          <w:caps w:val="0"/>
          <w:color w:val="auto"/>
          <w:spacing w:val="0"/>
          <w:sz w:val="24"/>
          <w:szCs w:val="24"/>
          <w:shd w:val="clear" w:fill="FFFFFF"/>
        </w:rPr>
        <w:t>国办发〔2016〕81号</w:t>
      </w:r>
      <w:r>
        <w:rPr>
          <w:rFonts w:hint="eastAsia" w:ascii="宋体" w:hAnsi="宋体" w:eastAsia="宋体" w:cs="宋体"/>
          <w:i w:val="0"/>
          <w:iCs w:val="0"/>
          <w:caps w:val="0"/>
          <w:color w:val="auto"/>
          <w:spacing w:val="0"/>
          <w:sz w:val="24"/>
          <w:szCs w:val="24"/>
          <w:shd w:val="clear" w:fill="FFFFFF"/>
          <w:lang w:eastAsia="zh-CN"/>
        </w:rPr>
        <w:t>）</w:t>
      </w:r>
      <w:r>
        <w:rPr>
          <w:rFonts w:hint="default" w:ascii="Times New Roman" w:hAnsi="Times New Roman" w:cs="Times New Roman"/>
          <w:color w:val="auto"/>
          <w:highlight w:val="none"/>
        </w:rPr>
        <w:t>（2016年11月10日发布并实施）；</w:t>
      </w:r>
    </w:p>
    <w:p>
      <w:pPr>
        <w:pageBreakBefore w:val="0"/>
        <w:numPr>
          <w:ilvl w:val="0"/>
          <w:numId w:val="7"/>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《国务院关于印发打赢蓝天保卫战三年行动计划的通知》</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国发〔2018〕22号</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（2018年6月27日发布）；</w:t>
      </w:r>
    </w:p>
    <w:p>
      <w:pPr>
        <w:pageBreakBefore w:val="0"/>
        <w:numPr>
          <w:ilvl w:val="0"/>
          <w:numId w:val="7"/>
        </w:numPr>
        <w:wordWrap/>
        <w:bidi w:val="0"/>
        <w:adjustRightInd w:val="0"/>
        <w:ind w:left="0" w:leftChars="0" w:right="0" w:rightChars="0" w:firstLine="456" w:firstLineChars="200"/>
        <w:jc w:val="both"/>
        <w:rPr>
          <w:rFonts w:hint="default" w:ascii="Times New Roman" w:hAnsi="Times New Roman" w:eastAsia="宋体" w:cs="Times New Roman"/>
          <w:color w:val="auto"/>
          <w:spacing w:val="-6"/>
          <w:kern w:val="2"/>
          <w:sz w:val="24"/>
          <w:szCs w:val="24"/>
          <w:highlight w:val="none"/>
          <w:lang w:val="en-US" w:eastAsia="zh-CN" w:bidi="ar-SA"/>
        </w:rPr>
      </w:pPr>
      <w:r>
        <w:rPr>
          <w:rFonts w:hint="default" w:ascii="Times New Roman" w:hAnsi="Times New Roman" w:eastAsia="宋体" w:cs="Times New Roman"/>
          <w:color w:val="auto"/>
          <w:spacing w:val="-6"/>
          <w:kern w:val="2"/>
          <w:sz w:val="24"/>
          <w:szCs w:val="24"/>
          <w:highlight w:val="none"/>
          <w:lang w:val="en-US" w:eastAsia="zh-CN" w:bidi="ar-SA"/>
        </w:rPr>
        <w:t>《</w:t>
      </w:r>
      <w:r>
        <w:rPr>
          <w:rFonts w:hint="default" w:ascii="Times New Roman" w:hAnsi="Times New Roman" w:cs="Times New Roman"/>
          <w:color w:val="auto"/>
          <w:highlight w:val="none"/>
          <w:lang w:val="en-US" w:eastAsia="zh-CN"/>
        </w:rPr>
        <w:t>国务院</w:t>
      </w:r>
      <w:r>
        <w:rPr>
          <w:rFonts w:hint="default" w:ascii="Times New Roman" w:hAnsi="Times New Roman" w:eastAsia="宋体" w:cs="Times New Roman"/>
          <w:color w:val="auto"/>
          <w:kern w:val="2"/>
          <w:sz w:val="24"/>
          <w:szCs w:val="24"/>
          <w:highlight w:val="none"/>
          <w:lang w:val="en-US" w:eastAsia="zh-CN" w:bidi="ar-SA"/>
        </w:rPr>
        <w:t>关于印发土壤污染防治行动计划的通知》</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国发〔2016〕31号</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（2016年5月28日发布）；</w:t>
      </w:r>
    </w:p>
    <w:p>
      <w:pPr>
        <w:pageBreakBefore w:val="0"/>
        <w:numPr>
          <w:ilvl w:val="0"/>
          <w:numId w:val="7"/>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《国务院关于印发水污染防治行动计划的通知》</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国发〔2015〕17号</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cs="Times New Roman"/>
          <w:color w:val="auto"/>
          <w:highlight w:val="none"/>
        </w:rPr>
        <w:t>2015年4月16日发布并施行）；</w:t>
      </w:r>
    </w:p>
    <w:p>
      <w:pPr>
        <w:pageBreakBefore w:val="0"/>
        <w:numPr>
          <w:ilvl w:val="0"/>
          <w:numId w:val="7"/>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《产业结构调整指导目录（2019 年本）》</w:t>
      </w:r>
      <w:r>
        <w:rPr>
          <w:rFonts w:hint="eastAsia" w:ascii="Times New Roman" w:hAnsi="Times New Roman" w:eastAsia="宋体" w:cs="Times New Roman"/>
          <w:color w:val="auto"/>
          <w:kern w:val="2"/>
          <w:sz w:val="24"/>
          <w:szCs w:val="24"/>
          <w:highlight w:val="none"/>
          <w:lang w:val="en-US" w:eastAsia="zh-CN" w:bidi="ar-SA"/>
        </w:rPr>
        <w:t xml:space="preserve">（中华人民共和国国家发展和改革委员会令 </w:t>
      </w:r>
      <w:r>
        <w:rPr>
          <w:rFonts w:hint="default" w:ascii="Times New Roman" w:hAnsi="Times New Roman" w:eastAsia="宋体" w:cs="Times New Roman"/>
          <w:color w:val="auto"/>
          <w:kern w:val="2"/>
          <w:sz w:val="24"/>
          <w:szCs w:val="24"/>
          <w:highlight w:val="none"/>
          <w:lang w:val="en-US" w:eastAsia="zh-CN" w:bidi="ar-SA"/>
        </w:rPr>
        <w:t>第29号</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cs="Times New Roman"/>
          <w:color w:val="auto"/>
          <w:highlight w:val="none"/>
          <w:lang w:val="en-US" w:eastAsia="zh-CN"/>
        </w:rPr>
        <w:t>2021年修</w:t>
      </w:r>
      <w:r>
        <w:rPr>
          <w:rFonts w:hint="eastAsia" w:cs="Times New Roman"/>
          <w:color w:val="auto"/>
          <w:highlight w:val="none"/>
          <w:lang w:val="en-US" w:eastAsia="zh-CN"/>
        </w:rPr>
        <w:t>改</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w:t>
      </w:r>
    </w:p>
    <w:p>
      <w:pPr>
        <w:pageBreakBefore w:val="0"/>
        <w:numPr>
          <w:ilvl w:val="0"/>
          <w:numId w:val="7"/>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《国家危险废物名录（2021年版）》</w:t>
      </w:r>
      <w:r>
        <w:rPr>
          <w:rFonts w:hint="default" w:ascii="Times New Roman" w:hAnsi="Times New Roman" w:eastAsia="宋体" w:cs="Times New Roman"/>
          <w:color w:val="auto"/>
          <w:kern w:val="2"/>
          <w:sz w:val="24"/>
          <w:szCs w:val="24"/>
          <w:highlight w:val="none"/>
          <w:lang w:val="en-US" w:eastAsia="zh-CN" w:bidi="ar-SA"/>
        </w:rPr>
        <w:t>（2020年11月25日生态环境部、国家发展和改革委员会、公安部、交通运输部、国家卫生健康委员会令第15号公布</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2021年1月1日施行）；</w:t>
      </w:r>
    </w:p>
    <w:p>
      <w:pPr>
        <w:pageBreakBefore w:val="0"/>
        <w:numPr>
          <w:ilvl w:val="0"/>
          <w:numId w:val="7"/>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《固定污染源排污许可分类管理名录（2019年版）》</w:t>
      </w:r>
      <w:r>
        <w:rPr>
          <w:rFonts w:hint="eastAsia" w:cs="Times New Roman"/>
          <w:color w:val="auto"/>
          <w:highlight w:val="none"/>
          <w:lang w:eastAsia="zh-CN"/>
        </w:rPr>
        <w:t>（生态环境部令第11号）</w:t>
      </w:r>
      <w:r>
        <w:rPr>
          <w:rFonts w:hint="default" w:ascii="Times New Roman" w:hAnsi="Times New Roman" w:cs="Times New Roman"/>
          <w:color w:val="auto"/>
          <w:highlight w:val="none"/>
        </w:rPr>
        <w:t>（2019年12月20日实施）；</w:t>
      </w:r>
    </w:p>
    <w:p>
      <w:pPr>
        <w:pageBreakBefore w:val="0"/>
        <w:numPr>
          <w:ilvl w:val="0"/>
          <w:numId w:val="7"/>
        </w:numPr>
        <w:wordWrap/>
        <w:bidi w:val="0"/>
        <w:adjustRightInd w:val="0"/>
        <w:ind w:left="0" w:leftChars="0" w:right="0" w:rightChars="0" w:firstLine="480" w:firstLineChars="200"/>
        <w:jc w:val="both"/>
        <w:rPr>
          <w:rFonts w:hint="default" w:ascii="Helvetica" w:hAnsi="Helvetica" w:eastAsia="Helvetica" w:cs="Helvetica"/>
          <w:i w:val="0"/>
          <w:iCs w:val="0"/>
          <w:caps w:val="0"/>
          <w:color w:val="auto"/>
          <w:spacing w:val="0"/>
          <w:sz w:val="24"/>
          <w:szCs w:val="24"/>
          <w:shd w:val="clear" w:fill="FFFFFF"/>
        </w:rPr>
      </w:pPr>
      <w:r>
        <w:rPr>
          <w:rFonts w:hint="default" w:ascii="Helvetica" w:hAnsi="Helvetica" w:eastAsia="Helvetica" w:cs="Helvetica"/>
          <w:i w:val="0"/>
          <w:iCs w:val="0"/>
          <w:caps w:val="0"/>
          <w:color w:val="auto"/>
          <w:spacing w:val="0"/>
          <w:sz w:val="24"/>
          <w:szCs w:val="24"/>
          <w:shd w:val="clear" w:fill="FFFFFF"/>
        </w:rPr>
        <w:t>《一般固体废物分类与代码》（</w:t>
      </w:r>
      <w:r>
        <w:rPr>
          <w:rFonts w:hint="default" w:ascii="Helvetica" w:hAnsi="Helvetica" w:eastAsia="Helvetica" w:cs="Helvetica"/>
          <w:i w:val="0"/>
          <w:iCs w:val="0"/>
          <w:caps w:val="0"/>
          <w:color w:val="auto"/>
          <w:spacing w:val="0"/>
          <w:sz w:val="24"/>
          <w:szCs w:val="24"/>
          <w:shd w:val="clear" w:fill="FFFFFF"/>
        </w:rPr>
        <w:fldChar w:fldCharType="begin"/>
      </w:r>
      <w:r>
        <w:rPr>
          <w:rFonts w:hint="default" w:ascii="Helvetica" w:hAnsi="Helvetica" w:eastAsia="Helvetica" w:cs="Helvetica"/>
          <w:i w:val="0"/>
          <w:iCs w:val="0"/>
          <w:caps w:val="0"/>
          <w:color w:val="auto"/>
          <w:spacing w:val="0"/>
          <w:sz w:val="24"/>
          <w:szCs w:val="24"/>
          <w:shd w:val="clear" w:fill="FFFFFF"/>
        </w:rPr>
        <w:instrText xml:space="preserve"> HYPERLINK "https://www.so.com/link?m=bVjQFK2jvyqKLlWB78S9NGxY7KUzqy32NYm9XTExNv69rzGMETENNkGqQFJy2nOQJH2kXwuwtCpSRARuj7ePBmlj1h6hgkczGBLSZf38gg04J7eC7THGxf5LLpk0B/wJqYg5zSCiET9PGfi+FOsy3d1OY5vnoL8NrnM/pTN5vwmpfvA/W1NmyM5wO/jXQCAHoOFejLhsN32KWKe2GlHYqKiJH3ZBpXqu44Ds7InWREslJapYGdmqlAk9/r1fsPaE4" \t "https://www.so.com/_blank" </w:instrText>
      </w:r>
      <w:r>
        <w:rPr>
          <w:rFonts w:hint="default" w:ascii="Helvetica" w:hAnsi="Helvetica" w:eastAsia="Helvetica" w:cs="Helvetica"/>
          <w:i w:val="0"/>
          <w:iCs w:val="0"/>
          <w:caps w:val="0"/>
          <w:color w:val="auto"/>
          <w:spacing w:val="0"/>
          <w:sz w:val="24"/>
          <w:szCs w:val="24"/>
          <w:shd w:val="clear" w:fill="FFFFFF"/>
        </w:rPr>
        <w:fldChar w:fldCharType="separate"/>
      </w:r>
      <w:r>
        <w:rPr>
          <w:rFonts w:hint="default" w:ascii="Helvetica" w:hAnsi="Helvetica" w:eastAsia="Helvetica" w:cs="Helvetica"/>
          <w:i w:val="0"/>
          <w:iCs w:val="0"/>
          <w:caps w:val="0"/>
          <w:color w:val="auto"/>
          <w:spacing w:val="0"/>
          <w:sz w:val="24"/>
          <w:szCs w:val="24"/>
          <w:shd w:val="clear" w:fill="FFFFFF"/>
        </w:rPr>
        <w:t>GB∕T 39198-2020</w:t>
      </w:r>
      <w:r>
        <w:rPr>
          <w:rFonts w:hint="default" w:ascii="Helvetica" w:hAnsi="Helvetica" w:eastAsia="Helvetica" w:cs="Helvetica"/>
          <w:i w:val="0"/>
          <w:iCs w:val="0"/>
          <w:caps w:val="0"/>
          <w:color w:val="auto"/>
          <w:spacing w:val="0"/>
          <w:sz w:val="24"/>
          <w:szCs w:val="24"/>
          <w:shd w:val="clear" w:fill="FFFFFF"/>
        </w:rPr>
        <w:fldChar w:fldCharType="end"/>
      </w:r>
      <w:r>
        <w:rPr>
          <w:rFonts w:hint="default" w:ascii="Helvetica" w:hAnsi="Helvetica" w:eastAsia="Helvetica" w:cs="Helvetica"/>
          <w:i w:val="0"/>
          <w:iCs w:val="0"/>
          <w:caps w:val="0"/>
          <w:color w:val="auto"/>
          <w:spacing w:val="0"/>
          <w:sz w:val="24"/>
          <w:szCs w:val="24"/>
          <w:shd w:val="clear" w:fill="FFFFFF"/>
        </w:rPr>
        <w:t>）</w:t>
      </w:r>
      <w:r>
        <w:rPr>
          <w:rFonts w:hint="eastAsia" w:ascii="Helvetica" w:hAnsi="Helvetica" w:eastAsia="Helvetica" w:cs="Helvetica"/>
          <w:i w:val="0"/>
          <w:iCs w:val="0"/>
          <w:caps w:val="0"/>
          <w:color w:val="auto"/>
          <w:spacing w:val="0"/>
          <w:sz w:val="24"/>
          <w:szCs w:val="24"/>
          <w:shd w:val="clear" w:fill="FFFFFF"/>
          <w:lang w:eastAsia="zh-CN"/>
        </w:rPr>
        <w:t>（</w:t>
      </w:r>
      <w:r>
        <w:rPr>
          <w:rFonts w:ascii="Helvetica" w:hAnsi="Helvetica" w:eastAsia="Helvetica" w:cs="Helvetica"/>
          <w:i w:val="0"/>
          <w:iCs w:val="0"/>
          <w:caps w:val="0"/>
          <w:color w:val="auto"/>
          <w:spacing w:val="0"/>
          <w:sz w:val="24"/>
          <w:szCs w:val="24"/>
          <w:shd w:val="clear" w:fill="FFFFFF"/>
        </w:rPr>
        <w:t>国家市场监督管理总局与国家标准化管理委员会于2020年10月11日联合发布</w:t>
      </w:r>
      <w:r>
        <w:rPr>
          <w:rFonts w:hint="eastAsia" w:ascii="Helvetica" w:hAnsi="Helvetica" w:eastAsia="Helvetica" w:cs="Helvetica"/>
          <w:i w:val="0"/>
          <w:iCs w:val="0"/>
          <w:caps w:val="0"/>
          <w:color w:val="auto"/>
          <w:spacing w:val="0"/>
          <w:sz w:val="24"/>
          <w:szCs w:val="24"/>
          <w:shd w:val="clear" w:fill="FFFFFF"/>
          <w:lang w:eastAsia="zh-CN"/>
        </w:rPr>
        <w:t>）</w:t>
      </w:r>
      <w:r>
        <w:rPr>
          <w:rFonts w:hint="default" w:ascii="Helvetica" w:hAnsi="Helvetica" w:eastAsia="Helvetica" w:cs="Helvetica"/>
          <w:i w:val="0"/>
          <w:iCs w:val="0"/>
          <w:caps w:val="0"/>
          <w:color w:val="auto"/>
          <w:spacing w:val="0"/>
          <w:sz w:val="24"/>
          <w:szCs w:val="24"/>
          <w:shd w:val="clear" w:fill="FFFFFF"/>
        </w:rPr>
        <w:t>；</w:t>
      </w:r>
    </w:p>
    <w:p>
      <w:pPr>
        <w:pageBreakBefore w:val="0"/>
        <w:numPr>
          <w:ilvl w:val="0"/>
          <w:numId w:val="7"/>
        </w:numPr>
        <w:wordWrap/>
        <w:bidi w:val="0"/>
        <w:adjustRightInd w:val="0"/>
        <w:ind w:left="0" w:leftChars="0" w:right="0" w:rightChars="0" w:firstLine="480" w:firstLineChars="200"/>
        <w:jc w:val="both"/>
        <w:rPr>
          <w:rFonts w:hint="eastAsia" w:ascii="Helvetica" w:hAnsi="Helvetica" w:eastAsia="Helvetica" w:cs="Helvetica"/>
          <w:i w:val="0"/>
          <w:iCs w:val="0"/>
          <w:caps w:val="0"/>
          <w:color w:val="auto"/>
          <w:spacing w:val="0"/>
          <w:sz w:val="24"/>
          <w:szCs w:val="24"/>
          <w:shd w:val="clear" w:fill="FFFFFF"/>
          <w:lang w:eastAsia="zh-CN"/>
        </w:rPr>
      </w:pPr>
      <w:r>
        <w:rPr>
          <w:rFonts w:hint="eastAsia" w:ascii="Helvetica" w:hAnsi="Helvetica" w:eastAsia="Helvetica" w:cs="Helvetica"/>
          <w:i w:val="0"/>
          <w:iCs w:val="0"/>
          <w:caps w:val="0"/>
          <w:color w:val="auto"/>
          <w:spacing w:val="0"/>
          <w:sz w:val="24"/>
          <w:szCs w:val="24"/>
          <w:shd w:val="clear" w:fill="FFFFFF"/>
          <w:lang w:val="en-US" w:eastAsia="zh-CN"/>
        </w:rPr>
        <w:t>《农业农村部关于调整动物防疫条件审查有关规定的通知》（</w:t>
      </w:r>
      <w:r>
        <w:rPr>
          <w:rFonts w:ascii="Helvetica" w:hAnsi="Helvetica" w:eastAsia="Helvetica" w:cs="Helvetica"/>
          <w:i w:val="0"/>
          <w:iCs w:val="0"/>
          <w:caps w:val="0"/>
          <w:color w:val="auto"/>
          <w:spacing w:val="0"/>
          <w:sz w:val="24"/>
          <w:szCs w:val="24"/>
          <w:shd w:val="clear" w:fill="FFFFFF"/>
        </w:rPr>
        <w:t>农牧发〔2019〕42号</w:t>
      </w:r>
      <w:r>
        <w:rPr>
          <w:rFonts w:hint="eastAsia" w:ascii="Helvetica" w:hAnsi="Helvetica" w:eastAsia="Helvetica" w:cs="Helvetica"/>
          <w:i w:val="0"/>
          <w:iCs w:val="0"/>
          <w:caps w:val="0"/>
          <w:color w:val="auto"/>
          <w:spacing w:val="0"/>
          <w:sz w:val="24"/>
          <w:szCs w:val="24"/>
          <w:shd w:val="clear" w:fill="FFFFFF"/>
          <w:lang w:eastAsia="zh-CN"/>
        </w:rPr>
        <w:t>）；</w:t>
      </w:r>
    </w:p>
    <w:p>
      <w:pPr>
        <w:pageBreakBefore w:val="0"/>
        <w:numPr>
          <w:ilvl w:val="0"/>
          <w:numId w:val="7"/>
        </w:numPr>
        <w:wordWrap/>
        <w:bidi w:val="0"/>
        <w:adjustRightInd w:val="0"/>
        <w:ind w:left="0" w:leftChars="0" w:right="0" w:rightChars="0" w:firstLine="480" w:firstLineChars="200"/>
        <w:jc w:val="both"/>
        <w:rPr>
          <w:rFonts w:hint="eastAsia" w:ascii="Helvetica" w:hAnsi="Helvetica" w:eastAsia="Helvetica" w:cs="Helvetica"/>
          <w:i w:val="0"/>
          <w:iCs w:val="0"/>
          <w:caps w:val="0"/>
          <w:color w:val="auto"/>
          <w:spacing w:val="0"/>
          <w:sz w:val="24"/>
          <w:szCs w:val="24"/>
          <w:shd w:val="clear" w:fill="FFFFFF"/>
          <w:lang w:eastAsia="zh-CN"/>
        </w:rPr>
      </w:pPr>
      <w:r>
        <w:rPr>
          <w:rFonts w:hint="eastAsia" w:ascii="Helvetica" w:hAnsi="Helvetica" w:eastAsia="Helvetica" w:cs="Helvetica"/>
          <w:i w:val="0"/>
          <w:iCs w:val="0"/>
          <w:caps w:val="0"/>
          <w:color w:val="auto"/>
          <w:spacing w:val="0"/>
          <w:sz w:val="24"/>
          <w:szCs w:val="24"/>
          <w:shd w:val="clear" w:fill="FFFFFF"/>
          <w:lang w:val="en-US" w:eastAsia="zh-CN"/>
        </w:rPr>
        <w:t>《国务院办公厅关于建立病死畜禽无害化处理机制的意见》（</w:t>
      </w:r>
      <w:r>
        <w:rPr>
          <w:rFonts w:ascii="Helvetica" w:hAnsi="Helvetica" w:eastAsia="Helvetica" w:cs="Helvetica"/>
          <w:i w:val="0"/>
          <w:iCs w:val="0"/>
          <w:caps w:val="0"/>
          <w:color w:val="auto"/>
          <w:spacing w:val="0"/>
          <w:sz w:val="24"/>
          <w:szCs w:val="24"/>
          <w:shd w:val="clear" w:fill="FFFFFF"/>
        </w:rPr>
        <w:t>国办发〔2014〕47号</w:t>
      </w:r>
      <w:r>
        <w:rPr>
          <w:rFonts w:hint="eastAsia" w:ascii="Helvetica" w:hAnsi="Helvetica" w:eastAsia="Helvetica" w:cs="Helvetica"/>
          <w:i w:val="0"/>
          <w:iCs w:val="0"/>
          <w:caps w:val="0"/>
          <w:color w:val="auto"/>
          <w:spacing w:val="0"/>
          <w:sz w:val="24"/>
          <w:szCs w:val="24"/>
          <w:shd w:val="clear" w:fill="FFFFFF"/>
          <w:lang w:eastAsia="zh-CN"/>
        </w:rPr>
        <w:t>）；</w:t>
      </w:r>
    </w:p>
    <w:p>
      <w:pPr>
        <w:pageBreakBefore w:val="0"/>
        <w:numPr>
          <w:ilvl w:val="0"/>
          <w:numId w:val="7"/>
        </w:numPr>
        <w:wordWrap/>
        <w:bidi w:val="0"/>
        <w:adjustRightInd w:val="0"/>
        <w:ind w:left="0" w:leftChars="0" w:right="0" w:rightChars="0" w:firstLine="480" w:firstLineChars="200"/>
        <w:jc w:val="both"/>
        <w:rPr>
          <w:rFonts w:hint="eastAsia" w:ascii="Helvetica" w:hAnsi="Helvetica" w:eastAsia="Helvetica" w:cs="Helvetica"/>
          <w:i w:val="0"/>
          <w:iCs w:val="0"/>
          <w:caps w:val="0"/>
          <w:color w:val="auto"/>
          <w:spacing w:val="0"/>
          <w:sz w:val="24"/>
          <w:szCs w:val="24"/>
          <w:shd w:val="clear" w:fill="FFFFFF"/>
          <w:lang w:val="en-US" w:eastAsia="zh-CN"/>
        </w:rPr>
      </w:pPr>
      <w:r>
        <w:rPr>
          <w:rFonts w:hint="eastAsia" w:ascii="Helvetica" w:hAnsi="Helvetica" w:eastAsia="Helvetica" w:cs="Helvetica"/>
          <w:i w:val="0"/>
          <w:iCs w:val="0"/>
          <w:caps w:val="0"/>
          <w:color w:val="auto"/>
          <w:spacing w:val="0"/>
          <w:sz w:val="24"/>
          <w:szCs w:val="24"/>
          <w:shd w:val="clear" w:fill="FFFFFF"/>
          <w:lang w:val="en-US" w:eastAsia="zh-CN"/>
        </w:rPr>
        <w:t>《农业农村部办公厅 生态环境部办公厅关于印发&lt;畜禽养殖场(户)粪污处理设施建设技术指南&gt;的通知》 （农办牧〔2022〕19号）；</w:t>
      </w:r>
    </w:p>
    <w:p>
      <w:pPr>
        <w:pageBreakBefore w:val="0"/>
        <w:numPr>
          <w:ilvl w:val="0"/>
          <w:numId w:val="7"/>
        </w:numPr>
        <w:wordWrap/>
        <w:bidi w:val="0"/>
        <w:adjustRightInd w:val="0"/>
        <w:ind w:left="0" w:leftChars="0" w:right="0" w:rightChars="0" w:firstLine="480" w:firstLineChars="200"/>
        <w:jc w:val="both"/>
        <w:rPr>
          <w:rFonts w:hint="eastAsia" w:ascii="Helvetica" w:hAnsi="Helvetica" w:eastAsia="Helvetica" w:cs="Helvetica"/>
          <w:i w:val="0"/>
          <w:iCs w:val="0"/>
          <w:caps w:val="0"/>
          <w:color w:val="auto"/>
          <w:spacing w:val="0"/>
          <w:sz w:val="24"/>
          <w:szCs w:val="24"/>
          <w:shd w:val="clear" w:fill="FFFFFF"/>
          <w:lang w:val="en-US" w:eastAsia="zh-CN"/>
        </w:rPr>
      </w:pPr>
      <w:r>
        <w:rPr>
          <w:rFonts w:hint="default" w:ascii="Helvetica" w:hAnsi="Helvetica" w:eastAsia="Helvetica" w:cs="Helvetica"/>
          <w:i w:val="0"/>
          <w:iCs w:val="0"/>
          <w:caps w:val="0"/>
          <w:color w:val="auto"/>
          <w:spacing w:val="0"/>
          <w:sz w:val="24"/>
          <w:szCs w:val="24"/>
          <w:shd w:val="clear" w:fill="FFFFFF"/>
          <w:lang w:val="en-US" w:eastAsia="zh-CN"/>
        </w:rPr>
        <w:t>《关于加强固定污染源氮磷污染防治的通知》</w:t>
      </w:r>
      <w:r>
        <w:rPr>
          <w:rFonts w:hint="eastAsia" w:ascii="Helvetica" w:hAnsi="Helvetica" w:eastAsia="Helvetica" w:cs="Helvetica"/>
          <w:i w:val="0"/>
          <w:iCs w:val="0"/>
          <w:caps w:val="0"/>
          <w:color w:val="auto"/>
          <w:spacing w:val="0"/>
          <w:sz w:val="24"/>
          <w:szCs w:val="24"/>
          <w:shd w:val="clear" w:fill="FFFFFF"/>
          <w:lang w:val="en-US" w:eastAsia="zh-CN"/>
        </w:rPr>
        <w:t>（环水体〔2018〕16号）；</w:t>
      </w:r>
    </w:p>
    <w:p>
      <w:pPr>
        <w:pageBreakBefore w:val="0"/>
        <w:numPr>
          <w:ilvl w:val="0"/>
          <w:numId w:val="7"/>
        </w:numPr>
        <w:wordWrap/>
        <w:bidi w:val="0"/>
        <w:adjustRightInd w:val="0"/>
        <w:ind w:left="0" w:leftChars="0" w:right="0" w:rightChars="0" w:firstLine="480" w:firstLineChars="200"/>
        <w:jc w:val="both"/>
        <w:rPr>
          <w:rFonts w:hint="eastAsia" w:ascii="Helvetica" w:hAnsi="Helvetica" w:eastAsia="Helvetica" w:cs="Helvetica"/>
          <w:i w:val="0"/>
          <w:iCs w:val="0"/>
          <w:caps w:val="0"/>
          <w:color w:val="auto"/>
          <w:spacing w:val="0"/>
          <w:sz w:val="24"/>
          <w:szCs w:val="24"/>
          <w:shd w:val="clear" w:fill="FFFFFF"/>
          <w:lang w:val="en-US" w:eastAsia="zh-CN"/>
        </w:rPr>
      </w:pPr>
      <w:r>
        <w:rPr>
          <w:rFonts w:hint="eastAsia" w:ascii="Helvetica" w:hAnsi="Helvetica" w:eastAsia="Helvetica" w:cs="Helvetica"/>
          <w:i w:val="0"/>
          <w:iCs w:val="0"/>
          <w:caps w:val="0"/>
          <w:color w:val="auto"/>
          <w:spacing w:val="0"/>
          <w:sz w:val="24"/>
          <w:szCs w:val="24"/>
          <w:shd w:val="clear" w:fill="FFFFFF"/>
          <w:lang w:val="en-US" w:eastAsia="zh-CN"/>
        </w:rPr>
        <w:t>《关于加强畜禽养殖业环境监管、严防高致病性禽流感疫情扩散的紧急通知》（环发〔2004〕18号）；</w:t>
      </w:r>
    </w:p>
    <w:p>
      <w:pPr>
        <w:pageBreakBefore w:val="0"/>
        <w:numPr>
          <w:ilvl w:val="0"/>
          <w:numId w:val="7"/>
        </w:numPr>
        <w:wordWrap/>
        <w:bidi w:val="0"/>
        <w:adjustRightInd w:val="0"/>
        <w:ind w:left="0" w:leftChars="0" w:right="0" w:rightChars="0" w:firstLine="480" w:firstLineChars="200"/>
        <w:jc w:val="both"/>
        <w:rPr>
          <w:rFonts w:hint="default" w:ascii="Helvetica" w:hAnsi="Helvetica" w:eastAsia="Helvetica" w:cs="Helvetica"/>
          <w:i w:val="0"/>
          <w:iCs w:val="0"/>
          <w:caps w:val="0"/>
          <w:color w:val="auto"/>
          <w:spacing w:val="0"/>
          <w:sz w:val="24"/>
          <w:szCs w:val="24"/>
          <w:shd w:val="clear" w:fill="FFFFFF"/>
          <w:lang w:val="en-US" w:eastAsia="zh-CN"/>
        </w:rPr>
      </w:pPr>
      <w:r>
        <w:rPr>
          <w:rFonts w:hint="eastAsia" w:ascii="Helvetica" w:hAnsi="Helvetica" w:eastAsia="Helvetica" w:cs="Helvetica"/>
          <w:i w:val="0"/>
          <w:iCs w:val="0"/>
          <w:caps w:val="0"/>
          <w:color w:val="auto"/>
          <w:spacing w:val="0"/>
          <w:sz w:val="24"/>
          <w:szCs w:val="24"/>
          <w:shd w:val="clear" w:fill="FFFFFF"/>
          <w:lang w:val="en-US" w:eastAsia="zh-CN"/>
        </w:rPr>
        <w:t>《畜禽养殖污染防治管理办法》（国家环境保护总局令 第9号）</w:t>
      </w:r>
    </w:p>
    <w:p>
      <w:pPr>
        <w:pageBreakBefore w:val="0"/>
        <w:numPr>
          <w:ilvl w:val="0"/>
          <w:numId w:val="7"/>
        </w:numPr>
        <w:wordWrap/>
        <w:bidi w:val="0"/>
        <w:adjustRightInd w:val="0"/>
        <w:ind w:left="0" w:leftChars="0" w:right="0" w:rightChars="0" w:firstLine="480" w:firstLineChars="200"/>
        <w:jc w:val="both"/>
        <w:rPr>
          <w:rFonts w:hint="eastAsia" w:ascii="Helvetica" w:hAnsi="Helvetica" w:eastAsia="Helvetica" w:cs="Helvetica"/>
          <w:i w:val="0"/>
          <w:iCs w:val="0"/>
          <w:caps w:val="0"/>
          <w:color w:val="auto"/>
          <w:spacing w:val="0"/>
          <w:sz w:val="24"/>
          <w:szCs w:val="24"/>
          <w:shd w:val="clear" w:fill="FFFFFF"/>
          <w:lang w:val="en-US" w:eastAsia="zh-CN"/>
        </w:rPr>
      </w:pPr>
      <w:r>
        <w:rPr>
          <w:rFonts w:hint="eastAsia" w:ascii="Helvetica" w:hAnsi="Helvetica" w:eastAsia="Helvetica" w:cs="Helvetica"/>
          <w:i w:val="0"/>
          <w:iCs w:val="0"/>
          <w:caps w:val="0"/>
          <w:color w:val="auto"/>
          <w:spacing w:val="0"/>
          <w:sz w:val="24"/>
          <w:szCs w:val="24"/>
          <w:shd w:val="clear" w:fill="FFFFFF"/>
          <w:lang w:val="en-US" w:eastAsia="zh-CN"/>
        </w:rPr>
        <w:t>《关于发布&lt;危险废物污染防治技术政策&gt;的通知》（环发〔2001〕199号）（环保总局 国家经贸委 科技部）；</w:t>
      </w:r>
    </w:p>
    <w:p>
      <w:pPr>
        <w:pageBreakBefore w:val="0"/>
        <w:numPr>
          <w:ilvl w:val="0"/>
          <w:numId w:val="7"/>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eastAsia" w:ascii="Helvetica" w:hAnsi="Helvetica" w:eastAsia="Helvetica" w:cs="Helvetica"/>
          <w:i w:val="0"/>
          <w:iCs w:val="0"/>
          <w:caps w:val="0"/>
          <w:color w:val="auto"/>
          <w:spacing w:val="0"/>
          <w:sz w:val="24"/>
          <w:szCs w:val="24"/>
          <w:shd w:val="clear" w:fill="FFFFFF"/>
          <w:lang w:val="en-US" w:eastAsia="zh-CN"/>
        </w:rPr>
        <w:t>《</w:t>
      </w:r>
      <w:r>
        <w:rPr>
          <w:rFonts w:hint="default" w:ascii="Helvetica" w:hAnsi="Helvetica" w:eastAsia="Helvetica" w:cs="Helvetica"/>
          <w:i w:val="0"/>
          <w:iCs w:val="0"/>
          <w:caps w:val="0"/>
          <w:color w:val="auto"/>
          <w:spacing w:val="0"/>
          <w:sz w:val="24"/>
          <w:szCs w:val="24"/>
          <w:shd w:val="clear" w:fill="FFFFFF"/>
          <w:lang w:val="en-US" w:eastAsia="zh-CN"/>
        </w:rPr>
        <w:t>关于印发</w:t>
      </w:r>
      <w:r>
        <w:rPr>
          <w:rFonts w:hint="eastAsia" w:ascii="Helvetica" w:hAnsi="Helvetica" w:eastAsia="Helvetica" w:cs="Helvetica"/>
          <w:i w:val="0"/>
          <w:iCs w:val="0"/>
          <w:caps w:val="0"/>
          <w:color w:val="auto"/>
          <w:spacing w:val="0"/>
          <w:sz w:val="24"/>
          <w:szCs w:val="24"/>
          <w:shd w:val="clear" w:fill="FFFFFF"/>
          <w:lang w:val="en-US" w:eastAsia="zh-CN"/>
        </w:rPr>
        <w:t>&lt;</w:t>
      </w:r>
      <w:r>
        <w:rPr>
          <w:rFonts w:hint="default" w:ascii="Helvetica" w:hAnsi="Helvetica" w:eastAsia="Helvetica" w:cs="Helvetica"/>
          <w:i w:val="0"/>
          <w:iCs w:val="0"/>
          <w:caps w:val="0"/>
          <w:color w:val="auto"/>
          <w:spacing w:val="0"/>
          <w:sz w:val="24"/>
          <w:szCs w:val="24"/>
          <w:shd w:val="clear" w:fill="FFFFFF"/>
          <w:lang w:val="en-US" w:eastAsia="zh-CN"/>
        </w:rPr>
        <w:t>畜禽养殖禁养区划定技术指南</w:t>
      </w:r>
      <w:r>
        <w:rPr>
          <w:rFonts w:hint="eastAsia" w:ascii="Helvetica" w:hAnsi="Helvetica" w:eastAsia="Helvetica" w:cs="Helvetica"/>
          <w:i w:val="0"/>
          <w:iCs w:val="0"/>
          <w:caps w:val="0"/>
          <w:color w:val="auto"/>
          <w:spacing w:val="0"/>
          <w:sz w:val="24"/>
          <w:szCs w:val="24"/>
          <w:shd w:val="clear" w:fill="FFFFFF"/>
          <w:lang w:val="en-US" w:eastAsia="zh-CN"/>
        </w:rPr>
        <w:t>&gt;</w:t>
      </w:r>
      <w:r>
        <w:rPr>
          <w:rFonts w:hint="default" w:ascii="Helvetica" w:hAnsi="Helvetica" w:eastAsia="Helvetica" w:cs="Helvetica"/>
          <w:i w:val="0"/>
          <w:iCs w:val="0"/>
          <w:caps w:val="0"/>
          <w:color w:val="auto"/>
          <w:spacing w:val="0"/>
          <w:sz w:val="24"/>
          <w:szCs w:val="24"/>
          <w:shd w:val="clear" w:fill="FFFFFF"/>
          <w:lang w:val="en-US" w:eastAsia="zh-CN"/>
        </w:rPr>
        <w:t>的通知</w:t>
      </w:r>
      <w:r>
        <w:rPr>
          <w:rFonts w:hint="eastAsia" w:ascii="Helvetica" w:hAnsi="Helvetica" w:eastAsia="Helvetica" w:cs="Helvetica"/>
          <w:i w:val="0"/>
          <w:iCs w:val="0"/>
          <w:caps w:val="0"/>
          <w:color w:val="auto"/>
          <w:spacing w:val="0"/>
          <w:sz w:val="24"/>
          <w:szCs w:val="24"/>
          <w:shd w:val="clear" w:fill="FFFFFF"/>
          <w:lang w:val="en-US" w:eastAsia="zh-CN"/>
        </w:rPr>
        <w:t>》（</w:t>
      </w:r>
      <w:r>
        <w:rPr>
          <w:rFonts w:hint="default" w:ascii="Helvetica" w:hAnsi="Helvetica" w:eastAsia="Helvetica" w:cs="Helvetica"/>
          <w:i w:val="0"/>
          <w:iCs w:val="0"/>
          <w:caps w:val="0"/>
          <w:color w:val="auto"/>
          <w:spacing w:val="0"/>
          <w:sz w:val="24"/>
          <w:szCs w:val="24"/>
          <w:shd w:val="clear" w:fill="FFFFFF"/>
          <w:lang w:val="en-US" w:eastAsia="zh-CN"/>
        </w:rPr>
        <w:t>环办水体[2016]99号</w:t>
      </w:r>
      <w:r>
        <w:rPr>
          <w:rFonts w:hint="eastAsia" w:ascii="Helvetica" w:hAnsi="Helvetica" w:eastAsia="Helvetica" w:cs="Helvetica"/>
          <w:i w:val="0"/>
          <w:iCs w:val="0"/>
          <w:caps w:val="0"/>
          <w:color w:val="auto"/>
          <w:spacing w:val="0"/>
          <w:sz w:val="24"/>
          <w:szCs w:val="24"/>
          <w:shd w:val="clear" w:fill="FFFFFF"/>
          <w:lang w:val="en-US" w:eastAsia="zh-CN"/>
        </w:rPr>
        <w:t>）</w:t>
      </w:r>
      <w:r>
        <w:rPr>
          <w:rFonts w:hint="default" w:ascii="Helvetica" w:hAnsi="Helvetica" w:eastAsia="Helvetica" w:cs="Helvetica"/>
          <w:i w:val="0"/>
          <w:iCs w:val="0"/>
          <w:caps w:val="0"/>
          <w:color w:val="auto"/>
          <w:spacing w:val="0"/>
          <w:sz w:val="24"/>
          <w:szCs w:val="24"/>
          <w:shd w:val="clear" w:fill="FFFFFF"/>
          <w:lang w:val="en-US" w:eastAsia="zh-CN"/>
        </w:rPr>
        <w:t>（</w:t>
      </w:r>
      <w:r>
        <w:rPr>
          <w:rFonts w:hint="default" w:ascii="Times New Roman" w:hAnsi="Times New Roman" w:cs="Times New Roman"/>
          <w:color w:val="auto"/>
          <w:highlight w:val="none"/>
        </w:rPr>
        <w:t>2016年10月28日印发）；</w:t>
      </w:r>
    </w:p>
    <w:p>
      <w:pPr>
        <w:pageBreakBefore w:val="0"/>
        <w:numPr>
          <w:ilvl w:val="0"/>
          <w:numId w:val="7"/>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《关于印发&lt;畜禽规模养殖场粪污资源化利用设施建设规范（试行）&gt;的通知》</w:t>
      </w:r>
      <w:r>
        <w:rPr>
          <w:rFonts w:hint="eastAsia" w:cs="Times New Roman"/>
          <w:color w:val="auto"/>
          <w:highlight w:val="none"/>
          <w:lang w:eastAsia="zh-CN"/>
        </w:rPr>
        <w:t>（</w:t>
      </w:r>
      <w:r>
        <w:rPr>
          <w:rFonts w:hint="default" w:ascii="Times New Roman" w:hAnsi="Times New Roman" w:cs="Times New Roman"/>
          <w:color w:val="auto"/>
          <w:highlight w:val="none"/>
        </w:rPr>
        <w:t>农办牧[2018]2号</w:t>
      </w:r>
      <w:r>
        <w:rPr>
          <w:rFonts w:hint="eastAsia" w:cs="Times New Roman"/>
          <w:color w:val="auto"/>
          <w:highlight w:val="none"/>
          <w:lang w:eastAsia="zh-CN"/>
        </w:rPr>
        <w:t>）</w:t>
      </w:r>
      <w:r>
        <w:rPr>
          <w:rFonts w:hint="default" w:ascii="Times New Roman" w:hAnsi="Times New Roman" w:cs="Times New Roman"/>
          <w:color w:val="auto"/>
          <w:highlight w:val="none"/>
        </w:rPr>
        <w:t>（2018年1月5日发布）；</w:t>
      </w:r>
    </w:p>
    <w:p>
      <w:pPr>
        <w:pageBreakBefore w:val="0"/>
        <w:numPr>
          <w:ilvl w:val="0"/>
          <w:numId w:val="7"/>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"https://www.baidu.com/link?url=_z_eVKOxXSQu0W_ywdMOdz9lc9JAtWB1kBoBPbxkH_jCSpm9zLPez5hj4oovGBTyjZ6YB-aLhOH8x3WYN88EL6qrYXMG6t0MbuMMcrCtVgu&amp;wd=&amp;eqid=873b4a7f003a105a00000003616aacc1" \t "_blank"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农业部关于印发</w:t>
      </w:r>
      <w:r>
        <w:rPr>
          <w:rFonts w:hint="eastAsia" w:cs="Times New Roman"/>
          <w:color w:val="auto"/>
          <w:highlight w:val="none"/>
          <w:lang w:val="en-US" w:eastAsia="zh-CN"/>
        </w:rPr>
        <w:t>&lt;</w:t>
      </w:r>
      <w:r>
        <w:rPr>
          <w:rFonts w:hint="default" w:ascii="Times New Roman" w:hAnsi="Times New Roman" w:cs="Times New Roman"/>
          <w:color w:val="auto"/>
          <w:highlight w:val="none"/>
        </w:rPr>
        <w:t>病死及病害动物无害化处理技术规范</w:t>
      </w:r>
      <w:r>
        <w:rPr>
          <w:rFonts w:hint="eastAsia" w:cs="Times New Roman"/>
          <w:color w:val="auto"/>
          <w:highlight w:val="none"/>
          <w:lang w:val="en-US" w:eastAsia="zh-CN"/>
        </w:rPr>
        <w:t>&gt;</w:t>
      </w:r>
      <w:r>
        <w:rPr>
          <w:rFonts w:hint="default" w:ascii="Times New Roman" w:hAnsi="Times New Roman" w:cs="Times New Roman"/>
          <w:color w:val="auto"/>
          <w:highlight w:val="none"/>
        </w:rPr>
        <w:t>的通知</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w:t>
      </w:r>
      <w:r>
        <w:rPr>
          <w:rFonts w:hint="eastAsia" w:cs="Times New Roman"/>
          <w:color w:val="auto"/>
          <w:highlight w:val="none"/>
          <w:lang w:eastAsia="zh-CN"/>
        </w:rPr>
        <w:t>（农业部[2017]25号）</w:t>
      </w:r>
      <w:r>
        <w:rPr>
          <w:rFonts w:hint="default" w:ascii="Times New Roman" w:hAnsi="Times New Roman" w:cs="Times New Roman"/>
          <w:color w:val="auto"/>
          <w:highlight w:val="none"/>
        </w:rPr>
        <w:t>（2017年7月3日发布）；</w:t>
      </w:r>
    </w:p>
    <w:p>
      <w:pPr>
        <w:pageBreakBefore w:val="0"/>
        <w:numPr>
          <w:ilvl w:val="0"/>
          <w:numId w:val="7"/>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《国务院关于印发“十</w:t>
      </w:r>
      <w:r>
        <w:rPr>
          <w:rFonts w:hint="default" w:ascii="Times New Roman" w:hAnsi="Times New Roman" w:cs="Times New Roman"/>
          <w:color w:val="auto"/>
          <w:highlight w:val="none"/>
          <w:lang w:val="en-US" w:eastAsia="zh-CN"/>
        </w:rPr>
        <w:t>四</w:t>
      </w:r>
      <w:r>
        <w:rPr>
          <w:rFonts w:hint="default" w:ascii="Times New Roman" w:hAnsi="Times New Roman" w:cs="Times New Roman"/>
          <w:color w:val="auto"/>
          <w:highlight w:val="none"/>
        </w:rPr>
        <w:t>五”节能减排综合性工作方案的通知》（</w:t>
      </w:r>
      <w:r>
        <w:rPr>
          <w:rFonts w:hint="default" w:ascii="Times New Roman" w:hAnsi="Times New Roman" w:cs="Times New Roman"/>
          <w:color w:val="auto"/>
          <w:highlight w:val="none"/>
          <w:lang w:val="en-US" w:eastAsia="zh-CN"/>
        </w:rPr>
        <w:t>2021年12月28日</w:t>
      </w:r>
      <w:r>
        <w:rPr>
          <w:rFonts w:hint="default" w:ascii="Times New Roman" w:hAnsi="Times New Roman" w:cs="Times New Roman"/>
          <w:color w:val="auto"/>
          <w:highlight w:val="none"/>
        </w:rPr>
        <w:t>）；</w:t>
      </w:r>
    </w:p>
    <w:p>
      <w:pPr>
        <w:pageBreakBefore w:val="0"/>
        <w:numPr>
          <w:ilvl w:val="0"/>
          <w:numId w:val="7"/>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《国家发展改革委 商务部关于印发</w:t>
      </w:r>
      <w:r>
        <w:rPr>
          <w:rFonts w:hint="default" w:ascii="Times New Roman" w:hAnsi="Times New Roman" w:cs="Times New Roman"/>
          <w:color w:val="auto"/>
          <w:highlight w:val="none"/>
          <w:lang w:val="en-US" w:eastAsia="zh-CN"/>
        </w:rPr>
        <w:t>&lt;</w:t>
      </w:r>
      <w:r>
        <w:rPr>
          <w:rFonts w:hint="default" w:ascii="Times New Roman" w:hAnsi="Times New Roman" w:cs="Times New Roman"/>
          <w:color w:val="auto"/>
          <w:highlight w:val="none"/>
        </w:rPr>
        <w:t>市场准入负面清单（2022年版）</w:t>
      </w:r>
      <w:r>
        <w:rPr>
          <w:rFonts w:hint="default" w:ascii="Times New Roman" w:hAnsi="Times New Roman" w:cs="Times New Roman"/>
          <w:color w:val="auto"/>
          <w:highlight w:val="none"/>
          <w:lang w:val="en-US" w:eastAsia="zh-CN"/>
        </w:rPr>
        <w:t>&gt;</w:t>
      </w:r>
      <w:r>
        <w:rPr>
          <w:rFonts w:hint="default" w:ascii="Times New Roman" w:hAnsi="Times New Roman" w:cs="Times New Roman"/>
          <w:color w:val="auto"/>
          <w:highlight w:val="none"/>
        </w:rPr>
        <w:t>的通知》（20</w:t>
      </w:r>
      <w:r>
        <w:rPr>
          <w:rFonts w:hint="default" w:ascii="Times New Roman" w:hAnsi="Times New Roman" w:cs="Times New Roman"/>
          <w:color w:val="auto"/>
          <w:highlight w:val="none"/>
          <w:lang w:val="en-US" w:eastAsia="zh-CN"/>
        </w:rPr>
        <w:t>22</w:t>
      </w:r>
      <w:r>
        <w:rPr>
          <w:rFonts w:hint="default" w:ascii="Times New Roman" w:hAnsi="Times New Roman" w:cs="Times New Roman"/>
          <w:color w:val="auto"/>
          <w:highlight w:val="none"/>
        </w:rPr>
        <w:t>年3月</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2日发布）</w:t>
      </w:r>
      <w:r>
        <w:rPr>
          <w:rFonts w:hint="eastAsia" w:cs="Times New Roman"/>
          <w:color w:val="auto"/>
          <w:highlight w:val="none"/>
          <w:lang w:eastAsia="zh-CN"/>
        </w:rPr>
        <w:t>；</w:t>
      </w:r>
    </w:p>
    <w:p>
      <w:pPr>
        <w:pageBreakBefore w:val="0"/>
        <w:numPr>
          <w:ilvl w:val="0"/>
          <w:numId w:val="7"/>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《大气可吸入颗粒物一次源排放清单编制技术指南（试行）》</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环境保护部</w:t>
      </w:r>
      <w:r>
        <w:rPr>
          <w:rFonts w:hint="eastAsia"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公告 2014年 第92号</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w:t>
      </w:r>
    </w:p>
    <w:p>
      <w:pPr>
        <w:pageBreakBefore w:val="0"/>
        <w:numPr>
          <w:ilvl w:val="0"/>
          <w:numId w:val="7"/>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《关于印发&lt;病死及死因不明动物处置办法（试行）&gt;的通知》（农医发［2005］25号）；</w:t>
      </w:r>
    </w:p>
    <w:p>
      <w:pPr>
        <w:pageBreakBefore w:val="0"/>
        <w:numPr>
          <w:ilvl w:val="0"/>
          <w:numId w:val="7"/>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《关于病害动物无害化处理有关意见的复函》（环办函[2014]789号）；</w:t>
      </w:r>
    </w:p>
    <w:p>
      <w:pPr>
        <w:pageBreakBefore w:val="0"/>
        <w:numPr>
          <w:ilvl w:val="0"/>
          <w:numId w:val="7"/>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《畜禽粪污资源化利用行动方案（2017-2020年）》（农业部</w:t>
      </w:r>
      <w:r>
        <w:rPr>
          <w:rFonts w:hint="eastAsia" w:cs="Times New Roman"/>
          <w:color w:val="auto"/>
          <w:highlight w:val="none"/>
          <w:lang w:val="en-US" w:eastAsia="zh-CN"/>
        </w:rPr>
        <w:t xml:space="preserve"> </w:t>
      </w:r>
      <w:r>
        <w:rPr>
          <w:rFonts w:hint="default" w:ascii="Times New Roman" w:hAnsi="Times New Roman" w:cs="Times New Roman"/>
          <w:color w:val="auto"/>
          <w:highlight w:val="none"/>
        </w:rPr>
        <w:t>2017年7月7日）</w:t>
      </w:r>
      <w:r>
        <w:rPr>
          <w:rFonts w:hint="eastAsia" w:cs="Times New Roman"/>
          <w:color w:val="auto"/>
          <w:highlight w:val="none"/>
          <w:lang w:eastAsia="zh-CN"/>
        </w:rPr>
        <w:t>；</w:t>
      </w:r>
    </w:p>
    <w:p>
      <w:pPr>
        <w:pageBreakBefore w:val="0"/>
        <w:numPr>
          <w:ilvl w:val="0"/>
          <w:numId w:val="7"/>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《环境保护部 农业部</w:t>
      </w:r>
      <w:r>
        <w:rPr>
          <w:rFonts w:hint="eastAsia" w:cs="Times New Roman"/>
          <w:color w:val="auto"/>
          <w:highlight w:val="none"/>
          <w:lang w:val="en-US" w:eastAsia="zh-CN"/>
        </w:rPr>
        <w:t>&lt;</w:t>
      </w:r>
      <w:r>
        <w:rPr>
          <w:rFonts w:hint="default" w:ascii="Times New Roman" w:hAnsi="Times New Roman" w:cs="Times New Roman"/>
          <w:color w:val="auto"/>
          <w:highlight w:val="none"/>
        </w:rPr>
        <w:t>关于进一步加强畜禽养殖污染防治工作的通知</w:t>
      </w:r>
      <w:r>
        <w:rPr>
          <w:rFonts w:hint="eastAsia" w:cs="Times New Roman"/>
          <w:color w:val="auto"/>
          <w:highlight w:val="none"/>
          <w:lang w:val="en-US" w:eastAsia="zh-CN"/>
        </w:rPr>
        <w:t>&gt;</w:t>
      </w:r>
      <w:r>
        <w:rPr>
          <w:rFonts w:hint="default" w:ascii="Times New Roman" w:hAnsi="Times New Roman" w:cs="Times New Roman"/>
          <w:color w:val="auto"/>
          <w:highlight w:val="none"/>
        </w:rPr>
        <w:t>》（环水体</w:t>
      </w:r>
      <w:r>
        <w:rPr>
          <w:rFonts w:hint="eastAsia" w:ascii="Times New Roman" w:hAnsi="Times New Roman" w:cs="Times New Roman"/>
          <w:color w:val="auto"/>
          <w:highlight w:val="none"/>
        </w:rPr>
        <w:t>[2016]144号）</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2016年10月19日）；</w:t>
      </w:r>
    </w:p>
    <w:p>
      <w:pPr>
        <w:pageBreakBefore w:val="0"/>
        <w:numPr>
          <w:ilvl w:val="0"/>
          <w:numId w:val="7"/>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《农业部关于加快推进畜禽标准化规模化养殖的意见》</w:t>
      </w:r>
      <w:r>
        <w:rPr>
          <w:rFonts w:hint="eastAsia" w:cs="Times New Roman"/>
          <w:color w:val="auto"/>
          <w:highlight w:val="none"/>
          <w:lang w:val="en-US" w:eastAsia="zh-CN"/>
        </w:rPr>
        <w:t>（农牧发[2010]6号）</w:t>
      </w:r>
      <w:r>
        <w:rPr>
          <w:rFonts w:hint="default" w:ascii="Times New Roman" w:hAnsi="Times New Roman" w:cs="Times New Roman"/>
          <w:color w:val="auto"/>
          <w:highlight w:val="none"/>
        </w:rPr>
        <w:t>（2010年3月20日）；</w:t>
      </w:r>
    </w:p>
    <w:p>
      <w:pPr>
        <w:pageBreakBefore w:val="0"/>
        <w:numPr>
          <w:ilvl w:val="0"/>
          <w:numId w:val="7"/>
        </w:numPr>
        <w:wordWrap/>
        <w:bidi w:val="0"/>
        <w:adjustRightInd w:val="0"/>
        <w:ind w:left="0" w:leftChars="0" w:right="0" w:rightChars="0" w:firstLine="456" w:firstLineChars="200"/>
        <w:jc w:val="both"/>
        <w:rPr>
          <w:rFonts w:hint="default" w:ascii="Times New Roman" w:hAnsi="Times New Roman" w:eastAsia="宋体" w:cs="Times New Roman"/>
          <w:color w:val="auto"/>
          <w:spacing w:val="-6"/>
          <w:kern w:val="2"/>
          <w:sz w:val="24"/>
          <w:szCs w:val="24"/>
          <w:highlight w:val="none"/>
          <w:lang w:val="en-US" w:eastAsia="zh-CN" w:bidi="ar-SA"/>
        </w:rPr>
      </w:pPr>
      <w:r>
        <w:rPr>
          <w:rFonts w:hint="default" w:ascii="Times New Roman" w:hAnsi="Times New Roman" w:eastAsia="宋体" w:cs="Times New Roman"/>
          <w:color w:val="auto"/>
          <w:spacing w:val="-6"/>
          <w:kern w:val="2"/>
          <w:sz w:val="24"/>
          <w:szCs w:val="24"/>
          <w:highlight w:val="none"/>
          <w:lang w:val="en-US" w:eastAsia="zh-CN" w:bidi="ar-SA"/>
        </w:rPr>
        <w:t>《中共中央国务院关于深入打好污染防治攻坚战的意见》（2021年11月2日）；</w:t>
      </w:r>
    </w:p>
    <w:p>
      <w:pPr>
        <w:pageBreakBefore w:val="0"/>
        <w:numPr>
          <w:ilvl w:val="0"/>
          <w:numId w:val="7"/>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《环境监管重点单位名录管理办法》（20</w:t>
      </w:r>
      <w:r>
        <w:rPr>
          <w:rFonts w:hint="default" w:ascii="Times New Roman" w:hAnsi="Times New Roman" w:cs="Times New Roman"/>
          <w:color w:val="auto"/>
          <w:highlight w:val="none"/>
          <w:lang w:val="en-US" w:eastAsia="zh-CN"/>
        </w:rPr>
        <w:t>23</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月</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日</w:t>
      </w:r>
      <w:r>
        <w:rPr>
          <w:rFonts w:hint="default" w:ascii="Times New Roman" w:hAnsi="Times New Roman" w:cs="Times New Roman"/>
          <w:color w:val="auto"/>
          <w:highlight w:val="none"/>
          <w:lang w:eastAsia="zh-CN"/>
        </w:rPr>
        <w:t>施行</w:t>
      </w:r>
      <w:r>
        <w:rPr>
          <w:rFonts w:hint="default" w:ascii="Times New Roman" w:hAnsi="Times New Roman" w:cs="Times New Roman"/>
          <w:color w:val="auto"/>
          <w:highlight w:val="none"/>
        </w:rPr>
        <w:t>）；</w:t>
      </w:r>
    </w:p>
    <w:p>
      <w:pPr>
        <w:pageBreakBefore w:val="0"/>
        <w:numPr>
          <w:ilvl w:val="0"/>
          <w:numId w:val="7"/>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《关于做好畜禽规模养殖项目环境影响评价管理工作的通知》（环办环评[2018]31号；</w:t>
      </w:r>
    </w:p>
    <w:p>
      <w:pPr>
        <w:pageBreakBefore w:val="0"/>
        <w:numPr>
          <w:ilvl w:val="0"/>
          <w:numId w:val="7"/>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《国务院办公厅关于加快推进畜禽养殖废弃物资源化利用的意见》国办发 [2017]48号；</w:t>
      </w:r>
    </w:p>
    <w:p>
      <w:pPr>
        <w:pageBreakBefore w:val="0"/>
        <w:numPr>
          <w:ilvl w:val="0"/>
          <w:numId w:val="7"/>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农业农村部办公厅、生态环境部办公厅《关于促进畜禽粪污还田利用依法加强养殖污染治理的指导意见》（农办牧〔2019〕84号）；</w:t>
      </w:r>
    </w:p>
    <w:p>
      <w:pPr>
        <w:pageBreakBefore w:val="0"/>
        <w:numPr>
          <w:ilvl w:val="0"/>
          <w:numId w:val="7"/>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《农业农村部办公厅 生态环境部办公厅关于进一步明确畜禽粪污还田利用要求强化养殖污染监管的通知》（农办牧〔2020〕23号）；</w:t>
      </w:r>
    </w:p>
    <w:p>
      <w:pPr>
        <w:pageBreakBefore w:val="0"/>
        <w:numPr>
          <w:ilvl w:val="0"/>
          <w:numId w:val="7"/>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《农业部关于印发</w:t>
      </w:r>
      <w:r>
        <w:rPr>
          <w:rFonts w:hint="default" w:ascii="Times New Roman" w:hAnsi="Times New Roman" w:cs="Times New Roman"/>
          <w:color w:val="auto"/>
          <w:highlight w:val="none"/>
          <w:lang w:val="en-US" w:eastAsia="zh-CN"/>
        </w:rPr>
        <w:t>&lt;</w:t>
      </w:r>
      <w:r>
        <w:rPr>
          <w:rFonts w:hint="default" w:ascii="Times New Roman" w:hAnsi="Times New Roman" w:cs="Times New Roman"/>
          <w:color w:val="auto"/>
          <w:highlight w:val="none"/>
        </w:rPr>
        <w:t>全国草食畜牧业发展规划（2016</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2020年）</w:t>
      </w:r>
      <w:r>
        <w:rPr>
          <w:rFonts w:hint="default" w:ascii="Times New Roman" w:hAnsi="Times New Roman" w:cs="Times New Roman"/>
          <w:color w:val="auto"/>
          <w:highlight w:val="none"/>
          <w:lang w:val="en-US" w:eastAsia="zh-CN"/>
        </w:rPr>
        <w:t>&gt;</w:t>
      </w:r>
      <w:r>
        <w:rPr>
          <w:rFonts w:hint="default" w:ascii="Times New Roman" w:hAnsi="Times New Roman" w:cs="Times New Roman"/>
          <w:color w:val="auto"/>
          <w:highlight w:val="none"/>
        </w:rPr>
        <w:t>的通知》</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rPr>
        <w:t>2016</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rPr>
        <w:t>7</w:t>
      </w:r>
      <w:r>
        <w:rPr>
          <w:rFonts w:hint="default" w:ascii="Times New Roman" w:hAnsi="Times New Roman" w:cs="Times New Roman"/>
          <w:color w:val="auto"/>
          <w:highlight w:val="none"/>
        </w:rPr>
        <w:t>月</w:t>
      </w:r>
      <w:r>
        <w:rPr>
          <w:rFonts w:hint="default" w:ascii="Times New Roman" w:hAnsi="Times New Roman" w:cs="Times New Roman"/>
          <w:color w:val="auto"/>
          <w:highlight w:val="none"/>
          <w:lang w:val="en-US"/>
        </w:rPr>
        <w:t>6</w:t>
      </w:r>
      <w:r>
        <w:rPr>
          <w:rFonts w:hint="default" w:ascii="Times New Roman" w:hAnsi="Times New Roman" w:cs="Times New Roman"/>
          <w:color w:val="auto"/>
          <w:highlight w:val="none"/>
        </w:rPr>
        <w:t>日</w:t>
      </w:r>
      <w:r>
        <w:rPr>
          <w:rFonts w:hint="default" w:ascii="Times New Roman" w:hAnsi="Times New Roman" w:cs="Times New Roman"/>
          <w:color w:val="auto"/>
          <w:highlight w:val="none"/>
          <w:lang w:eastAsia="zh-CN"/>
        </w:rPr>
        <w:t>）；</w:t>
      </w:r>
    </w:p>
    <w:p>
      <w:pPr>
        <w:pageBreakBefore w:val="0"/>
        <w:numPr>
          <w:ilvl w:val="0"/>
          <w:numId w:val="7"/>
        </w:numPr>
        <w:wordWrap/>
        <w:bidi w:val="0"/>
        <w:adjustRightInd w:val="0"/>
        <w:ind w:left="0" w:leftChars="0" w:right="0" w:rightChars="0" w:firstLine="480" w:firstLineChars="200"/>
        <w:jc w:val="both"/>
        <w:rPr>
          <w:rFonts w:hint="default" w:ascii="Times New Roman" w:hAnsi="Times New Roman" w:cs="Times New Roman"/>
          <w:color w:val="auto"/>
          <w:spacing w:val="0"/>
          <w:sz w:val="24"/>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国务院办公厅关于促进畜牧业高质量发展的意见</w:t>
      </w:r>
      <w:r>
        <w:rPr>
          <w:rFonts w:hint="default" w:ascii="Times New Roman" w:hAnsi="Times New Roman" w:cs="Times New Roman"/>
          <w:color w:val="auto"/>
          <w:highlight w:val="none"/>
          <w:lang w:eastAsia="zh-CN"/>
        </w:rPr>
        <w:t>》（</w:t>
      </w:r>
      <w:r>
        <w:rPr>
          <w:rFonts w:hint="default" w:ascii="Times New Roman" w:hAnsi="Times New Roman" w:cs="Times New Roman"/>
          <w:color w:val="auto"/>
          <w:spacing w:val="0"/>
          <w:sz w:val="24"/>
          <w:highlight w:val="none"/>
        </w:rPr>
        <w:t>国办发〔2020〕31号</w:t>
      </w:r>
      <w:r>
        <w:rPr>
          <w:rFonts w:hint="default" w:ascii="Times New Roman" w:hAnsi="Times New Roman" w:cs="Times New Roman"/>
          <w:color w:val="auto"/>
          <w:spacing w:val="0"/>
          <w:sz w:val="24"/>
          <w:highlight w:val="none"/>
          <w:lang w:eastAsia="zh-CN"/>
        </w:rPr>
        <w:t>）（</w:t>
      </w:r>
      <w:r>
        <w:rPr>
          <w:rFonts w:hint="default" w:ascii="Times New Roman" w:hAnsi="Times New Roman" w:cs="Times New Roman"/>
          <w:color w:val="auto"/>
          <w:spacing w:val="0"/>
          <w:sz w:val="24"/>
          <w:highlight w:val="none"/>
        </w:rPr>
        <w:t>2020年9月14日</w:t>
      </w:r>
      <w:r>
        <w:rPr>
          <w:rFonts w:hint="default" w:ascii="Times New Roman" w:hAnsi="Times New Roman" w:cs="Times New Roman"/>
          <w:color w:val="auto"/>
          <w:spacing w:val="0"/>
          <w:sz w:val="24"/>
          <w:highlight w:val="none"/>
          <w:lang w:eastAsia="zh-CN"/>
        </w:rPr>
        <w:t>）；</w:t>
      </w:r>
    </w:p>
    <w:p>
      <w:pPr>
        <w:pageBreakBefore w:val="0"/>
        <w:numPr>
          <w:ilvl w:val="0"/>
          <w:numId w:val="7"/>
        </w:numPr>
        <w:wordWrap/>
        <w:bidi w:val="0"/>
        <w:adjustRightInd w:val="0"/>
        <w:ind w:left="0" w:leftChars="0" w:right="0" w:rightChars="0" w:firstLine="480" w:firstLineChars="200"/>
        <w:jc w:val="both"/>
        <w:rPr>
          <w:rFonts w:hint="default" w:ascii="Times New Roman" w:hAnsi="Times New Roman" w:cs="Times New Roman"/>
          <w:color w:val="auto"/>
          <w:spacing w:val="0"/>
          <w:sz w:val="24"/>
          <w:highlight w:val="none"/>
        </w:rPr>
      </w:pPr>
      <w:r>
        <w:rPr>
          <w:rFonts w:hint="default" w:ascii="Times New Roman" w:hAnsi="Times New Roman" w:cs="Times New Roman"/>
          <w:color w:val="auto"/>
          <w:spacing w:val="0"/>
          <w:sz w:val="24"/>
          <w:highlight w:val="none"/>
          <w:lang w:eastAsia="zh-CN"/>
        </w:rPr>
        <w:t>《</w:t>
      </w:r>
      <w:r>
        <w:rPr>
          <w:rFonts w:hint="default" w:ascii="Times New Roman" w:hAnsi="Times New Roman" w:cs="Times New Roman"/>
          <w:color w:val="auto"/>
          <w:spacing w:val="0"/>
          <w:sz w:val="24"/>
          <w:highlight w:val="none"/>
        </w:rPr>
        <w:t>农业农村部关于印发</w:t>
      </w:r>
      <w:r>
        <w:rPr>
          <w:rFonts w:hint="default" w:ascii="Times New Roman" w:hAnsi="Times New Roman" w:cs="Times New Roman"/>
          <w:color w:val="auto"/>
          <w:spacing w:val="0"/>
          <w:sz w:val="24"/>
          <w:highlight w:val="none"/>
          <w:lang w:val="en-US" w:eastAsia="zh-CN"/>
        </w:rPr>
        <w:t>&lt;</w:t>
      </w:r>
      <w:r>
        <w:rPr>
          <w:rFonts w:hint="default" w:ascii="Times New Roman" w:hAnsi="Times New Roman" w:cs="Times New Roman"/>
          <w:color w:val="auto"/>
          <w:spacing w:val="0"/>
          <w:sz w:val="24"/>
          <w:highlight w:val="none"/>
        </w:rPr>
        <w:t>推进</w:t>
      </w:r>
      <w:r>
        <w:rPr>
          <w:rFonts w:hint="default" w:ascii="Times New Roman" w:hAnsi="Times New Roman" w:cs="Times New Roman"/>
          <w:color w:val="auto"/>
          <w:spacing w:val="0"/>
          <w:sz w:val="24"/>
          <w:highlight w:val="none"/>
          <w:lang w:eastAsia="zh-CN"/>
        </w:rPr>
        <w:t>奶牛</w:t>
      </w:r>
      <w:r>
        <w:rPr>
          <w:rFonts w:hint="default" w:ascii="Times New Roman" w:hAnsi="Times New Roman" w:cs="Times New Roman"/>
          <w:color w:val="auto"/>
          <w:spacing w:val="0"/>
          <w:sz w:val="24"/>
          <w:highlight w:val="none"/>
        </w:rPr>
        <w:t>肉羊生产发展五年行动方案</w:t>
      </w:r>
      <w:r>
        <w:rPr>
          <w:rFonts w:hint="default" w:ascii="Times New Roman" w:hAnsi="Times New Roman" w:cs="Times New Roman"/>
          <w:color w:val="auto"/>
          <w:spacing w:val="0"/>
          <w:sz w:val="24"/>
          <w:highlight w:val="none"/>
          <w:lang w:val="en-US" w:eastAsia="zh-CN"/>
        </w:rPr>
        <w:t>&gt;</w:t>
      </w:r>
      <w:r>
        <w:rPr>
          <w:rFonts w:hint="default" w:ascii="Times New Roman" w:hAnsi="Times New Roman" w:cs="Times New Roman"/>
          <w:color w:val="auto"/>
          <w:spacing w:val="0"/>
          <w:sz w:val="24"/>
          <w:highlight w:val="none"/>
        </w:rPr>
        <w:t>的通知</w:t>
      </w:r>
      <w:r>
        <w:rPr>
          <w:rFonts w:hint="default" w:ascii="Times New Roman" w:hAnsi="Times New Roman" w:cs="Times New Roman"/>
          <w:color w:val="auto"/>
          <w:spacing w:val="0"/>
          <w:sz w:val="24"/>
          <w:highlight w:val="none"/>
          <w:lang w:eastAsia="zh-CN"/>
        </w:rPr>
        <w:t>》（</w:t>
      </w:r>
      <w:r>
        <w:rPr>
          <w:rFonts w:hint="default" w:ascii="Times New Roman" w:hAnsi="Times New Roman" w:cs="Times New Roman"/>
          <w:color w:val="auto"/>
          <w:spacing w:val="0"/>
          <w:sz w:val="24"/>
          <w:highlight w:val="none"/>
        </w:rPr>
        <w:t>农牧发〔2021〕10号</w:t>
      </w:r>
      <w:r>
        <w:rPr>
          <w:rFonts w:hint="default" w:ascii="Times New Roman" w:hAnsi="Times New Roman" w:cs="Times New Roman"/>
          <w:color w:val="auto"/>
          <w:spacing w:val="0"/>
          <w:sz w:val="24"/>
          <w:highlight w:val="none"/>
          <w:lang w:eastAsia="zh-CN"/>
        </w:rPr>
        <w:t>）（</w:t>
      </w:r>
      <w:r>
        <w:rPr>
          <w:rFonts w:hint="default" w:ascii="Times New Roman" w:hAnsi="Times New Roman" w:cs="Times New Roman"/>
          <w:color w:val="auto"/>
          <w:spacing w:val="0"/>
          <w:sz w:val="24"/>
          <w:highlight w:val="none"/>
        </w:rPr>
        <w:t>2021年04月20日</w:t>
      </w:r>
      <w:r>
        <w:rPr>
          <w:rFonts w:hint="default" w:ascii="Times New Roman" w:hAnsi="Times New Roman" w:cs="Times New Roman"/>
          <w:color w:val="auto"/>
          <w:spacing w:val="0"/>
          <w:sz w:val="24"/>
          <w:highlight w:val="none"/>
          <w:lang w:eastAsia="zh-CN"/>
        </w:rPr>
        <w:t>）；</w:t>
      </w:r>
    </w:p>
    <w:p>
      <w:pPr>
        <w:pageBreakBefore w:val="0"/>
        <w:numPr>
          <w:ilvl w:val="0"/>
          <w:numId w:val="7"/>
        </w:numPr>
        <w:wordWrap/>
        <w:bidi w:val="0"/>
        <w:adjustRightInd w:val="0"/>
        <w:ind w:left="0" w:leftChars="0" w:right="0" w:rightChars="0" w:firstLine="480" w:firstLineChars="200"/>
        <w:jc w:val="both"/>
        <w:rPr>
          <w:rFonts w:hint="default" w:ascii="Times New Roman" w:hAnsi="Times New Roman" w:cs="Times New Roman"/>
          <w:color w:val="auto"/>
          <w:spacing w:val="0"/>
          <w:sz w:val="24"/>
          <w:highlight w:val="none"/>
        </w:rPr>
      </w:pPr>
      <w:r>
        <w:rPr>
          <w:rFonts w:hint="default" w:ascii="Times New Roman" w:hAnsi="Times New Roman" w:cs="Times New Roman"/>
          <w:color w:val="auto"/>
          <w:spacing w:val="0"/>
          <w:sz w:val="24"/>
          <w:highlight w:val="none"/>
        </w:rPr>
        <w:t>《畜禽养殖业污染防治技术政策》环发[2010]151号；</w:t>
      </w:r>
    </w:p>
    <w:p>
      <w:pPr>
        <w:pageBreakBefore w:val="0"/>
        <w:numPr>
          <w:ilvl w:val="0"/>
          <w:numId w:val="7"/>
        </w:numPr>
        <w:wordWrap/>
        <w:bidi w:val="0"/>
        <w:adjustRightInd w:val="0"/>
        <w:ind w:left="0" w:leftChars="0" w:right="0" w:rightChars="0" w:firstLine="456" w:firstLineChars="200"/>
        <w:jc w:val="both"/>
        <w:rPr>
          <w:rFonts w:hint="default" w:ascii="Times New Roman" w:hAnsi="Times New Roman" w:eastAsia="宋体" w:cs="Times New Roman"/>
          <w:color w:val="auto"/>
          <w:spacing w:val="-6"/>
          <w:kern w:val="2"/>
          <w:sz w:val="24"/>
          <w:szCs w:val="24"/>
          <w:highlight w:val="none"/>
          <w:lang w:val="en-US" w:eastAsia="zh-CN" w:bidi="ar-SA"/>
        </w:rPr>
      </w:pPr>
      <w:r>
        <w:rPr>
          <w:rFonts w:hint="default" w:ascii="Times New Roman" w:hAnsi="Times New Roman" w:eastAsia="宋体" w:cs="Times New Roman"/>
          <w:color w:val="auto"/>
          <w:spacing w:val="-6"/>
          <w:kern w:val="2"/>
          <w:sz w:val="24"/>
          <w:szCs w:val="24"/>
          <w:highlight w:val="none"/>
          <w:lang w:val="en-US" w:eastAsia="zh-CN" w:bidi="ar-SA"/>
        </w:rPr>
        <w:t>《动物防疫条件审查办法》（中华人民共和国农业农村部令2022年第8号）</w:t>
      </w:r>
      <w:r>
        <w:rPr>
          <w:rFonts w:hint="eastAsia" w:cs="Times New Roman"/>
          <w:color w:val="auto"/>
          <w:spacing w:val="-6"/>
          <w:kern w:val="2"/>
          <w:sz w:val="24"/>
          <w:szCs w:val="24"/>
          <w:highlight w:val="none"/>
          <w:lang w:val="en-US" w:eastAsia="zh-CN" w:bidi="ar-SA"/>
        </w:rPr>
        <w:t>；</w:t>
      </w:r>
    </w:p>
    <w:p>
      <w:pPr>
        <w:pageBreakBefore w:val="0"/>
        <w:numPr>
          <w:ilvl w:val="0"/>
          <w:numId w:val="7"/>
        </w:numPr>
        <w:wordWrap/>
        <w:bidi w:val="0"/>
        <w:adjustRightInd w:val="0"/>
        <w:ind w:left="0" w:leftChars="0" w:right="0" w:rightChars="0" w:firstLine="480" w:firstLineChars="200"/>
        <w:jc w:val="both"/>
        <w:rPr>
          <w:rFonts w:hint="default" w:ascii="Times New Roman" w:hAnsi="Times New Roman" w:eastAsia="宋体" w:cs="Times New Roman"/>
          <w:color w:val="auto"/>
          <w:spacing w:val="0"/>
          <w:kern w:val="2"/>
          <w:sz w:val="24"/>
          <w:szCs w:val="24"/>
          <w:highlight w:val="none"/>
          <w:lang w:val="en-US" w:eastAsia="zh-CN" w:bidi="ar-SA"/>
        </w:rPr>
      </w:pPr>
      <w:r>
        <w:rPr>
          <w:rFonts w:hint="eastAsia" w:ascii="Times New Roman" w:hAnsi="Times New Roman" w:eastAsia="宋体" w:cs="Times New Roman"/>
          <w:color w:val="auto"/>
          <w:spacing w:val="0"/>
          <w:kern w:val="2"/>
          <w:sz w:val="24"/>
          <w:szCs w:val="24"/>
          <w:highlight w:val="none"/>
          <w:lang w:val="en-US" w:eastAsia="zh-CN" w:bidi="ar-SA"/>
        </w:rPr>
        <w:t>《农业面源污染治理与监督指导实施方案（试行）》（环办土壤〔2021〕8号）；</w:t>
      </w:r>
    </w:p>
    <w:p>
      <w:pPr>
        <w:pageBreakBefore w:val="0"/>
        <w:numPr>
          <w:ilvl w:val="0"/>
          <w:numId w:val="7"/>
        </w:numPr>
        <w:wordWrap/>
        <w:bidi w:val="0"/>
        <w:adjustRightInd w:val="0"/>
        <w:ind w:left="0" w:leftChars="0" w:right="0" w:rightChars="0" w:firstLine="480" w:firstLineChars="200"/>
        <w:jc w:val="both"/>
        <w:rPr>
          <w:rFonts w:hint="default" w:ascii="Times New Roman" w:hAnsi="Times New Roman" w:eastAsia="宋体" w:cs="Times New Roman"/>
          <w:color w:val="auto"/>
          <w:spacing w:val="0"/>
          <w:kern w:val="2"/>
          <w:sz w:val="24"/>
          <w:szCs w:val="24"/>
          <w:highlight w:val="none"/>
          <w:lang w:val="en-US" w:eastAsia="zh-CN" w:bidi="ar-SA"/>
        </w:rPr>
      </w:pPr>
      <w:r>
        <w:rPr>
          <w:rFonts w:hint="eastAsia" w:ascii="Times New Roman" w:hAnsi="Times New Roman" w:eastAsia="宋体" w:cs="Times New Roman"/>
          <w:color w:val="auto"/>
          <w:spacing w:val="0"/>
          <w:kern w:val="2"/>
          <w:sz w:val="24"/>
          <w:szCs w:val="24"/>
          <w:highlight w:val="none"/>
          <w:lang w:val="en-US" w:eastAsia="zh-CN" w:bidi="ar-SA"/>
        </w:rPr>
        <w:t>《病死畜禽和病害畜禽产品无害化处理管理办法》（农业农村部令 2022年第3号）。</w:t>
      </w:r>
    </w:p>
    <w:p>
      <w:pPr>
        <w:pStyle w:val="5"/>
        <w:pageBreakBefore w:val="0"/>
        <w:wordWrap/>
        <w:bidi w:val="0"/>
        <w:adjustRightInd w:val="0"/>
        <w:ind w:left="0" w:leftChars="0" w:right="0" w:rightChars="0" w:firstLine="0" w:firstLineChars="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地方法规</w:t>
      </w:r>
      <w:bookmarkEnd w:id="70"/>
      <w:r>
        <w:rPr>
          <w:rFonts w:hint="eastAsia"/>
          <w:color w:val="auto"/>
        </w:rPr>
        <w:t>及规范性文件</w:t>
      </w:r>
    </w:p>
    <w:p>
      <w:pPr>
        <w:pStyle w:val="17"/>
        <w:pageBreakBefore w:val="0"/>
        <w:numPr>
          <w:ilvl w:val="0"/>
          <w:numId w:val="8"/>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《新疆维吾尔</w:t>
      </w:r>
      <w:r>
        <w:rPr>
          <w:rFonts w:hint="default" w:ascii="Times New Roman" w:hAnsi="Times New Roman" w:cs="Times New Roman"/>
          <w:color w:val="auto"/>
          <w:szCs w:val="21"/>
          <w:highlight w:val="none"/>
        </w:rPr>
        <w:t>自治区</w:t>
      </w:r>
      <w:r>
        <w:rPr>
          <w:rFonts w:hint="default" w:ascii="Times New Roman" w:hAnsi="Times New Roman" w:cs="Times New Roman"/>
          <w:color w:val="auto"/>
          <w:highlight w:val="none"/>
        </w:rPr>
        <w:t>环境保护条例》（2018年修正）</w:t>
      </w:r>
      <w:r>
        <w:rPr>
          <w:rFonts w:hint="default" w:ascii="Times New Roman" w:hAnsi="Times New Roman" w:cs="Times New Roman"/>
          <w:color w:val="auto"/>
          <w:highlight w:val="none"/>
          <w:lang w:eastAsia="zh-CN"/>
        </w:rPr>
        <w:t>；</w:t>
      </w:r>
    </w:p>
    <w:p>
      <w:pPr>
        <w:pStyle w:val="17"/>
        <w:pageBreakBefore w:val="0"/>
        <w:numPr>
          <w:ilvl w:val="0"/>
          <w:numId w:val="8"/>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《新疆维吾尔自治区大气污染防治条例》（新疆维吾尔自治区第十三届人民代表大会常务委员会公告 第 15 号，2018.11.30）；</w:t>
      </w:r>
    </w:p>
    <w:p>
      <w:pPr>
        <w:pStyle w:val="17"/>
        <w:pageBreakBefore w:val="0"/>
        <w:numPr>
          <w:ilvl w:val="0"/>
          <w:numId w:val="8"/>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eastAsia"/>
          <w:color w:val="auto"/>
          <w:lang w:val="en-US" w:eastAsia="zh-CN"/>
        </w:rPr>
        <w:t>《新疆维吾</w:t>
      </w:r>
      <w:r>
        <w:rPr>
          <w:rFonts w:hint="eastAsia" w:ascii="Times New Roman" w:hAnsi="Times New Roman" w:cs="Times New Roman"/>
          <w:color w:val="auto"/>
          <w:highlight w:val="none"/>
          <w:lang w:val="en-US" w:eastAsia="zh-CN"/>
        </w:rPr>
        <w:t>尔自治区实施〈中华人民共和国动物防疫法〉办法》（</w:t>
      </w:r>
      <w:r>
        <w:rPr>
          <w:rFonts w:hint="default" w:ascii="Times New Roman" w:hAnsi="Times New Roman" w:cs="Times New Roman"/>
          <w:color w:val="auto"/>
          <w:highlight w:val="none"/>
        </w:rPr>
        <w:t>新疆维吾尔自治区人民代表大会常务委员会</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2022</w:t>
      </w:r>
      <w:r>
        <w:rPr>
          <w:rFonts w:hint="default" w:ascii="Times New Roman" w:hAnsi="Times New Roman" w:cs="Times New Roman"/>
          <w:color w:val="auto"/>
          <w:highlight w:val="none"/>
        </w:rPr>
        <w:t>年8月8日</w:t>
      </w:r>
      <w:r>
        <w:rPr>
          <w:rFonts w:hint="eastAsia" w:ascii="Times New Roman" w:hAnsi="Times New Roman" w:cs="Times New Roman"/>
          <w:color w:val="auto"/>
          <w:highlight w:val="none"/>
          <w:lang w:eastAsia="zh-CN"/>
        </w:rPr>
        <w:t>）；</w:t>
      </w:r>
    </w:p>
    <w:p>
      <w:pPr>
        <w:pStyle w:val="17"/>
        <w:pageBreakBefore w:val="0"/>
        <w:numPr>
          <w:ilvl w:val="0"/>
          <w:numId w:val="8"/>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《新疆维吾尔自治区动物防疫条例》</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2004年7月1日</w:t>
      </w:r>
      <w:r>
        <w:rPr>
          <w:rFonts w:hint="default" w:ascii="Times New Roman" w:hAnsi="Times New Roman" w:cs="Times New Roman"/>
          <w:color w:val="auto"/>
          <w:highlight w:val="none"/>
          <w:lang w:eastAsia="zh-CN"/>
        </w:rPr>
        <w:t>）；</w:t>
      </w:r>
    </w:p>
    <w:p>
      <w:pPr>
        <w:pStyle w:val="17"/>
        <w:pageBreakBefore w:val="0"/>
        <w:numPr>
          <w:ilvl w:val="0"/>
          <w:numId w:val="8"/>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《关于印发《自治区打赢蓝天保卫战三年行动计划（2018-2020 年）》的通知》（新政发[2018]66 号，2018.9.20）</w:t>
      </w:r>
      <w:r>
        <w:rPr>
          <w:rFonts w:hint="default" w:ascii="Times New Roman" w:hAnsi="Times New Roman" w:cs="Times New Roman"/>
          <w:color w:val="auto"/>
          <w:highlight w:val="none"/>
          <w:lang w:eastAsia="zh-CN"/>
        </w:rPr>
        <w:t>；</w:t>
      </w:r>
    </w:p>
    <w:p>
      <w:pPr>
        <w:pStyle w:val="17"/>
        <w:pageBreakBefore w:val="0"/>
        <w:numPr>
          <w:ilvl w:val="0"/>
          <w:numId w:val="8"/>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《新疆维吾尔自治区排污许可证管理暂行办法》（2009年10月1日施行）;</w:t>
      </w:r>
    </w:p>
    <w:p>
      <w:pPr>
        <w:pStyle w:val="17"/>
        <w:pageBreakBefore w:val="0"/>
        <w:numPr>
          <w:ilvl w:val="0"/>
          <w:numId w:val="8"/>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《新疆维吾尔自治区“三线一单”生态环境分区管控方案》（2021年2月21日印发）；</w:t>
      </w:r>
    </w:p>
    <w:p>
      <w:pPr>
        <w:pStyle w:val="17"/>
        <w:pageBreakBefore w:val="0"/>
        <w:numPr>
          <w:ilvl w:val="0"/>
          <w:numId w:val="8"/>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塔城地区</w:t>
      </w:r>
      <w:r>
        <w:rPr>
          <w:rFonts w:hint="default" w:ascii="Times New Roman" w:hAnsi="Times New Roman" w:cs="Times New Roman"/>
          <w:color w:val="auto"/>
          <w:highlight w:val="none"/>
        </w:rPr>
        <w:t>国民经济和社会发展第十四个五年规划和2035年远景目标纲要》</w:t>
      </w:r>
    </w:p>
    <w:p>
      <w:pPr>
        <w:pStyle w:val="17"/>
        <w:pageBreakBefore w:val="0"/>
        <w:numPr>
          <w:ilvl w:val="0"/>
          <w:numId w:val="8"/>
        </w:numPr>
        <w:wordWrap/>
        <w:bidi w:val="0"/>
        <w:adjustRightInd w:val="0"/>
        <w:ind w:left="0" w:leftChars="0" w:right="0" w:rightChars="0" w:firstLine="480" w:firstLineChars="200"/>
        <w:jc w:val="both"/>
        <w:rPr>
          <w:rFonts w:hint="default"/>
          <w:color w:val="auto"/>
        </w:rPr>
      </w:pPr>
      <w:r>
        <w:rPr>
          <w:rFonts w:hint="eastAsia"/>
          <w:color w:val="auto"/>
          <w:lang w:eastAsia="zh-CN"/>
        </w:rPr>
        <w:t>《</w:t>
      </w:r>
      <w:r>
        <w:rPr>
          <w:rFonts w:hint="default" w:ascii="Times New Roman" w:hAnsi="Times New Roman" w:eastAsia="宋体" w:cs="Times New Roman"/>
          <w:color w:val="auto"/>
          <w:highlight w:val="none"/>
        </w:rPr>
        <w:t>新疆维吾尔自治区畜牧业“十</w:t>
      </w:r>
      <w:r>
        <w:rPr>
          <w:rFonts w:hint="default" w:ascii="Times New Roman" w:hAnsi="Times New Roman" w:cs="Times New Roman"/>
          <w:color w:val="auto"/>
          <w:highlight w:val="none"/>
          <w:lang w:val="en-US" w:eastAsia="zh-CN"/>
        </w:rPr>
        <w:t>四</w:t>
      </w:r>
      <w:r>
        <w:rPr>
          <w:rFonts w:hint="default" w:ascii="Times New Roman" w:hAnsi="Times New Roman" w:eastAsia="宋体" w:cs="Times New Roman"/>
          <w:color w:val="auto"/>
          <w:highlight w:val="none"/>
        </w:rPr>
        <w:t>五”发展规划</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2021年9月18日）</w:t>
      </w:r>
      <w:r>
        <w:rPr>
          <w:rFonts w:hint="eastAsia" w:ascii="Times New Roman" w:hAnsi="Times New Roman" w:cs="Times New Roman"/>
          <w:color w:val="auto"/>
          <w:highlight w:val="none"/>
          <w:lang w:eastAsia="zh-CN"/>
        </w:rPr>
        <w:t>；</w:t>
      </w:r>
    </w:p>
    <w:p>
      <w:pPr>
        <w:pStyle w:val="17"/>
        <w:pageBreakBefore w:val="0"/>
        <w:numPr>
          <w:ilvl w:val="0"/>
          <w:numId w:val="8"/>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《关于促进新疆畜牧业高质量发展的意见》（2020年9月14日发布）；</w:t>
      </w:r>
    </w:p>
    <w:p>
      <w:pPr>
        <w:pStyle w:val="17"/>
        <w:pageBreakBefore w:val="0"/>
        <w:numPr>
          <w:ilvl w:val="0"/>
          <w:numId w:val="8"/>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《新疆环境保护规划（2018-2022年）》（2018年2月1日）；</w:t>
      </w:r>
    </w:p>
    <w:p>
      <w:pPr>
        <w:pStyle w:val="17"/>
        <w:pageBreakBefore w:val="0"/>
        <w:numPr>
          <w:ilvl w:val="0"/>
          <w:numId w:val="8"/>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《新疆维吾尔自治区水土保持规划（2018-2030）》；</w:t>
      </w:r>
    </w:p>
    <w:p>
      <w:pPr>
        <w:pStyle w:val="17"/>
        <w:pageBreakBefore w:val="0"/>
        <w:numPr>
          <w:ilvl w:val="0"/>
          <w:numId w:val="8"/>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《新疆维吾尔自治区国民经济和社会发展第十四个五年规划和2035年远景目标纲要》（2021年2月5日）</w:t>
      </w:r>
      <w:r>
        <w:rPr>
          <w:rFonts w:hint="default" w:ascii="Times New Roman" w:hAnsi="Times New Roman" w:cs="Times New Roman"/>
          <w:color w:val="auto"/>
          <w:highlight w:val="none"/>
          <w:lang w:eastAsia="zh-CN"/>
        </w:rPr>
        <w:t>；</w:t>
      </w:r>
    </w:p>
    <w:p>
      <w:pPr>
        <w:pStyle w:val="17"/>
        <w:pageBreakBefore w:val="0"/>
        <w:numPr>
          <w:ilvl w:val="0"/>
          <w:numId w:val="8"/>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《新疆生态环境保护“十四五”规划》</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2021年12月24日</w:t>
      </w:r>
      <w:r>
        <w:rPr>
          <w:rFonts w:hint="default" w:ascii="Times New Roman" w:hAnsi="Times New Roman" w:cs="Times New Roman"/>
          <w:color w:val="auto"/>
          <w:highlight w:val="none"/>
          <w:lang w:eastAsia="zh-CN"/>
        </w:rPr>
        <w:t>）；</w:t>
      </w:r>
    </w:p>
    <w:p>
      <w:pPr>
        <w:pStyle w:val="17"/>
        <w:pageBreakBefore w:val="0"/>
        <w:numPr>
          <w:ilvl w:val="0"/>
          <w:numId w:val="8"/>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eastAsia" w:ascii="Times New Roman" w:hAnsi="Times New Roman" w:cs="Times New Roman"/>
          <w:caps w:val="0"/>
          <w:color w:val="auto"/>
          <w:spacing w:val="0"/>
          <w:position w:val="0"/>
          <w:sz w:val="24"/>
          <w:highlight w:val="none"/>
          <w:lang w:val="en-US" w:eastAsia="zh-CN"/>
        </w:rPr>
        <w:t>《</w:t>
      </w:r>
      <w:r>
        <w:rPr>
          <w:rFonts w:hint="default" w:ascii="Times New Roman" w:hAnsi="Times New Roman" w:eastAsia="宋体" w:cs="Times New Roman"/>
          <w:caps w:val="0"/>
          <w:color w:val="auto"/>
          <w:spacing w:val="0"/>
          <w:position w:val="0"/>
          <w:sz w:val="24"/>
          <w:highlight w:val="none"/>
          <w:lang w:val="en-US" w:eastAsia="zh-CN"/>
        </w:rPr>
        <w:t>关于印发&lt;塔城地区“三线一单”生态环境分区管控方法&gt;的通知》</w:t>
      </w:r>
      <w:r>
        <w:rPr>
          <w:rFonts w:hint="default" w:ascii="Times New Roman" w:hAnsi="Times New Roman" w:cs="Times New Roman"/>
          <w:color w:val="auto"/>
          <w:highlight w:val="none"/>
          <w:lang w:eastAsia="zh-CN"/>
        </w:rPr>
        <w:t>；</w:t>
      </w:r>
    </w:p>
    <w:p>
      <w:pPr>
        <w:pStyle w:val="17"/>
        <w:pageBreakBefore w:val="0"/>
        <w:numPr>
          <w:ilvl w:val="0"/>
          <w:numId w:val="8"/>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《新疆生态功能区划》</w:t>
      </w:r>
      <w:r>
        <w:rPr>
          <w:rFonts w:hint="default" w:ascii="Times New Roman" w:hAnsi="Times New Roman" w:cs="Times New Roman"/>
          <w:color w:val="auto"/>
          <w:highlight w:val="none"/>
          <w:lang w:eastAsia="zh-CN"/>
        </w:rPr>
        <w:t>；</w:t>
      </w:r>
    </w:p>
    <w:p>
      <w:pPr>
        <w:pStyle w:val="17"/>
        <w:pageBreakBefore w:val="0"/>
        <w:numPr>
          <w:ilvl w:val="0"/>
          <w:numId w:val="8"/>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《中国新疆水环境功能区划》（2002年）；</w:t>
      </w:r>
    </w:p>
    <w:p>
      <w:pPr>
        <w:pStyle w:val="17"/>
        <w:pageBreakBefore w:val="0"/>
        <w:numPr>
          <w:ilvl w:val="0"/>
          <w:numId w:val="8"/>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《新疆维吾尔自治区主体功能区规划》（2012 年 12 月 27 日）； </w:t>
      </w:r>
    </w:p>
    <w:p>
      <w:pPr>
        <w:pStyle w:val="17"/>
        <w:pageBreakBefore w:val="0"/>
        <w:numPr>
          <w:ilvl w:val="0"/>
          <w:numId w:val="8"/>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《新疆维吾尔自治区加快推进畜禽养殖废弃物资源化利用实施方案》（新政办发〔2018〕29 号）</w:t>
      </w:r>
      <w:r>
        <w:rPr>
          <w:rFonts w:hint="default" w:ascii="Times New Roman" w:hAnsi="Times New Roman" w:cs="Times New Roman"/>
          <w:color w:val="auto"/>
          <w:highlight w:val="none"/>
          <w:lang w:eastAsia="zh-CN"/>
        </w:rPr>
        <w:t>；</w:t>
      </w:r>
    </w:p>
    <w:p>
      <w:pPr>
        <w:pStyle w:val="17"/>
        <w:pageBreakBefore w:val="0"/>
        <w:numPr>
          <w:ilvl w:val="0"/>
          <w:numId w:val="8"/>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eastAsia" w:ascii="Times New Roman" w:hAnsi="Times New Roman" w:cs="Times New Roman"/>
          <w:color w:val="auto"/>
          <w:highlight w:val="none"/>
          <w:lang w:eastAsia="zh-CN"/>
        </w:rPr>
        <w:t>《塔城地区国土空间总体规划（2021-2035）》；</w:t>
      </w:r>
    </w:p>
    <w:p>
      <w:pPr>
        <w:pStyle w:val="17"/>
        <w:pageBreakBefore w:val="0"/>
        <w:numPr>
          <w:ilvl w:val="0"/>
          <w:numId w:val="8"/>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《关于印发新疆维吾尔自治区大气污染防治行动计划实施方案的通知》（新政发[2014]35号）；</w:t>
      </w:r>
    </w:p>
    <w:p>
      <w:pPr>
        <w:pStyle w:val="17"/>
        <w:pageBreakBefore w:val="0"/>
        <w:numPr>
          <w:ilvl w:val="0"/>
          <w:numId w:val="8"/>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《关于印发新疆维吾尔自治区水污染防治工作方案的通知》（新政发[2016]21号）；</w:t>
      </w:r>
    </w:p>
    <w:p>
      <w:pPr>
        <w:pStyle w:val="17"/>
        <w:pageBreakBefore w:val="0"/>
        <w:numPr>
          <w:ilvl w:val="0"/>
          <w:numId w:val="8"/>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《关于印发新疆维吾尔自治区土壤污染防治工作方案的通知》（新政发[2017]25号）；</w:t>
      </w:r>
    </w:p>
    <w:p>
      <w:pPr>
        <w:pStyle w:val="17"/>
        <w:pageBreakBefore w:val="0"/>
        <w:numPr>
          <w:ilvl w:val="0"/>
          <w:numId w:val="8"/>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eastAsia" w:ascii="Times New Roman" w:hAnsi="Times New Roman" w:cs="Times New Roman"/>
          <w:color w:val="auto"/>
          <w:highlight w:val="none"/>
        </w:rPr>
        <w:t>关于印发</w:t>
      </w:r>
      <w:r>
        <w:rPr>
          <w:rFonts w:hint="eastAsia" w:cs="Times New Roman"/>
          <w:color w:val="auto"/>
          <w:highlight w:val="none"/>
          <w:lang w:val="en-US" w:eastAsia="zh-CN"/>
        </w:rPr>
        <w:t>&lt;</w:t>
      </w:r>
      <w:r>
        <w:rPr>
          <w:rFonts w:hint="eastAsia" w:ascii="Times New Roman" w:hAnsi="Times New Roman" w:cs="Times New Roman"/>
          <w:color w:val="auto"/>
          <w:highlight w:val="none"/>
        </w:rPr>
        <w:t>塔城市畜禽养殖禁养区和限养区划定工作实施方案</w:t>
      </w:r>
      <w:r>
        <w:rPr>
          <w:rFonts w:hint="eastAsia" w:ascii="Times New Roman" w:hAnsi="Times New Roman" w:cs="Times New Roman"/>
          <w:color w:val="auto"/>
          <w:highlight w:val="none"/>
          <w:lang w:val="en-US" w:eastAsia="zh-CN"/>
        </w:rPr>
        <w:t>&gt;</w:t>
      </w:r>
      <w:r>
        <w:rPr>
          <w:rFonts w:hint="eastAsia" w:ascii="Times New Roman" w:hAnsi="Times New Roman" w:cs="Times New Roman"/>
          <w:color w:val="auto"/>
          <w:highlight w:val="none"/>
        </w:rPr>
        <w:t>的通知</w:t>
      </w:r>
      <w:r>
        <w:rPr>
          <w:rFonts w:hint="default" w:ascii="Times New Roman" w:hAnsi="Times New Roman" w:cs="Times New Roman"/>
          <w:color w:val="auto"/>
          <w:highlight w:val="none"/>
        </w:rPr>
        <w:t>》</w:t>
      </w:r>
      <w:bookmarkStart w:id="73" w:name="发文字号"/>
      <w:r>
        <w:rPr>
          <w:rFonts w:hint="eastAsia" w:ascii="Times New Roman" w:hAnsi="Times New Roman" w:cs="Times New Roman"/>
          <w:color w:val="auto"/>
          <w:highlight w:val="none"/>
          <w:lang w:val="en-US" w:eastAsia="zh-CN"/>
        </w:rPr>
        <w:t>（</w:t>
      </w:r>
      <w:r>
        <w:rPr>
          <w:rFonts w:hint="eastAsia" w:ascii="Times New Roman" w:hAnsi="Times New Roman" w:cs="Times New Roman"/>
          <w:color w:val="auto"/>
          <w:highlight w:val="none"/>
        </w:rPr>
        <w:t>塔市政办〔</w:t>
      </w:r>
      <w:r>
        <w:rPr>
          <w:rFonts w:hint="default" w:ascii="Times New Roman" w:hAnsi="Times New Roman" w:cs="Times New Roman"/>
          <w:color w:val="auto"/>
          <w:highlight w:val="none"/>
        </w:rPr>
        <w:t>2018〕38号</w:t>
      </w:r>
      <w:bookmarkEnd w:id="73"/>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rPr>
        <w:t>。</w:t>
      </w:r>
    </w:p>
    <w:p>
      <w:pPr>
        <w:pStyle w:val="5"/>
        <w:pageBreakBefore w:val="0"/>
        <w:wordWrap/>
        <w:bidi w:val="0"/>
        <w:adjustRightInd w:val="0"/>
        <w:ind w:left="0" w:leftChars="0" w:right="0" w:rightChars="0" w:firstLine="0" w:firstLineChars="0"/>
        <w:jc w:val="both"/>
        <w:rPr>
          <w:rFonts w:hint="default" w:ascii="Times New Roman" w:hAnsi="Times New Roman" w:cs="Times New Roman"/>
          <w:color w:val="auto"/>
          <w:highlight w:val="none"/>
        </w:rPr>
      </w:pPr>
      <w:bookmarkStart w:id="74" w:name="_Toc12389"/>
      <w:r>
        <w:rPr>
          <w:rFonts w:hint="default" w:ascii="Times New Roman" w:hAnsi="Times New Roman" w:cs="Times New Roman"/>
          <w:color w:val="auto"/>
          <w:highlight w:val="none"/>
        </w:rPr>
        <w:t>技术导则及技术规范</w:t>
      </w:r>
      <w:bookmarkEnd w:id="74"/>
    </w:p>
    <w:p>
      <w:pPr>
        <w:pageBreakBefore w:val="0"/>
        <w:numPr>
          <w:ilvl w:val="0"/>
          <w:numId w:val="9"/>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eastAsia="宋体" w:cs="Times New Roman"/>
          <w:color w:val="auto"/>
          <w:highlight w:val="none"/>
        </w:rPr>
        <w:t>建设项目</w:t>
      </w:r>
      <w:r>
        <w:rPr>
          <w:rFonts w:hint="default" w:ascii="Times New Roman" w:hAnsi="Times New Roman" w:cs="Times New Roman"/>
          <w:color w:val="auto"/>
          <w:highlight w:val="none"/>
        </w:rPr>
        <w:t>环境影响评价技术导则</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总纲》（HJ 2.1-2016）；</w:t>
      </w:r>
    </w:p>
    <w:p>
      <w:pPr>
        <w:pageBreakBefore w:val="0"/>
        <w:numPr>
          <w:ilvl w:val="0"/>
          <w:numId w:val="9"/>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《环境影响评价技术导则</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 xml:space="preserve">大气环境》（HJ 2.2-2018）； </w:t>
      </w:r>
    </w:p>
    <w:p>
      <w:pPr>
        <w:pageBreakBefore w:val="0"/>
        <w:numPr>
          <w:ilvl w:val="0"/>
          <w:numId w:val="9"/>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《环境影响评价技术导则</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地下水环境》（HJ610-2016）；</w:t>
      </w:r>
    </w:p>
    <w:p>
      <w:pPr>
        <w:pageBreakBefore w:val="0"/>
        <w:numPr>
          <w:ilvl w:val="0"/>
          <w:numId w:val="9"/>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《环境影响评价技术导则</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地表水环境》</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HJ2.3-2018</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w:t>
      </w:r>
    </w:p>
    <w:p>
      <w:pPr>
        <w:pageBreakBefore w:val="0"/>
        <w:numPr>
          <w:ilvl w:val="0"/>
          <w:numId w:val="9"/>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《环境影响评价技术导则</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声环境》（</w:t>
      </w:r>
      <w:r>
        <w:rPr>
          <w:rFonts w:hint="default" w:ascii="Times New Roman" w:hAnsi="Times New Roman" w:cs="Times New Roman"/>
          <w:color w:val="auto"/>
          <w:highlight w:val="none"/>
          <w:lang w:eastAsia="zh-CN"/>
        </w:rPr>
        <w:t>HJ 2.4-2021</w:t>
      </w:r>
      <w:r>
        <w:rPr>
          <w:rFonts w:hint="default" w:ascii="Times New Roman" w:hAnsi="Times New Roman" w:cs="Times New Roman"/>
          <w:color w:val="auto"/>
          <w:highlight w:val="none"/>
        </w:rPr>
        <w:t>）；</w:t>
      </w:r>
    </w:p>
    <w:p>
      <w:pPr>
        <w:pageBreakBefore w:val="0"/>
        <w:numPr>
          <w:ilvl w:val="0"/>
          <w:numId w:val="9"/>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《环境影响评价技术导则</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生态影响》（HJ 19-20</w:t>
      </w:r>
      <w:r>
        <w:rPr>
          <w:rFonts w:hint="default" w:ascii="Times New Roman" w:hAnsi="Times New Roman" w:cs="Times New Roman"/>
          <w:color w:val="auto"/>
          <w:highlight w:val="none"/>
          <w:lang w:val="en-US" w:eastAsia="zh-CN"/>
        </w:rPr>
        <w:t>22</w:t>
      </w:r>
      <w:r>
        <w:rPr>
          <w:rFonts w:hint="default" w:ascii="Times New Roman" w:hAnsi="Times New Roman" w:cs="Times New Roman"/>
          <w:color w:val="auto"/>
          <w:highlight w:val="none"/>
        </w:rPr>
        <w:t>）；</w:t>
      </w:r>
    </w:p>
    <w:p>
      <w:pPr>
        <w:pageBreakBefore w:val="0"/>
        <w:numPr>
          <w:ilvl w:val="0"/>
          <w:numId w:val="9"/>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《环境影响评价技术导则</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土壤环境（试行）》（HJ964-2018）；</w:t>
      </w:r>
    </w:p>
    <w:p>
      <w:pPr>
        <w:pageBreakBefore w:val="0"/>
        <w:numPr>
          <w:ilvl w:val="0"/>
          <w:numId w:val="9"/>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《建设项目环境风险评价技术导则》（HJ169-2018）；</w:t>
      </w:r>
    </w:p>
    <w:p>
      <w:pPr>
        <w:pageBreakBefore w:val="0"/>
        <w:numPr>
          <w:ilvl w:val="0"/>
          <w:numId w:val="9"/>
        </w:numPr>
        <w:wordWrap/>
        <w:bidi w:val="0"/>
        <w:adjustRightInd w:val="0"/>
        <w:ind w:left="0" w:leftChars="0" w:right="0" w:rightChars="0" w:firstLine="456" w:firstLineChars="200"/>
        <w:jc w:val="both"/>
        <w:rPr>
          <w:rFonts w:hint="default" w:ascii="Times New Roman" w:hAnsi="Times New Roman" w:cs="Times New Roman"/>
          <w:color w:val="auto"/>
          <w:spacing w:val="-6"/>
          <w:kern w:val="0"/>
          <w:szCs w:val="21"/>
          <w:highlight w:val="none"/>
        </w:rPr>
      </w:pPr>
      <w:r>
        <w:rPr>
          <w:rFonts w:hint="default" w:ascii="Times New Roman" w:hAnsi="Times New Roman" w:cs="Times New Roman"/>
          <w:color w:val="auto"/>
          <w:spacing w:val="-6"/>
          <w:kern w:val="0"/>
          <w:szCs w:val="21"/>
          <w:highlight w:val="none"/>
        </w:rPr>
        <w:t>《排污单位自行监测技术指南 总则》（HJ 819-2017）；</w:t>
      </w:r>
    </w:p>
    <w:p>
      <w:pPr>
        <w:pageBreakBefore w:val="0"/>
        <w:numPr>
          <w:ilvl w:val="0"/>
          <w:numId w:val="9"/>
        </w:numPr>
        <w:wordWrap/>
        <w:bidi w:val="0"/>
        <w:adjustRightInd w:val="0"/>
        <w:ind w:left="0" w:leftChars="0" w:right="0" w:rightChars="0" w:firstLine="456" w:firstLineChars="200"/>
        <w:jc w:val="both"/>
        <w:rPr>
          <w:rFonts w:hint="default" w:ascii="Times New Roman" w:hAnsi="Times New Roman" w:cs="Times New Roman"/>
          <w:color w:val="auto"/>
          <w:spacing w:val="-6"/>
          <w:kern w:val="0"/>
          <w:szCs w:val="21"/>
          <w:highlight w:val="none"/>
        </w:rPr>
      </w:pPr>
      <w:r>
        <w:rPr>
          <w:rFonts w:hint="default" w:ascii="Times New Roman" w:hAnsi="Times New Roman" w:cs="Times New Roman"/>
          <w:color w:val="auto"/>
          <w:spacing w:val="-6"/>
          <w:kern w:val="0"/>
          <w:szCs w:val="21"/>
          <w:highlight w:val="none"/>
        </w:rPr>
        <w:t>《排污许可证申请与核发技术规范 总则》</w:t>
      </w:r>
      <w:r>
        <w:rPr>
          <w:rFonts w:hint="default" w:ascii="Times New Roman" w:hAnsi="Times New Roman" w:cs="Times New Roman"/>
          <w:color w:val="auto"/>
          <w:spacing w:val="-6"/>
          <w:kern w:val="0"/>
          <w:szCs w:val="21"/>
          <w:highlight w:val="none"/>
          <w:lang w:eastAsia="zh-CN"/>
        </w:rPr>
        <w:t>（</w:t>
      </w:r>
      <w:r>
        <w:rPr>
          <w:rFonts w:hint="default" w:ascii="Times New Roman" w:hAnsi="Times New Roman" w:cs="Times New Roman"/>
          <w:color w:val="auto"/>
          <w:spacing w:val="-6"/>
          <w:kern w:val="0"/>
          <w:szCs w:val="21"/>
          <w:highlight w:val="none"/>
        </w:rPr>
        <w:t>HJ942-2018</w:t>
      </w:r>
      <w:r>
        <w:rPr>
          <w:rFonts w:hint="default" w:ascii="Times New Roman" w:hAnsi="Times New Roman" w:cs="Times New Roman"/>
          <w:color w:val="auto"/>
          <w:spacing w:val="-6"/>
          <w:kern w:val="0"/>
          <w:szCs w:val="21"/>
          <w:highlight w:val="none"/>
          <w:lang w:eastAsia="zh-CN"/>
        </w:rPr>
        <w:t>）</w:t>
      </w:r>
      <w:r>
        <w:rPr>
          <w:rFonts w:hint="default" w:ascii="Times New Roman" w:hAnsi="Times New Roman" w:cs="Times New Roman"/>
          <w:color w:val="auto"/>
          <w:spacing w:val="-6"/>
          <w:kern w:val="0"/>
          <w:szCs w:val="21"/>
          <w:highlight w:val="none"/>
        </w:rPr>
        <w:t> ；</w:t>
      </w:r>
    </w:p>
    <w:p>
      <w:pPr>
        <w:pageBreakBefore w:val="0"/>
        <w:numPr>
          <w:ilvl w:val="0"/>
          <w:numId w:val="9"/>
        </w:numPr>
        <w:wordWrap/>
        <w:bidi w:val="0"/>
        <w:adjustRightInd w:val="0"/>
        <w:ind w:left="0" w:leftChars="0" w:right="0" w:rightChars="0" w:firstLine="456" w:firstLineChars="200"/>
        <w:jc w:val="both"/>
        <w:rPr>
          <w:rFonts w:hint="default" w:ascii="Times New Roman" w:hAnsi="Times New Roman" w:cs="Times New Roman"/>
          <w:color w:val="auto"/>
          <w:spacing w:val="-6"/>
          <w:kern w:val="0"/>
          <w:szCs w:val="21"/>
          <w:highlight w:val="none"/>
        </w:rPr>
      </w:pPr>
      <w:r>
        <w:rPr>
          <w:rFonts w:hint="default" w:ascii="Times New Roman" w:hAnsi="Times New Roman" w:cs="Times New Roman"/>
          <w:color w:val="auto"/>
          <w:spacing w:val="-6"/>
          <w:kern w:val="0"/>
          <w:szCs w:val="21"/>
          <w:highlight w:val="none"/>
        </w:rPr>
        <w:t>《污染源源强核算技术指南 准则》（HJ884-2018）；</w:t>
      </w:r>
    </w:p>
    <w:p>
      <w:pPr>
        <w:pageBreakBefore w:val="0"/>
        <w:numPr>
          <w:ilvl w:val="0"/>
          <w:numId w:val="9"/>
        </w:numPr>
        <w:wordWrap/>
        <w:bidi w:val="0"/>
        <w:adjustRightInd w:val="0"/>
        <w:ind w:left="0" w:leftChars="0" w:right="0" w:rightChars="0" w:firstLine="456" w:firstLineChars="200"/>
        <w:jc w:val="both"/>
        <w:rPr>
          <w:rFonts w:hint="default" w:ascii="Times New Roman" w:hAnsi="Times New Roman" w:cs="Times New Roman"/>
          <w:color w:val="auto"/>
          <w:spacing w:val="-6"/>
          <w:kern w:val="0"/>
          <w:szCs w:val="21"/>
          <w:highlight w:val="none"/>
        </w:rPr>
      </w:pPr>
      <w:r>
        <w:rPr>
          <w:rFonts w:hint="default" w:ascii="Times New Roman" w:hAnsi="Times New Roman" w:cs="Times New Roman"/>
          <w:color w:val="auto"/>
          <w:spacing w:val="-6"/>
          <w:kern w:val="0"/>
          <w:szCs w:val="21"/>
          <w:highlight w:val="none"/>
        </w:rPr>
        <w:t>《农业固体废物污染控制技术规范》</w:t>
      </w:r>
      <w:r>
        <w:rPr>
          <w:rFonts w:hint="default" w:ascii="Times New Roman" w:hAnsi="Times New Roman" w:cs="Times New Roman"/>
          <w:color w:val="auto"/>
          <w:spacing w:val="-6"/>
          <w:kern w:val="0"/>
          <w:szCs w:val="21"/>
          <w:highlight w:val="none"/>
          <w:lang w:val="en-US" w:eastAsia="zh-CN"/>
        </w:rPr>
        <w:t>（HJ588-2010）</w:t>
      </w:r>
      <w:r>
        <w:rPr>
          <w:rFonts w:hint="default" w:ascii="Times New Roman" w:hAnsi="Times New Roman" w:cs="Times New Roman"/>
          <w:color w:val="auto"/>
          <w:spacing w:val="-6"/>
          <w:kern w:val="0"/>
          <w:szCs w:val="21"/>
          <w:highlight w:val="none"/>
        </w:rPr>
        <w:t>；</w:t>
      </w:r>
    </w:p>
    <w:p>
      <w:pPr>
        <w:pageBreakBefore w:val="0"/>
        <w:numPr>
          <w:ilvl w:val="0"/>
          <w:numId w:val="9"/>
        </w:numPr>
        <w:wordWrap/>
        <w:bidi w:val="0"/>
        <w:adjustRightInd w:val="0"/>
        <w:ind w:left="0" w:leftChars="0" w:right="0" w:rightChars="0" w:firstLine="456" w:firstLineChars="200"/>
        <w:jc w:val="both"/>
        <w:rPr>
          <w:rFonts w:hint="default" w:ascii="Times New Roman" w:hAnsi="Times New Roman" w:cs="Times New Roman"/>
          <w:color w:val="auto"/>
          <w:spacing w:val="-6"/>
          <w:kern w:val="0"/>
          <w:szCs w:val="21"/>
          <w:highlight w:val="none"/>
        </w:rPr>
      </w:pPr>
      <w:r>
        <w:rPr>
          <w:rFonts w:hint="default" w:ascii="Times New Roman" w:hAnsi="Times New Roman" w:cs="Times New Roman"/>
          <w:color w:val="auto"/>
          <w:spacing w:val="-6"/>
          <w:kern w:val="0"/>
          <w:szCs w:val="21"/>
          <w:highlight w:val="none"/>
        </w:rPr>
        <w:t>《畜禽场场区设计技术规范》（ NY/T 682-2003）；</w:t>
      </w:r>
    </w:p>
    <w:p>
      <w:pPr>
        <w:pageBreakBefore w:val="0"/>
        <w:numPr>
          <w:ilvl w:val="0"/>
          <w:numId w:val="9"/>
        </w:numPr>
        <w:wordWrap/>
        <w:bidi w:val="0"/>
        <w:adjustRightInd w:val="0"/>
        <w:ind w:left="0" w:leftChars="0" w:right="0" w:rightChars="0" w:firstLine="456" w:firstLineChars="200"/>
        <w:jc w:val="both"/>
        <w:rPr>
          <w:rFonts w:hint="default" w:ascii="Times New Roman" w:hAnsi="Times New Roman" w:cs="Times New Roman"/>
          <w:color w:val="auto"/>
          <w:spacing w:val="-6"/>
          <w:kern w:val="0"/>
          <w:szCs w:val="21"/>
          <w:highlight w:val="none"/>
        </w:rPr>
      </w:pPr>
      <w:r>
        <w:rPr>
          <w:rFonts w:hint="default" w:ascii="Times New Roman" w:hAnsi="Times New Roman" w:cs="Times New Roman"/>
          <w:color w:val="auto"/>
          <w:spacing w:val="-6"/>
          <w:kern w:val="0"/>
          <w:szCs w:val="21"/>
          <w:highlight w:val="none"/>
        </w:rPr>
        <w:t>《病死及病害动物无害化处理技术规范》（农医发[2017]25号）</w:t>
      </w:r>
      <w:r>
        <w:rPr>
          <w:rFonts w:hint="default" w:ascii="Times New Roman" w:hAnsi="Times New Roman" w:cs="Times New Roman"/>
          <w:color w:val="auto"/>
          <w:spacing w:val="-6"/>
          <w:kern w:val="0"/>
          <w:szCs w:val="21"/>
          <w:highlight w:val="none"/>
          <w:lang w:val="zh-CN"/>
        </w:rPr>
        <w:t>；</w:t>
      </w:r>
    </w:p>
    <w:p>
      <w:pPr>
        <w:pageBreakBefore w:val="0"/>
        <w:numPr>
          <w:ilvl w:val="0"/>
          <w:numId w:val="9"/>
        </w:numPr>
        <w:wordWrap/>
        <w:bidi w:val="0"/>
        <w:adjustRightInd w:val="0"/>
        <w:ind w:left="0" w:leftChars="0" w:right="0" w:rightChars="0" w:firstLine="436" w:firstLineChars="200"/>
        <w:jc w:val="both"/>
        <w:rPr>
          <w:rFonts w:hint="default" w:ascii="Times New Roman" w:hAnsi="Times New Roman" w:cs="Times New Roman"/>
          <w:color w:val="auto"/>
          <w:spacing w:val="-11"/>
          <w:kern w:val="0"/>
          <w:szCs w:val="21"/>
          <w:highlight w:val="none"/>
        </w:rPr>
      </w:pPr>
      <w:r>
        <w:rPr>
          <w:rFonts w:hint="default" w:ascii="Times New Roman" w:hAnsi="Times New Roman" w:cs="Times New Roman"/>
          <w:color w:val="auto"/>
          <w:spacing w:val="-11"/>
          <w:kern w:val="0"/>
          <w:szCs w:val="21"/>
          <w:highlight w:val="none"/>
        </w:rPr>
        <w:t>《畜禽规模养殖场粪污资源化利用设施建设规范（试行）》（农医发[2017]25号）；</w:t>
      </w:r>
    </w:p>
    <w:p>
      <w:pPr>
        <w:pageBreakBefore w:val="0"/>
        <w:numPr>
          <w:ilvl w:val="0"/>
          <w:numId w:val="9"/>
        </w:numPr>
        <w:wordWrap/>
        <w:bidi w:val="0"/>
        <w:adjustRightInd w:val="0"/>
        <w:ind w:left="0" w:leftChars="0" w:right="0" w:rightChars="0" w:firstLine="456" w:firstLineChars="200"/>
        <w:jc w:val="both"/>
        <w:rPr>
          <w:rFonts w:hint="default" w:ascii="Times New Roman" w:hAnsi="Times New Roman" w:cs="Times New Roman"/>
          <w:color w:val="auto"/>
          <w:spacing w:val="-6"/>
          <w:kern w:val="0"/>
          <w:szCs w:val="21"/>
          <w:highlight w:val="none"/>
        </w:rPr>
      </w:pPr>
      <w:r>
        <w:rPr>
          <w:rFonts w:hint="default" w:ascii="Times New Roman" w:hAnsi="Times New Roman" w:cs="Times New Roman"/>
          <w:color w:val="auto"/>
          <w:spacing w:val="-6"/>
          <w:kern w:val="0"/>
          <w:szCs w:val="21"/>
          <w:highlight w:val="none"/>
        </w:rPr>
        <w:t>《病害动物和病害动物产品生物安全处理规程》（GB 16548-2006）；</w:t>
      </w:r>
    </w:p>
    <w:p>
      <w:pPr>
        <w:pageBreakBefore w:val="0"/>
        <w:numPr>
          <w:ilvl w:val="0"/>
          <w:numId w:val="9"/>
        </w:numPr>
        <w:wordWrap/>
        <w:bidi w:val="0"/>
        <w:adjustRightInd w:val="0"/>
        <w:ind w:left="0" w:leftChars="0" w:right="0" w:rightChars="0" w:firstLine="456" w:firstLineChars="200"/>
        <w:jc w:val="both"/>
        <w:rPr>
          <w:rFonts w:hint="default" w:ascii="Times New Roman" w:hAnsi="Times New Roman" w:cs="Times New Roman"/>
          <w:color w:val="auto"/>
          <w:spacing w:val="-6"/>
          <w:kern w:val="0"/>
          <w:szCs w:val="21"/>
          <w:highlight w:val="none"/>
        </w:rPr>
      </w:pPr>
      <w:r>
        <w:rPr>
          <w:rFonts w:hint="default" w:ascii="Times New Roman" w:hAnsi="Times New Roman" w:cs="Times New Roman"/>
          <w:color w:val="auto"/>
          <w:spacing w:val="-6"/>
          <w:kern w:val="0"/>
          <w:szCs w:val="21"/>
          <w:highlight w:val="none"/>
        </w:rPr>
        <w:t>《畜禽粪便贮存设施设计要求》（GB∕T 27622-2011 ）；</w:t>
      </w:r>
    </w:p>
    <w:p>
      <w:pPr>
        <w:pageBreakBefore w:val="0"/>
        <w:numPr>
          <w:ilvl w:val="0"/>
          <w:numId w:val="9"/>
        </w:numPr>
        <w:wordWrap/>
        <w:bidi w:val="0"/>
        <w:adjustRightInd w:val="0"/>
        <w:ind w:left="0" w:leftChars="0" w:right="0" w:rightChars="0" w:firstLine="456" w:firstLineChars="200"/>
        <w:jc w:val="both"/>
        <w:rPr>
          <w:rFonts w:hint="default" w:ascii="Times New Roman" w:hAnsi="Times New Roman" w:cs="Times New Roman"/>
          <w:color w:val="auto"/>
          <w:spacing w:val="-6"/>
          <w:kern w:val="0"/>
          <w:szCs w:val="21"/>
          <w:highlight w:val="none"/>
        </w:rPr>
      </w:pPr>
      <w:r>
        <w:rPr>
          <w:rFonts w:hint="default" w:ascii="Times New Roman" w:hAnsi="Times New Roman" w:cs="Times New Roman"/>
          <w:color w:val="auto"/>
          <w:spacing w:val="-6"/>
          <w:kern w:val="0"/>
          <w:szCs w:val="21"/>
          <w:highlight w:val="none"/>
        </w:rPr>
        <w:t>《畜禽养殖污水贮存设施设计要求》（GB/T26624-2011）</w:t>
      </w:r>
    </w:p>
    <w:p>
      <w:pPr>
        <w:pageBreakBefore w:val="0"/>
        <w:numPr>
          <w:ilvl w:val="0"/>
          <w:numId w:val="9"/>
        </w:numPr>
        <w:wordWrap/>
        <w:bidi w:val="0"/>
        <w:adjustRightInd w:val="0"/>
        <w:ind w:left="0" w:leftChars="0" w:right="0" w:rightChars="0" w:firstLine="456" w:firstLineChars="200"/>
        <w:jc w:val="both"/>
        <w:rPr>
          <w:rFonts w:hint="default" w:ascii="Times New Roman" w:hAnsi="Times New Roman" w:cs="Times New Roman"/>
          <w:color w:val="auto"/>
          <w:spacing w:val="-6"/>
          <w:kern w:val="0"/>
          <w:szCs w:val="21"/>
          <w:highlight w:val="none"/>
        </w:rPr>
      </w:pPr>
      <w:r>
        <w:rPr>
          <w:rFonts w:hint="default" w:ascii="Times New Roman" w:hAnsi="Times New Roman" w:cs="Times New Roman"/>
          <w:color w:val="auto"/>
          <w:spacing w:val="-6"/>
          <w:kern w:val="0"/>
          <w:szCs w:val="21"/>
          <w:highlight w:val="none"/>
        </w:rPr>
        <w:t>《粪便无害化卫生要求》（GB7959-2012）</w:t>
      </w:r>
      <w:r>
        <w:rPr>
          <w:rFonts w:hint="default" w:ascii="Times New Roman" w:hAnsi="Times New Roman" w:cs="Times New Roman"/>
          <w:color w:val="auto"/>
          <w:spacing w:val="-6"/>
          <w:kern w:val="0"/>
          <w:szCs w:val="21"/>
          <w:highlight w:val="none"/>
          <w:lang w:eastAsia="zh-CN"/>
        </w:rPr>
        <w:t>；</w:t>
      </w:r>
    </w:p>
    <w:p>
      <w:pPr>
        <w:pageBreakBefore w:val="0"/>
        <w:numPr>
          <w:ilvl w:val="0"/>
          <w:numId w:val="9"/>
        </w:numPr>
        <w:wordWrap/>
        <w:bidi w:val="0"/>
        <w:adjustRightInd w:val="0"/>
        <w:ind w:left="0" w:leftChars="0" w:right="0" w:rightChars="0" w:firstLine="456" w:firstLineChars="200"/>
        <w:jc w:val="both"/>
        <w:rPr>
          <w:rFonts w:hint="default" w:ascii="Times New Roman" w:hAnsi="Times New Roman" w:cs="Times New Roman"/>
          <w:color w:val="auto"/>
          <w:spacing w:val="-6"/>
          <w:kern w:val="0"/>
          <w:szCs w:val="21"/>
          <w:highlight w:val="none"/>
        </w:rPr>
      </w:pPr>
      <w:r>
        <w:rPr>
          <w:rFonts w:hint="default" w:ascii="Times New Roman" w:hAnsi="Times New Roman" w:cs="Times New Roman"/>
          <w:color w:val="auto"/>
          <w:spacing w:val="-6"/>
          <w:kern w:val="0"/>
          <w:szCs w:val="21"/>
          <w:highlight w:val="none"/>
          <w:lang w:val="zh-CN"/>
        </w:rPr>
        <w:t>《规模畜禽养殖场污染防治最佳可行技术指南（试行）》</w:t>
      </w:r>
      <w:r>
        <w:rPr>
          <w:rFonts w:hint="default" w:ascii="Times New Roman" w:hAnsi="Times New Roman" w:cs="Times New Roman"/>
          <w:color w:val="auto"/>
          <w:spacing w:val="-6"/>
          <w:kern w:val="0"/>
          <w:szCs w:val="21"/>
          <w:highlight w:val="none"/>
        </w:rPr>
        <w:t>（HJ-BAT-10）；</w:t>
      </w:r>
    </w:p>
    <w:p>
      <w:pPr>
        <w:pageBreakBefore w:val="0"/>
        <w:numPr>
          <w:ilvl w:val="0"/>
          <w:numId w:val="9"/>
        </w:numPr>
        <w:wordWrap/>
        <w:bidi w:val="0"/>
        <w:adjustRightInd w:val="0"/>
        <w:ind w:left="0" w:leftChars="0" w:right="0" w:rightChars="0" w:firstLine="456" w:firstLineChars="200"/>
        <w:jc w:val="both"/>
        <w:rPr>
          <w:rFonts w:hint="default" w:ascii="Times New Roman" w:hAnsi="Times New Roman" w:cs="Times New Roman"/>
          <w:color w:val="auto"/>
          <w:spacing w:val="-6"/>
          <w:kern w:val="0"/>
          <w:szCs w:val="21"/>
          <w:highlight w:val="none"/>
        </w:rPr>
      </w:pPr>
      <w:r>
        <w:rPr>
          <w:rFonts w:hint="default" w:ascii="Times New Roman" w:hAnsi="Times New Roman" w:cs="Times New Roman"/>
          <w:color w:val="auto"/>
          <w:spacing w:val="-6"/>
          <w:kern w:val="0"/>
          <w:szCs w:val="21"/>
          <w:highlight w:val="none"/>
        </w:rPr>
        <w:t>《固体废物鉴别标准 通则》（GB34330-2017）;</w:t>
      </w:r>
    </w:p>
    <w:p>
      <w:pPr>
        <w:pageBreakBefore w:val="0"/>
        <w:numPr>
          <w:ilvl w:val="0"/>
          <w:numId w:val="9"/>
        </w:numPr>
        <w:wordWrap/>
        <w:bidi w:val="0"/>
        <w:adjustRightInd w:val="0"/>
        <w:ind w:left="0" w:leftChars="0" w:right="0" w:rightChars="0" w:firstLine="456" w:firstLineChars="200"/>
        <w:jc w:val="both"/>
        <w:rPr>
          <w:rFonts w:hint="default" w:ascii="Times New Roman" w:hAnsi="Times New Roman" w:cs="Times New Roman"/>
          <w:color w:val="auto"/>
          <w:spacing w:val="-6"/>
          <w:kern w:val="0"/>
          <w:szCs w:val="21"/>
          <w:highlight w:val="none"/>
        </w:rPr>
      </w:pPr>
      <w:r>
        <w:rPr>
          <w:rFonts w:hint="default" w:ascii="Times New Roman" w:hAnsi="Times New Roman" w:cs="Times New Roman"/>
          <w:color w:val="auto"/>
          <w:spacing w:val="-6"/>
          <w:kern w:val="0"/>
          <w:szCs w:val="21"/>
          <w:highlight w:val="none"/>
        </w:rPr>
        <w:t>《危险废物废物鉴别标准 通则》（GB 5085.7-2019）；</w:t>
      </w:r>
    </w:p>
    <w:p>
      <w:pPr>
        <w:pageBreakBefore w:val="0"/>
        <w:numPr>
          <w:ilvl w:val="0"/>
          <w:numId w:val="9"/>
        </w:numPr>
        <w:wordWrap/>
        <w:bidi w:val="0"/>
        <w:adjustRightInd w:val="0"/>
        <w:ind w:left="0" w:leftChars="0" w:right="0" w:rightChars="0" w:firstLine="456" w:firstLineChars="200"/>
        <w:jc w:val="both"/>
        <w:rPr>
          <w:rFonts w:hint="eastAsia"/>
          <w:color w:val="auto"/>
          <w:lang w:val="en-US" w:eastAsia="zh-CN"/>
        </w:rPr>
      </w:pPr>
      <w:r>
        <w:rPr>
          <w:rFonts w:hint="eastAsia" w:ascii="Times New Roman" w:hAnsi="Times New Roman" w:cs="Times New Roman"/>
          <w:color w:val="auto"/>
          <w:spacing w:val="-6"/>
          <w:kern w:val="0"/>
          <w:szCs w:val="21"/>
          <w:highlight w:val="none"/>
          <w:lang w:val="en-US" w:eastAsia="zh-CN"/>
        </w:rPr>
        <w:t>《大气污染治理工程技术导则》（</w:t>
      </w:r>
      <w:r>
        <w:rPr>
          <w:rFonts w:hint="eastAsia" w:ascii="Times New Roman" w:hAnsi="Times New Roman" w:cs="Times New Roman"/>
          <w:color w:val="auto"/>
          <w:spacing w:val="-6"/>
          <w:kern w:val="0"/>
          <w:szCs w:val="21"/>
          <w:highlight w:val="none"/>
          <w:lang w:val="zh-CN"/>
        </w:rPr>
        <w:t>HJ</w:t>
      </w:r>
      <w:r>
        <w:rPr>
          <w:rFonts w:hint="eastAsia" w:ascii="Times New Roman" w:hAnsi="Times New Roman" w:cs="Times New Roman"/>
          <w:color w:val="auto"/>
          <w:spacing w:val="-6"/>
          <w:kern w:val="0"/>
          <w:szCs w:val="21"/>
          <w:highlight w:val="none"/>
          <w:lang w:val="en-US" w:eastAsia="zh-CN"/>
        </w:rPr>
        <w:t xml:space="preserve"> </w:t>
      </w:r>
      <w:r>
        <w:rPr>
          <w:rFonts w:hint="eastAsia" w:ascii="Times New Roman" w:hAnsi="Times New Roman" w:cs="Times New Roman"/>
          <w:color w:val="auto"/>
          <w:spacing w:val="-6"/>
          <w:kern w:val="0"/>
          <w:szCs w:val="21"/>
          <w:highlight w:val="none"/>
          <w:lang w:val="zh-CN"/>
        </w:rPr>
        <w:t xml:space="preserve"> 2000-2010</w:t>
      </w:r>
      <w:r>
        <w:rPr>
          <w:rFonts w:hint="eastAsia"/>
          <w:color w:val="auto"/>
          <w:lang w:val="en-US" w:eastAsia="zh-CN"/>
        </w:rPr>
        <w:t>）；</w:t>
      </w:r>
    </w:p>
    <w:p>
      <w:pPr>
        <w:pageBreakBefore w:val="0"/>
        <w:numPr>
          <w:ilvl w:val="0"/>
          <w:numId w:val="9"/>
        </w:numPr>
        <w:wordWrap/>
        <w:bidi w:val="0"/>
        <w:adjustRightInd w:val="0"/>
        <w:ind w:left="0" w:leftChars="0" w:right="0" w:rightChars="0" w:firstLine="456" w:firstLineChars="200"/>
        <w:jc w:val="both"/>
        <w:rPr>
          <w:rFonts w:hint="default" w:ascii="Times New Roman" w:hAnsi="Times New Roman" w:cs="Times New Roman"/>
          <w:color w:val="auto"/>
          <w:spacing w:val="-6"/>
          <w:kern w:val="0"/>
          <w:szCs w:val="21"/>
          <w:highlight w:val="none"/>
          <w:lang w:val="en-US" w:eastAsia="zh-CN"/>
        </w:rPr>
      </w:pPr>
      <w:r>
        <w:rPr>
          <w:rFonts w:hint="eastAsia" w:ascii="Times New Roman" w:hAnsi="Times New Roman" w:cs="Times New Roman"/>
          <w:color w:val="auto"/>
          <w:spacing w:val="-6"/>
          <w:kern w:val="0"/>
          <w:szCs w:val="21"/>
          <w:highlight w:val="none"/>
          <w:lang w:val="en-US" w:eastAsia="zh-CN"/>
        </w:rPr>
        <w:t>《水污染治理工程技术导则》（HJ 2015-2012）；</w:t>
      </w:r>
    </w:p>
    <w:p>
      <w:pPr>
        <w:pageBreakBefore w:val="0"/>
        <w:numPr>
          <w:ilvl w:val="0"/>
          <w:numId w:val="9"/>
        </w:numPr>
        <w:wordWrap/>
        <w:bidi w:val="0"/>
        <w:adjustRightInd w:val="0"/>
        <w:ind w:left="0" w:leftChars="0" w:right="0" w:rightChars="0" w:firstLine="456" w:firstLineChars="200"/>
        <w:jc w:val="both"/>
        <w:rPr>
          <w:rFonts w:hint="default" w:ascii="Times New Roman" w:hAnsi="Times New Roman" w:cs="Times New Roman"/>
          <w:color w:val="auto"/>
          <w:spacing w:val="-6"/>
          <w:kern w:val="0"/>
          <w:szCs w:val="21"/>
          <w:highlight w:val="none"/>
          <w:lang w:val="en-US" w:eastAsia="zh-CN"/>
        </w:rPr>
      </w:pPr>
      <w:r>
        <w:rPr>
          <w:rFonts w:hint="eastAsia" w:ascii="Times New Roman" w:hAnsi="Times New Roman" w:cs="Times New Roman"/>
          <w:color w:val="auto"/>
          <w:spacing w:val="-6"/>
          <w:kern w:val="0"/>
          <w:szCs w:val="21"/>
          <w:highlight w:val="none"/>
          <w:lang w:val="en-US" w:eastAsia="zh-CN"/>
        </w:rPr>
        <w:t>《固体废物处理处置工程技术导则》（HJ 2035-2013）；</w:t>
      </w:r>
    </w:p>
    <w:p>
      <w:pPr>
        <w:pageBreakBefore w:val="0"/>
        <w:numPr>
          <w:ilvl w:val="0"/>
          <w:numId w:val="9"/>
        </w:numPr>
        <w:wordWrap/>
        <w:bidi w:val="0"/>
        <w:adjustRightInd w:val="0"/>
        <w:ind w:left="0" w:leftChars="0" w:right="0" w:rightChars="0" w:firstLine="456" w:firstLineChars="200"/>
        <w:jc w:val="both"/>
        <w:rPr>
          <w:rFonts w:hint="default" w:ascii="Times New Roman" w:hAnsi="Times New Roman" w:cs="Times New Roman"/>
          <w:color w:val="auto"/>
          <w:spacing w:val="-6"/>
          <w:kern w:val="0"/>
          <w:szCs w:val="21"/>
          <w:highlight w:val="none"/>
          <w:lang w:val="en-US" w:eastAsia="zh-CN"/>
        </w:rPr>
      </w:pPr>
      <w:r>
        <w:rPr>
          <w:rFonts w:hint="eastAsia" w:ascii="Times New Roman" w:hAnsi="Times New Roman" w:cs="Times New Roman"/>
          <w:color w:val="auto"/>
          <w:spacing w:val="-6"/>
          <w:kern w:val="0"/>
          <w:szCs w:val="21"/>
          <w:highlight w:val="none"/>
          <w:lang w:val="en-US" w:eastAsia="zh-CN"/>
        </w:rPr>
        <w:t>《畜禽养殖产地环境评价规范》（HJ 568 —2010）；</w:t>
      </w:r>
    </w:p>
    <w:p>
      <w:pPr>
        <w:pageBreakBefore w:val="0"/>
        <w:numPr>
          <w:ilvl w:val="0"/>
          <w:numId w:val="9"/>
        </w:numPr>
        <w:wordWrap/>
        <w:bidi w:val="0"/>
        <w:adjustRightInd w:val="0"/>
        <w:ind w:left="0" w:leftChars="0" w:right="0" w:rightChars="0" w:firstLine="456" w:firstLineChars="200"/>
        <w:jc w:val="both"/>
        <w:rPr>
          <w:rFonts w:hint="default" w:ascii="Times New Roman" w:hAnsi="Times New Roman" w:cs="Times New Roman"/>
          <w:color w:val="auto"/>
          <w:spacing w:val="-6"/>
          <w:kern w:val="0"/>
          <w:szCs w:val="21"/>
          <w:highlight w:val="none"/>
          <w:lang w:val="en-US" w:eastAsia="zh-CN"/>
        </w:rPr>
      </w:pPr>
      <w:r>
        <w:rPr>
          <w:rFonts w:hint="default" w:ascii="Times New Roman" w:hAnsi="Times New Roman" w:cs="Times New Roman"/>
          <w:color w:val="auto"/>
          <w:spacing w:val="-6"/>
          <w:kern w:val="0"/>
          <w:szCs w:val="21"/>
          <w:highlight w:val="none"/>
          <w:lang w:val="zh-CN" w:eastAsia="zh-CN"/>
        </w:rPr>
        <w:t>《</w:t>
      </w:r>
      <w:r>
        <w:rPr>
          <w:rFonts w:hint="default" w:ascii="Times New Roman" w:hAnsi="Times New Roman" w:cs="Times New Roman"/>
          <w:color w:val="auto"/>
          <w:spacing w:val="-6"/>
          <w:kern w:val="0"/>
          <w:szCs w:val="21"/>
          <w:highlight w:val="none"/>
          <w:lang w:val="en-US" w:eastAsia="zh-CN"/>
        </w:rPr>
        <w:t>畜禽场环境质量及卫生控制规范</w:t>
      </w:r>
      <w:r>
        <w:rPr>
          <w:rFonts w:hint="default" w:ascii="Times New Roman" w:hAnsi="Times New Roman" w:cs="Times New Roman"/>
          <w:color w:val="auto"/>
          <w:spacing w:val="-6"/>
          <w:kern w:val="0"/>
          <w:szCs w:val="21"/>
          <w:highlight w:val="none"/>
          <w:lang w:val="zh-CN" w:eastAsia="zh-CN"/>
        </w:rPr>
        <w:t>》</w:t>
      </w:r>
      <w:r>
        <w:rPr>
          <w:rFonts w:hint="eastAsia" w:ascii="Times New Roman" w:hAnsi="Times New Roman" w:cs="Times New Roman"/>
          <w:color w:val="auto"/>
          <w:spacing w:val="-6"/>
          <w:kern w:val="0"/>
          <w:szCs w:val="21"/>
          <w:highlight w:val="none"/>
          <w:lang w:val="zh-CN" w:eastAsia="zh-CN"/>
        </w:rPr>
        <w:t>（</w:t>
      </w:r>
      <w:r>
        <w:rPr>
          <w:rFonts w:hint="eastAsia" w:ascii="Times New Roman" w:hAnsi="Times New Roman" w:cs="Times New Roman"/>
          <w:color w:val="auto"/>
          <w:spacing w:val="-6"/>
          <w:kern w:val="0"/>
          <w:szCs w:val="21"/>
          <w:highlight w:val="none"/>
          <w:lang w:val="en-US" w:eastAsia="zh-CN"/>
        </w:rPr>
        <w:fldChar w:fldCharType="begin"/>
      </w:r>
      <w:r>
        <w:rPr>
          <w:rFonts w:hint="eastAsia" w:ascii="Times New Roman" w:hAnsi="Times New Roman" w:cs="Times New Roman"/>
          <w:color w:val="auto"/>
          <w:spacing w:val="-6"/>
          <w:kern w:val="0"/>
          <w:szCs w:val="21"/>
          <w:highlight w:val="none"/>
          <w:lang w:val="en-US" w:eastAsia="zh-CN"/>
        </w:rPr>
        <w:instrText xml:space="preserve"> HYPERLINK "http://down.foodmate.net/standard/sort/5/10830.html" \t "https://cn.bing.com/_blank" </w:instrText>
      </w:r>
      <w:r>
        <w:rPr>
          <w:rFonts w:hint="eastAsia" w:ascii="Times New Roman" w:hAnsi="Times New Roman" w:cs="Times New Roman"/>
          <w:color w:val="auto"/>
          <w:spacing w:val="-6"/>
          <w:kern w:val="0"/>
          <w:szCs w:val="21"/>
          <w:highlight w:val="none"/>
          <w:lang w:val="en-US" w:eastAsia="zh-CN"/>
        </w:rPr>
        <w:fldChar w:fldCharType="separate"/>
      </w:r>
      <w:r>
        <w:rPr>
          <w:rFonts w:hint="eastAsia" w:ascii="Times New Roman" w:hAnsi="Times New Roman" w:cs="Times New Roman"/>
          <w:color w:val="auto"/>
          <w:spacing w:val="-6"/>
          <w:kern w:val="0"/>
          <w:szCs w:val="21"/>
          <w:highlight w:val="none"/>
          <w:lang w:val="en-US" w:eastAsia="zh-CN"/>
        </w:rPr>
        <w:t>NY/T 1167-2006</w:t>
      </w:r>
      <w:r>
        <w:rPr>
          <w:rFonts w:hint="eastAsia" w:ascii="Times New Roman" w:hAnsi="Times New Roman" w:cs="Times New Roman"/>
          <w:color w:val="auto"/>
          <w:spacing w:val="-6"/>
          <w:kern w:val="0"/>
          <w:szCs w:val="21"/>
          <w:highlight w:val="none"/>
          <w:lang w:val="en-US" w:eastAsia="zh-CN"/>
        </w:rPr>
        <w:fldChar w:fldCharType="end"/>
      </w:r>
      <w:r>
        <w:rPr>
          <w:rFonts w:hint="eastAsia" w:ascii="Times New Roman" w:hAnsi="Times New Roman" w:cs="Times New Roman"/>
          <w:color w:val="auto"/>
          <w:spacing w:val="-6"/>
          <w:kern w:val="0"/>
          <w:szCs w:val="21"/>
          <w:highlight w:val="none"/>
          <w:lang w:val="zh-CN" w:eastAsia="zh-CN"/>
        </w:rPr>
        <w:t>）；</w:t>
      </w:r>
    </w:p>
    <w:p>
      <w:pPr>
        <w:pageBreakBefore w:val="0"/>
        <w:numPr>
          <w:ilvl w:val="0"/>
          <w:numId w:val="9"/>
        </w:numPr>
        <w:wordWrap/>
        <w:bidi w:val="0"/>
        <w:adjustRightInd w:val="0"/>
        <w:ind w:left="0" w:leftChars="0" w:right="0" w:rightChars="0" w:firstLine="456" w:firstLineChars="200"/>
        <w:jc w:val="both"/>
        <w:rPr>
          <w:rFonts w:hint="default" w:ascii="Times New Roman" w:hAnsi="Times New Roman" w:cs="Times New Roman"/>
          <w:color w:val="auto"/>
          <w:spacing w:val="-6"/>
          <w:kern w:val="0"/>
          <w:szCs w:val="21"/>
          <w:highlight w:val="none"/>
          <w:lang w:val="en-US" w:eastAsia="zh-CN"/>
        </w:rPr>
      </w:pPr>
      <w:r>
        <w:rPr>
          <w:rFonts w:hint="eastAsia" w:ascii="Times New Roman" w:hAnsi="Times New Roman" w:cs="Times New Roman"/>
          <w:color w:val="auto"/>
          <w:spacing w:val="-6"/>
          <w:kern w:val="0"/>
          <w:szCs w:val="21"/>
          <w:highlight w:val="none"/>
          <w:lang w:val="en-US" w:eastAsia="zh-CN"/>
        </w:rPr>
        <w:t>《</w:t>
      </w:r>
      <w:r>
        <w:rPr>
          <w:rFonts w:hint="default" w:ascii="Times New Roman" w:hAnsi="Times New Roman" w:cs="Times New Roman"/>
          <w:color w:val="auto"/>
          <w:spacing w:val="-6"/>
          <w:kern w:val="0"/>
          <w:szCs w:val="21"/>
          <w:highlight w:val="none"/>
          <w:lang w:val="en-US" w:eastAsia="zh-CN"/>
        </w:rPr>
        <w:fldChar w:fldCharType="begin"/>
      </w:r>
      <w:r>
        <w:rPr>
          <w:rFonts w:hint="default" w:ascii="Times New Roman" w:hAnsi="Times New Roman" w:cs="Times New Roman"/>
          <w:color w:val="auto"/>
          <w:spacing w:val="-6"/>
          <w:kern w:val="0"/>
          <w:szCs w:val="21"/>
          <w:highlight w:val="none"/>
          <w:lang w:val="en-US" w:eastAsia="zh-CN"/>
        </w:rPr>
        <w:instrText xml:space="preserve"> HYPERLINK "https://www.mee.gov.cn/ywgz/fgbz/bz/bzwb/other/qt/201004/W020130201559807315606.pdf" </w:instrText>
      </w:r>
      <w:r>
        <w:rPr>
          <w:rFonts w:hint="default" w:ascii="Times New Roman" w:hAnsi="Times New Roman" w:cs="Times New Roman"/>
          <w:color w:val="auto"/>
          <w:spacing w:val="-6"/>
          <w:kern w:val="0"/>
          <w:szCs w:val="21"/>
          <w:highlight w:val="none"/>
          <w:lang w:val="en-US" w:eastAsia="zh-CN"/>
        </w:rPr>
        <w:fldChar w:fldCharType="separate"/>
      </w:r>
      <w:r>
        <w:rPr>
          <w:rFonts w:hint="eastAsia" w:ascii="Times New Roman" w:hAnsi="Times New Roman" w:cs="Times New Roman"/>
          <w:color w:val="auto"/>
          <w:spacing w:val="-6"/>
          <w:kern w:val="0"/>
          <w:szCs w:val="21"/>
          <w:highlight w:val="none"/>
          <w:lang w:val="en-US" w:eastAsia="zh-CN"/>
        </w:rPr>
        <w:t>畜禽养殖产地环境评价规范》（HJ 568 —2010）</w:t>
      </w:r>
      <w:r>
        <w:rPr>
          <w:rFonts w:hint="eastAsia" w:ascii="Times New Roman" w:hAnsi="Times New Roman" w:cs="Times New Roman"/>
          <w:color w:val="auto"/>
          <w:spacing w:val="-6"/>
          <w:kern w:val="0"/>
          <w:szCs w:val="21"/>
          <w:highlight w:val="none"/>
          <w:lang w:val="en-US" w:eastAsia="zh-CN"/>
        </w:rPr>
        <w:fldChar w:fldCharType="end"/>
      </w:r>
      <w:r>
        <w:rPr>
          <w:rFonts w:hint="eastAsia" w:ascii="Times New Roman" w:hAnsi="Times New Roman" w:cs="Times New Roman"/>
          <w:color w:val="auto"/>
          <w:spacing w:val="-6"/>
          <w:kern w:val="0"/>
          <w:szCs w:val="21"/>
          <w:highlight w:val="none"/>
          <w:lang w:val="en-US" w:eastAsia="zh-CN"/>
        </w:rPr>
        <w:t>；</w:t>
      </w:r>
    </w:p>
    <w:p>
      <w:pPr>
        <w:pageBreakBefore w:val="0"/>
        <w:numPr>
          <w:ilvl w:val="0"/>
          <w:numId w:val="9"/>
        </w:numPr>
        <w:wordWrap/>
        <w:bidi w:val="0"/>
        <w:adjustRightInd w:val="0"/>
        <w:ind w:left="0" w:leftChars="0" w:right="0" w:rightChars="0" w:firstLine="456" w:firstLineChars="200"/>
        <w:jc w:val="both"/>
        <w:rPr>
          <w:rFonts w:hint="default" w:ascii="Times New Roman" w:hAnsi="Times New Roman" w:cs="Times New Roman"/>
          <w:color w:val="auto"/>
          <w:spacing w:val="-6"/>
          <w:kern w:val="0"/>
          <w:szCs w:val="21"/>
          <w:highlight w:val="none"/>
          <w:lang w:val="en-US" w:eastAsia="zh-CN"/>
        </w:rPr>
      </w:pPr>
      <w:r>
        <w:rPr>
          <w:rFonts w:hint="eastAsia" w:ascii="Times New Roman" w:hAnsi="Times New Roman" w:cs="Times New Roman"/>
          <w:color w:val="auto"/>
          <w:spacing w:val="-6"/>
          <w:kern w:val="0"/>
          <w:szCs w:val="21"/>
          <w:highlight w:val="none"/>
          <w:lang w:val="zh-CN" w:eastAsia="zh-CN"/>
        </w:rPr>
        <w:t>《畜禽粪便堆肥技术规范》（NY/T 3442-2019）；</w:t>
      </w:r>
    </w:p>
    <w:p>
      <w:pPr>
        <w:pageBreakBefore w:val="0"/>
        <w:numPr>
          <w:ilvl w:val="0"/>
          <w:numId w:val="9"/>
        </w:numPr>
        <w:wordWrap/>
        <w:bidi w:val="0"/>
        <w:adjustRightInd w:val="0"/>
        <w:ind w:left="0" w:leftChars="0" w:right="0" w:rightChars="0" w:firstLine="456" w:firstLineChars="200"/>
        <w:jc w:val="both"/>
        <w:rPr>
          <w:rFonts w:hint="default" w:ascii="Times New Roman" w:hAnsi="Times New Roman" w:cs="Times New Roman"/>
          <w:color w:val="auto"/>
          <w:spacing w:val="-6"/>
          <w:kern w:val="0"/>
          <w:szCs w:val="21"/>
          <w:highlight w:val="none"/>
          <w:lang w:val="en-US" w:eastAsia="zh-CN"/>
        </w:rPr>
      </w:pPr>
      <w:r>
        <w:rPr>
          <w:rFonts w:hint="eastAsia" w:ascii="Times New Roman" w:hAnsi="Times New Roman" w:cs="Times New Roman"/>
          <w:color w:val="auto"/>
          <w:spacing w:val="-6"/>
          <w:kern w:val="0"/>
          <w:szCs w:val="21"/>
          <w:highlight w:val="none"/>
          <w:lang w:val="en-US" w:eastAsia="zh-CN"/>
        </w:rPr>
        <w:t>《农业部办公厅关于下发&lt;奶牛标准化规模养殖生产技术规范（试行）&gt;的通知》（农办牧〔2008 〕3号）；</w:t>
      </w:r>
    </w:p>
    <w:p>
      <w:pPr>
        <w:pageBreakBefore w:val="0"/>
        <w:numPr>
          <w:ilvl w:val="0"/>
          <w:numId w:val="9"/>
        </w:numPr>
        <w:wordWrap/>
        <w:bidi w:val="0"/>
        <w:adjustRightInd w:val="0"/>
        <w:ind w:left="0" w:leftChars="0" w:right="0" w:rightChars="0" w:firstLine="456" w:firstLineChars="200"/>
        <w:jc w:val="both"/>
        <w:rPr>
          <w:rFonts w:hint="default" w:ascii="Times New Roman" w:hAnsi="Times New Roman" w:cs="Times New Roman"/>
          <w:color w:val="auto"/>
          <w:spacing w:val="-6"/>
          <w:kern w:val="0"/>
          <w:szCs w:val="21"/>
          <w:highlight w:val="none"/>
          <w:lang w:val="en-US" w:eastAsia="zh-CN"/>
        </w:rPr>
      </w:pPr>
      <w:r>
        <w:rPr>
          <w:rFonts w:hint="eastAsia" w:ascii="Times New Roman" w:hAnsi="Times New Roman" w:cs="Times New Roman"/>
          <w:color w:val="auto"/>
          <w:spacing w:val="-6"/>
          <w:kern w:val="0"/>
          <w:szCs w:val="21"/>
          <w:highlight w:val="none"/>
          <w:lang w:val="zh-CN" w:eastAsia="zh-CN"/>
        </w:rPr>
        <w:t>《畜禽粪便污水贮存设施</w:t>
      </w:r>
      <w:r>
        <w:rPr>
          <w:rFonts w:hint="eastAsia" w:ascii="Times New Roman" w:hAnsi="Times New Roman" w:cs="Times New Roman"/>
          <w:color w:val="auto"/>
          <w:spacing w:val="-6"/>
          <w:kern w:val="0"/>
          <w:szCs w:val="21"/>
          <w:highlight w:val="none"/>
          <w:lang w:val="en-US" w:eastAsia="zh-CN"/>
        </w:rPr>
        <w:t>设计要求</w:t>
      </w:r>
      <w:r>
        <w:rPr>
          <w:rFonts w:hint="eastAsia" w:ascii="Times New Roman" w:hAnsi="Times New Roman" w:cs="Times New Roman"/>
          <w:color w:val="auto"/>
          <w:spacing w:val="-6"/>
          <w:kern w:val="0"/>
          <w:szCs w:val="21"/>
          <w:highlight w:val="none"/>
          <w:lang w:val="zh-CN" w:eastAsia="zh-CN"/>
        </w:rPr>
        <w:t>》（</w:t>
      </w:r>
      <w:r>
        <w:rPr>
          <w:rFonts w:hint="eastAsia" w:ascii="Times New Roman" w:hAnsi="Times New Roman" w:cs="Times New Roman"/>
          <w:color w:val="auto"/>
          <w:spacing w:val="-6"/>
          <w:kern w:val="0"/>
          <w:szCs w:val="21"/>
          <w:highlight w:val="none"/>
          <w:lang w:val="en-US" w:eastAsia="zh-CN"/>
        </w:rPr>
        <w:fldChar w:fldCharType="begin"/>
      </w:r>
      <w:r>
        <w:rPr>
          <w:rFonts w:hint="eastAsia" w:ascii="Times New Roman" w:hAnsi="Times New Roman" w:cs="Times New Roman"/>
          <w:color w:val="auto"/>
          <w:spacing w:val="-6"/>
          <w:kern w:val="0"/>
          <w:szCs w:val="21"/>
          <w:highlight w:val="none"/>
          <w:lang w:val="en-US" w:eastAsia="zh-CN"/>
        </w:rPr>
        <w:instrText xml:space="preserve"> HYPERLINK "http://www.gd-sct.com/dgweb_content-974020.html" \t "https://cn.bing.com/_blank" </w:instrText>
      </w:r>
      <w:r>
        <w:rPr>
          <w:rFonts w:hint="eastAsia" w:ascii="Times New Roman" w:hAnsi="Times New Roman" w:cs="Times New Roman"/>
          <w:color w:val="auto"/>
          <w:spacing w:val="-6"/>
          <w:kern w:val="0"/>
          <w:szCs w:val="21"/>
          <w:highlight w:val="none"/>
          <w:lang w:val="en-US" w:eastAsia="zh-CN"/>
        </w:rPr>
        <w:fldChar w:fldCharType="separate"/>
      </w:r>
      <w:r>
        <w:rPr>
          <w:rFonts w:hint="eastAsia" w:ascii="Times New Roman" w:hAnsi="Times New Roman" w:cs="Times New Roman"/>
          <w:color w:val="auto"/>
          <w:spacing w:val="-6"/>
          <w:kern w:val="0"/>
          <w:szCs w:val="21"/>
          <w:highlight w:val="none"/>
          <w:lang w:val="en-US" w:eastAsia="zh-CN"/>
        </w:rPr>
        <w:t>GB/T 27622-2011</w:t>
      </w:r>
      <w:r>
        <w:rPr>
          <w:rFonts w:hint="eastAsia" w:ascii="Times New Roman" w:hAnsi="Times New Roman" w:cs="Times New Roman"/>
          <w:color w:val="auto"/>
          <w:spacing w:val="-6"/>
          <w:kern w:val="0"/>
          <w:szCs w:val="21"/>
          <w:highlight w:val="none"/>
          <w:lang w:val="en-US" w:eastAsia="zh-CN"/>
        </w:rPr>
        <w:fldChar w:fldCharType="end"/>
      </w:r>
      <w:r>
        <w:rPr>
          <w:rFonts w:hint="eastAsia" w:ascii="Times New Roman" w:hAnsi="Times New Roman" w:cs="Times New Roman"/>
          <w:color w:val="auto"/>
          <w:spacing w:val="-6"/>
          <w:kern w:val="0"/>
          <w:szCs w:val="21"/>
          <w:highlight w:val="none"/>
          <w:lang w:val="en-US" w:eastAsia="zh-CN"/>
        </w:rPr>
        <w:t>）；</w:t>
      </w:r>
    </w:p>
    <w:p>
      <w:pPr>
        <w:pageBreakBefore w:val="0"/>
        <w:numPr>
          <w:ilvl w:val="0"/>
          <w:numId w:val="9"/>
        </w:numPr>
        <w:wordWrap/>
        <w:bidi w:val="0"/>
        <w:adjustRightInd w:val="0"/>
        <w:ind w:left="0" w:leftChars="0" w:right="0" w:rightChars="0" w:firstLine="456" w:firstLineChars="200"/>
        <w:jc w:val="both"/>
        <w:rPr>
          <w:rFonts w:hint="default" w:ascii="Times New Roman" w:hAnsi="Times New Roman" w:cs="Times New Roman"/>
          <w:color w:val="auto"/>
          <w:spacing w:val="-6"/>
          <w:kern w:val="0"/>
          <w:szCs w:val="21"/>
          <w:highlight w:val="none"/>
          <w:lang w:val="zh-CN" w:eastAsia="zh-CN"/>
        </w:rPr>
      </w:pPr>
      <w:r>
        <w:rPr>
          <w:rFonts w:hint="eastAsia" w:ascii="Times New Roman" w:hAnsi="Times New Roman" w:cs="Times New Roman"/>
          <w:color w:val="auto"/>
          <w:spacing w:val="-6"/>
          <w:kern w:val="0"/>
          <w:szCs w:val="21"/>
          <w:highlight w:val="none"/>
          <w:lang w:val="zh-CN" w:eastAsia="zh-CN"/>
        </w:rPr>
        <w:t>《畜禽粪便农田利用环境</w:t>
      </w:r>
      <w:r>
        <w:rPr>
          <w:rFonts w:hint="eastAsia" w:ascii="Times New Roman" w:hAnsi="Times New Roman" w:cs="Times New Roman"/>
          <w:color w:val="auto"/>
          <w:spacing w:val="-6"/>
          <w:kern w:val="0"/>
          <w:szCs w:val="21"/>
          <w:highlight w:val="none"/>
          <w:lang w:val="en-US" w:eastAsia="zh-CN"/>
        </w:rPr>
        <w:t>影响评价技术准则</w:t>
      </w:r>
      <w:r>
        <w:rPr>
          <w:rFonts w:hint="eastAsia" w:ascii="Times New Roman" w:hAnsi="Times New Roman" w:cs="Times New Roman"/>
          <w:color w:val="auto"/>
          <w:spacing w:val="-6"/>
          <w:kern w:val="0"/>
          <w:szCs w:val="21"/>
          <w:highlight w:val="none"/>
          <w:lang w:val="zh-CN" w:eastAsia="zh-CN"/>
        </w:rPr>
        <w:t>》（GB/T 26622-2011）；</w:t>
      </w:r>
    </w:p>
    <w:p>
      <w:pPr>
        <w:pageBreakBefore w:val="0"/>
        <w:numPr>
          <w:ilvl w:val="0"/>
          <w:numId w:val="9"/>
        </w:numPr>
        <w:wordWrap/>
        <w:bidi w:val="0"/>
        <w:adjustRightInd w:val="0"/>
        <w:ind w:left="0" w:leftChars="0" w:right="0" w:rightChars="0" w:firstLine="456" w:firstLineChars="200"/>
        <w:jc w:val="both"/>
        <w:rPr>
          <w:rFonts w:hint="default" w:ascii="Times New Roman" w:hAnsi="Times New Roman" w:cs="Times New Roman"/>
          <w:color w:val="auto"/>
          <w:spacing w:val="-6"/>
          <w:kern w:val="0"/>
          <w:szCs w:val="21"/>
          <w:highlight w:val="none"/>
          <w:lang w:val="zh-CN" w:eastAsia="zh-CN"/>
        </w:rPr>
      </w:pPr>
      <w:r>
        <w:rPr>
          <w:rFonts w:hint="eastAsia" w:ascii="Times New Roman" w:hAnsi="Times New Roman" w:cs="Times New Roman"/>
          <w:color w:val="auto"/>
          <w:spacing w:val="-6"/>
          <w:kern w:val="0"/>
          <w:szCs w:val="21"/>
          <w:highlight w:val="none"/>
          <w:lang w:val="zh-CN" w:eastAsia="zh-CN"/>
        </w:rPr>
        <w:t>《</w:t>
      </w:r>
      <w:r>
        <w:rPr>
          <w:rFonts w:hint="default" w:ascii="Times New Roman" w:hAnsi="Times New Roman" w:cs="Times New Roman"/>
          <w:color w:val="auto"/>
          <w:spacing w:val="-6"/>
          <w:kern w:val="0"/>
          <w:szCs w:val="21"/>
          <w:highlight w:val="none"/>
          <w:lang w:val="zh-CN" w:eastAsia="zh-CN"/>
        </w:rPr>
        <w:t xml:space="preserve">排污单位自行监测技术指南 </w:t>
      </w:r>
      <w:r>
        <w:rPr>
          <w:rFonts w:hint="eastAsia" w:ascii="Times New Roman" w:hAnsi="Times New Roman" w:cs="Times New Roman"/>
          <w:color w:val="auto"/>
          <w:spacing w:val="-6"/>
          <w:kern w:val="0"/>
          <w:szCs w:val="21"/>
          <w:highlight w:val="none"/>
          <w:lang w:val="en-US" w:eastAsia="zh-CN"/>
        </w:rPr>
        <w:t>畜禽养殖行业</w:t>
      </w:r>
      <w:r>
        <w:rPr>
          <w:rFonts w:hint="default" w:ascii="Times New Roman" w:hAnsi="Times New Roman" w:cs="Times New Roman"/>
          <w:color w:val="auto"/>
          <w:spacing w:val="-6"/>
          <w:kern w:val="0"/>
          <w:szCs w:val="21"/>
          <w:highlight w:val="none"/>
          <w:lang w:val="zh-CN" w:eastAsia="zh-CN"/>
        </w:rPr>
        <w:t>》</w:t>
      </w:r>
      <w:r>
        <w:rPr>
          <w:rFonts w:hint="eastAsia" w:ascii="Times New Roman" w:hAnsi="Times New Roman" w:cs="Times New Roman"/>
          <w:color w:val="auto"/>
          <w:spacing w:val="-6"/>
          <w:kern w:val="0"/>
          <w:szCs w:val="21"/>
          <w:highlight w:val="none"/>
          <w:lang w:val="zh-CN" w:eastAsia="zh-CN"/>
        </w:rPr>
        <w:fldChar w:fldCharType="begin"/>
      </w:r>
      <w:r>
        <w:rPr>
          <w:rFonts w:hint="eastAsia" w:ascii="Times New Roman" w:hAnsi="Times New Roman" w:cs="Times New Roman"/>
          <w:color w:val="auto"/>
          <w:spacing w:val="-6"/>
          <w:kern w:val="0"/>
          <w:szCs w:val="21"/>
          <w:highlight w:val="none"/>
          <w:lang w:val="zh-CN" w:eastAsia="zh-CN"/>
        </w:rPr>
        <w:instrText xml:space="preserve"> HYPERLINK "https://www.mee.gov.cn/ywgz/fgbz/bz/bzwb/jcffbz/202205/W020220517415791127546.pdf" </w:instrText>
      </w:r>
      <w:r>
        <w:rPr>
          <w:rFonts w:hint="eastAsia" w:ascii="Times New Roman" w:hAnsi="Times New Roman" w:cs="Times New Roman"/>
          <w:color w:val="auto"/>
          <w:spacing w:val="-6"/>
          <w:kern w:val="0"/>
          <w:szCs w:val="21"/>
          <w:highlight w:val="none"/>
          <w:lang w:val="zh-CN" w:eastAsia="zh-CN"/>
        </w:rPr>
        <w:fldChar w:fldCharType="separate"/>
      </w:r>
      <w:r>
        <w:rPr>
          <w:rFonts w:hint="eastAsia" w:ascii="Times New Roman" w:hAnsi="Times New Roman" w:cs="Times New Roman"/>
          <w:color w:val="auto"/>
          <w:spacing w:val="-6"/>
          <w:kern w:val="0"/>
          <w:szCs w:val="21"/>
          <w:highlight w:val="none"/>
          <w:lang w:val="zh-CN" w:eastAsia="zh-CN"/>
        </w:rPr>
        <w:t>（HJ 1252—2022）</w:t>
      </w:r>
      <w:r>
        <w:rPr>
          <w:rFonts w:hint="eastAsia" w:ascii="Times New Roman" w:hAnsi="Times New Roman" w:cs="Times New Roman"/>
          <w:color w:val="auto"/>
          <w:spacing w:val="-6"/>
          <w:kern w:val="0"/>
          <w:szCs w:val="21"/>
          <w:highlight w:val="none"/>
          <w:lang w:val="zh-CN" w:eastAsia="zh-CN"/>
        </w:rPr>
        <w:fldChar w:fldCharType="end"/>
      </w:r>
      <w:r>
        <w:rPr>
          <w:rFonts w:hint="eastAsia" w:ascii="Times New Roman" w:hAnsi="Times New Roman" w:cs="Times New Roman"/>
          <w:color w:val="auto"/>
          <w:spacing w:val="-6"/>
          <w:kern w:val="0"/>
          <w:szCs w:val="21"/>
          <w:highlight w:val="none"/>
          <w:lang w:val="zh-CN" w:eastAsia="zh-CN"/>
        </w:rPr>
        <w:t>；</w:t>
      </w:r>
    </w:p>
    <w:p>
      <w:pPr>
        <w:pageBreakBefore w:val="0"/>
        <w:numPr>
          <w:ilvl w:val="0"/>
          <w:numId w:val="9"/>
        </w:numPr>
        <w:wordWrap/>
        <w:bidi w:val="0"/>
        <w:adjustRightInd w:val="0"/>
        <w:ind w:left="0" w:leftChars="0" w:right="0" w:rightChars="0" w:firstLine="456" w:firstLineChars="200"/>
        <w:jc w:val="both"/>
        <w:rPr>
          <w:rFonts w:hint="default" w:ascii="Times New Roman" w:hAnsi="Times New Roman" w:cs="Times New Roman"/>
          <w:color w:val="auto"/>
          <w:spacing w:val="-6"/>
          <w:kern w:val="0"/>
          <w:szCs w:val="21"/>
          <w:highlight w:val="none"/>
          <w:lang w:val="en-US" w:eastAsia="zh-CN"/>
        </w:rPr>
      </w:pPr>
      <w:r>
        <w:rPr>
          <w:rFonts w:hint="eastAsia" w:ascii="Times New Roman" w:hAnsi="Times New Roman" w:cs="Times New Roman"/>
          <w:color w:val="auto"/>
          <w:spacing w:val="-6"/>
          <w:kern w:val="0"/>
          <w:szCs w:val="21"/>
          <w:highlight w:val="none"/>
          <w:lang w:val="zh-CN" w:eastAsia="zh-CN"/>
        </w:rPr>
        <w:t>《</w:t>
      </w:r>
      <w:r>
        <w:rPr>
          <w:rFonts w:hint="eastAsia" w:ascii="Times New Roman" w:hAnsi="Times New Roman" w:cs="Times New Roman"/>
          <w:color w:val="auto"/>
          <w:spacing w:val="-6"/>
          <w:kern w:val="0"/>
          <w:szCs w:val="21"/>
          <w:highlight w:val="none"/>
          <w:lang w:val="zh-CN" w:eastAsia="zh-CN"/>
        </w:rPr>
        <w:fldChar w:fldCharType="begin"/>
      </w:r>
      <w:r>
        <w:rPr>
          <w:rFonts w:hint="eastAsia" w:ascii="Times New Roman" w:hAnsi="Times New Roman" w:cs="Times New Roman"/>
          <w:color w:val="auto"/>
          <w:spacing w:val="-6"/>
          <w:kern w:val="0"/>
          <w:szCs w:val="21"/>
          <w:highlight w:val="none"/>
          <w:lang w:val="zh-CN" w:eastAsia="zh-CN"/>
        </w:rPr>
        <w:instrText xml:space="preserve"> HYPERLINK "https://www.mee.gov.cn/ywgz/fgbz/bz/bzwb/pwxk/202111/W020211112510629890553.pdf" </w:instrText>
      </w:r>
      <w:r>
        <w:rPr>
          <w:rFonts w:hint="eastAsia" w:ascii="Times New Roman" w:hAnsi="Times New Roman" w:cs="Times New Roman"/>
          <w:color w:val="auto"/>
          <w:spacing w:val="-6"/>
          <w:kern w:val="0"/>
          <w:szCs w:val="21"/>
          <w:highlight w:val="none"/>
          <w:lang w:val="zh-CN" w:eastAsia="zh-CN"/>
        </w:rPr>
        <w:fldChar w:fldCharType="separate"/>
      </w:r>
      <w:r>
        <w:rPr>
          <w:rFonts w:hint="eastAsia" w:ascii="Times New Roman" w:hAnsi="Times New Roman" w:cs="Times New Roman"/>
          <w:color w:val="auto"/>
          <w:spacing w:val="-6"/>
          <w:kern w:val="0"/>
          <w:szCs w:val="21"/>
          <w:highlight w:val="none"/>
          <w:lang w:val="zh-CN" w:eastAsia="zh-CN"/>
        </w:rPr>
        <w:t>排污许可证申请与核发技术规范 工业固体废物（试行）》（HJ 1200—2021）</w:t>
      </w:r>
      <w:r>
        <w:rPr>
          <w:rFonts w:hint="eastAsia" w:ascii="Times New Roman" w:hAnsi="Times New Roman" w:cs="Times New Roman"/>
          <w:color w:val="auto"/>
          <w:spacing w:val="-6"/>
          <w:kern w:val="0"/>
          <w:szCs w:val="21"/>
          <w:highlight w:val="none"/>
          <w:lang w:val="zh-CN" w:eastAsia="zh-CN"/>
        </w:rPr>
        <w:fldChar w:fldCharType="end"/>
      </w:r>
      <w:r>
        <w:rPr>
          <w:rFonts w:hint="eastAsia" w:ascii="Times New Roman" w:hAnsi="Times New Roman" w:cs="Times New Roman"/>
          <w:color w:val="auto"/>
          <w:spacing w:val="-6"/>
          <w:kern w:val="0"/>
          <w:szCs w:val="21"/>
          <w:highlight w:val="none"/>
          <w:lang w:val="zh-CN" w:eastAsia="zh-CN"/>
        </w:rPr>
        <w:t>；</w:t>
      </w:r>
    </w:p>
    <w:p>
      <w:pPr>
        <w:pageBreakBefore w:val="0"/>
        <w:numPr>
          <w:ilvl w:val="0"/>
          <w:numId w:val="9"/>
        </w:numPr>
        <w:wordWrap/>
        <w:bidi w:val="0"/>
        <w:adjustRightInd w:val="0"/>
        <w:ind w:left="0" w:leftChars="0" w:right="0" w:rightChars="0" w:firstLine="480" w:firstLineChars="200"/>
        <w:jc w:val="both"/>
        <w:rPr>
          <w:rFonts w:hint="default" w:ascii="Times New Roman" w:hAnsi="Times New Roman" w:cs="Times New Roman"/>
          <w:color w:val="auto"/>
          <w:spacing w:val="0"/>
          <w:kern w:val="0"/>
          <w:sz w:val="24"/>
          <w:szCs w:val="21"/>
          <w:highlight w:val="none"/>
          <w:lang w:val="zh-CN" w:eastAsia="zh-CN"/>
        </w:rPr>
      </w:pPr>
      <w:r>
        <w:rPr>
          <w:rFonts w:hint="eastAsia" w:ascii="Times New Roman" w:hAnsi="Times New Roman" w:cs="Times New Roman"/>
          <w:color w:val="auto"/>
          <w:spacing w:val="0"/>
          <w:kern w:val="0"/>
          <w:sz w:val="24"/>
          <w:szCs w:val="21"/>
          <w:highlight w:val="none"/>
          <w:lang w:val="zh-CN" w:eastAsia="zh-CN"/>
        </w:rPr>
        <w:t>《</w:t>
      </w:r>
      <w:r>
        <w:rPr>
          <w:rFonts w:hint="eastAsia" w:ascii="Times New Roman" w:hAnsi="Times New Roman" w:cs="Times New Roman"/>
          <w:color w:val="auto"/>
          <w:spacing w:val="0"/>
          <w:kern w:val="0"/>
          <w:sz w:val="24"/>
          <w:szCs w:val="21"/>
          <w:highlight w:val="none"/>
          <w:lang w:val="en-US" w:eastAsia="zh-CN"/>
        </w:rPr>
        <w:t>建设项目危险废物环境影响评价指南</w:t>
      </w:r>
      <w:r>
        <w:rPr>
          <w:rFonts w:hint="eastAsia" w:ascii="Times New Roman" w:hAnsi="Times New Roman" w:cs="Times New Roman"/>
          <w:color w:val="auto"/>
          <w:spacing w:val="0"/>
          <w:kern w:val="0"/>
          <w:sz w:val="24"/>
          <w:szCs w:val="21"/>
          <w:highlight w:val="none"/>
          <w:lang w:val="zh-CN" w:eastAsia="zh-CN"/>
        </w:rPr>
        <w:t>》（环境保护部</w:t>
      </w:r>
      <w:r>
        <w:rPr>
          <w:rFonts w:hint="eastAsia" w:ascii="Times New Roman" w:hAnsi="Times New Roman" w:cs="Times New Roman"/>
          <w:color w:val="auto"/>
          <w:spacing w:val="0"/>
          <w:kern w:val="0"/>
          <w:sz w:val="24"/>
          <w:szCs w:val="21"/>
          <w:highlight w:val="none"/>
          <w:lang w:val="en-US" w:eastAsia="zh-CN"/>
        </w:rPr>
        <w:t xml:space="preserve"> </w:t>
      </w:r>
      <w:r>
        <w:rPr>
          <w:rFonts w:hint="eastAsia" w:ascii="Times New Roman" w:hAnsi="Times New Roman" w:cs="Times New Roman"/>
          <w:color w:val="auto"/>
          <w:spacing w:val="0"/>
          <w:kern w:val="0"/>
          <w:sz w:val="24"/>
          <w:szCs w:val="21"/>
          <w:highlight w:val="none"/>
          <w:lang w:val="zh-CN" w:eastAsia="zh-CN"/>
        </w:rPr>
        <w:t>公告 2017年 第43号）；</w:t>
      </w:r>
    </w:p>
    <w:p>
      <w:pPr>
        <w:pageBreakBefore w:val="0"/>
        <w:numPr>
          <w:ilvl w:val="0"/>
          <w:numId w:val="9"/>
        </w:numPr>
        <w:wordWrap/>
        <w:bidi w:val="0"/>
        <w:adjustRightInd w:val="0"/>
        <w:ind w:left="0" w:leftChars="0" w:right="0" w:rightChars="0" w:firstLine="456" w:firstLineChars="200"/>
        <w:jc w:val="both"/>
        <w:rPr>
          <w:rFonts w:hint="default" w:ascii="Times New Roman" w:hAnsi="Times New Roman" w:cs="Times New Roman"/>
          <w:color w:val="auto"/>
          <w:spacing w:val="-6"/>
          <w:kern w:val="0"/>
          <w:szCs w:val="21"/>
          <w:highlight w:val="none"/>
          <w:lang w:val="zh-CN" w:eastAsia="zh-CN"/>
        </w:rPr>
      </w:pPr>
      <w:r>
        <w:rPr>
          <w:rFonts w:hint="eastAsia" w:ascii="Times New Roman" w:hAnsi="Times New Roman" w:cs="Times New Roman"/>
          <w:color w:val="auto"/>
          <w:spacing w:val="-6"/>
          <w:kern w:val="0"/>
          <w:szCs w:val="21"/>
          <w:highlight w:val="none"/>
          <w:lang w:val="zh-CN" w:eastAsia="zh-CN"/>
        </w:rPr>
        <w:t>《</w:t>
      </w:r>
      <w:r>
        <w:rPr>
          <w:rFonts w:hint="eastAsia" w:ascii="Times New Roman" w:hAnsi="Times New Roman" w:cs="Times New Roman"/>
          <w:color w:val="auto"/>
          <w:spacing w:val="-6"/>
          <w:kern w:val="0"/>
          <w:szCs w:val="21"/>
          <w:highlight w:val="none"/>
          <w:lang w:val="en-US" w:eastAsia="zh-CN"/>
        </w:rPr>
        <w:t>危险废物产生单位管理计划制定指南</w:t>
      </w:r>
      <w:r>
        <w:rPr>
          <w:rFonts w:hint="eastAsia" w:ascii="Times New Roman" w:hAnsi="Times New Roman" w:cs="Times New Roman"/>
          <w:color w:val="auto"/>
          <w:spacing w:val="-6"/>
          <w:kern w:val="0"/>
          <w:szCs w:val="21"/>
          <w:highlight w:val="none"/>
          <w:lang w:val="zh-CN" w:eastAsia="zh-CN"/>
        </w:rPr>
        <w:t>》（环境保护部</w:t>
      </w:r>
      <w:r>
        <w:rPr>
          <w:rFonts w:hint="eastAsia" w:ascii="Times New Roman" w:hAnsi="Times New Roman" w:cs="Times New Roman"/>
          <w:color w:val="auto"/>
          <w:spacing w:val="-6"/>
          <w:kern w:val="0"/>
          <w:szCs w:val="21"/>
          <w:highlight w:val="none"/>
          <w:lang w:val="en-US" w:eastAsia="zh-CN"/>
        </w:rPr>
        <w:t xml:space="preserve"> </w:t>
      </w:r>
      <w:r>
        <w:rPr>
          <w:rFonts w:hint="eastAsia" w:ascii="Times New Roman" w:hAnsi="Times New Roman" w:cs="Times New Roman"/>
          <w:color w:val="auto"/>
          <w:spacing w:val="-6"/>
          <w:kern w:val="0"/>
          <w:szCs w:val="21"/>
          <w:highlight w:val="none"/>
          <w:lang w:val="zh-CN" w:eastAsia="zh-CN"/>
        </w:rPr>
        <w:t>公告 201</w:t>
      </w:r>
      <w:r>
        <w:rPr>
          <w:rFonts w:hint="eastAsia" w:ascii="Times New Roman" w:hAnsi="Times New Roman" w:cs="Times New Roman"/>
          <w:color w:val="auto"/>
          <w:spacing w:val="-6"/>
          <w:kern w:val="0"/>
          <w:szCs w:val="21"/>
          <w:highlight w:val="none"/>
          <w:lang w:val="en-US" w:eastAsia="zh-CN"/>
        </w:rPr>
        <w:t>6</w:t>
      </w:r>
      <w:r>
        <w:rPr>
          <w:rFonts w:hint="eastAsia" w:ascii="Times New Roman" w:hAnsi="Times New Roman" w:cs="Times New Roman"/>
          <w:color w:val="auto"/>
          <w:spacing w:val="-6"/>
          <w:kern w:val="0"/>
          <w:szCs w:val="21"/>
          <w:highlight w:val="none"/>
          <w:lang w:val="zh-CN" w:eastAsia="zh-CN"/>
        </w:rPr>
        <w:t>年 第</w:t>
      </w:r>
      <w:r>
        <w:rPr>
          <w:rFonts w:hint="eastAsia" w:ascii="Times New Roman" w:hAnsi="Times New Roman" w:cs="Times New Roman"/>
          <w:color w:val="auto"/>
          <w:spacing w:val="-6"/>
          <w:kern w:val="0"/>
          <w:szCs w:val="21"/>
          <w:highlight w:val="none"/>
          <w:lang w:val="en-US" w:eastAsia="zh-CN"/>
        </w:rPr>
        <w:t>7</w:t>
      </w:r>
      <w:r>
        <w:rPr>
          <w:rFonts w:hint="eastAsia" w:ascii="Times New Roman" w:hAnsi="Times New Roman" w:cs="Times New Roman"/>
          <w:color w:val="auto"/>
          <w:spacing w:val="-6"/>
          <w:kern w:val="0"/>
          <w:szCs w:val="21"/>
          <w:highlight w:val="none"/>
          <w:lang w:val="zh-CN" w:eastAsia="zh-CN"/>
        </w:rPr>
        <w:t>号）；</w:t>
      </w:r>
    </w:p>
    <w:p>
      <w:pPr>
        <w:pageBreakBefore w:val="0"/>
        <w:numPr>
          <w:ilvl w:val="0"/>
          <w:numId w:val="9"/>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《排污许可证申请与核发技术规范 畜禽养殖行业》（HJ1029-2019）；</w:t>
      </w:r>
    </w:p>
    <w:p>
      <w:pPr>
        <w:pageBreakBefore w:val="0"/>
        <w:numPr>
          <w:ilvl w:val="0"/>
          <w:numId w:val="9"/>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《畜禽养殖业污染防治技术规范》（HJ/T81-2001）；</w:t>
      </w:r>
    </w:p>
    <w:p>
      <w:pPr>
        <w:pageBreakBefore w:val="0"/>
        <w:numPr>
          <w:ilvl w:val="0"/>
          <w:numId w:val="9"/>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《畜禽养殖业污染治理工程技术规范》（HJ497-2009）；</w:t>
      </w:r>
    </w:p>
    <w:p>
      <w:pPr>
        <w:pageBreakBefore w:val="0"/>
        <w:numPr>
          <w:ilvl w:val="0"/>
          <w:numId w:val="9"/>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《畜禽粪便无害化处理技术规范》（NY/T1168-2006）；</w:t>
      </w:r>
    </w:p>
    <w:p>
      <w:pPr>
        <w:pageBreakBefore w:val="0"/>
        <w:numPr>
          <w:ilvl w:val="0"/>
          <w:numId w:val="9"/>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《畜禽粪便无害化处理技术规范》（GB/T36195-2018）</w:t>
      </w:r>
    </w:p>
    <w:p>
      <w:pPr>
        <w:pageBreakBefore w:val="0"/>
        <w:numPr>
          <w:ilvl w:val="0"/>
          <w:numId w:val="9"/>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《无公害畜禽肉产地环境要求》（GB/T 18407.3-2001）；</w:t>
      </w:r>
    </w:p>
    <w:p>
      <w:pPr>
        <w:pageBreakBefore w:val="0"/>
        <w:numPr>
          <w:ilvl w:val="0"/>
          <w:numId w:val="9"/>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《畜禽养殖场（小区）环境守法导则》；</w:t>
      </w:r>
    </w:p>
    <w:p>
      <w:pPr>
        <w:pageBreakBefore w:val="0"/>
        <w:numPr>
          <w:ilvl w:val="0"/>
          <w:numId w:val="9"/>
        </w:numPr>
        <w:wordWrap/>
        <w:bidi w:val="0"/>
        <w:adjustRightInd w:val="0"/>
        <w:ind w:left="0" w:leftChars="0" w:right="0" w:rightChars="0" w:firstLine="456" w:firstLineChars="200"/>
        <w:jc w:val="both"/>
        <w:rPr>
          <w:rFonts w:hint="default" w:ascii="Times New Roman" w:hAnsi="Times New Roman" w:eastAsia="宋体" w:cs="Times New Roman"/>
          <w:color w:val="auto"/>
          <w:spacing w:val="-6"/>
          <w:kern w:val="2"/>
          <w:sz w:val="24"/>
          <w:szCs w:val="24"/>
          <w:highlight w:val="none"/>
          <w:lang w:val="en-US" w:eastAsia="zh-CN" w:bidi="ar-SA"/>
        </w:rPr>
      </w:pPr>
      <w:r>
        <w:rPr>
          <w:rFonts w:hint="default" w:ascii="Times New Roman" w:hAnsi="Times New Roman" w:eastAsia="宋体" w:cs="Times New Roman"/>
          <w:color w:val="auto"/>
          <w:spacing w:val="-6"/>
          <w:kern w:val="2"/>
          <w:sz w:val="24"/>
          <w:szCs w:val="24"/>
          <w:highlight w:val="none"/>
          <w:lang w:val="en-US" w:eastAsia="zh-CN" w:bidi="ar-SA"/>
        </w:rPr>
        <w:t>《农村小型畜禽养殖污染防治项目建设与投资指南》（2013年11月11日）；</w:t>
      </w:r>
    </w:p>
    <w:p>
      <w:pPr>
        <w:pageBreakBefore w:val="0"/>
        <w:numPr>
          <w:ilvl w:val="0"/>
          <w:numId w:val="9"/>
        </w:numPr>
        <w:wordWrap/>
        <w:bidi w:val="0"/>
        <w:adjustRightInd w:val="0"/>
        <w:ind w:left="0" w:leftChars="0" w:right="0" w:rightChars="0" w:firstLine="480" w:firstLineChars="200"/>
        <w:jc w:val="both"/>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rPr>
        <w:t>《畜禽场环境污染控制技术规范》（NY/T 1169-2006）</w:t>
      </w:r>
      <w:r>
        <w:rPr>
          <w:rFonts w:hint="default" w:ascii="Times New Roman" w:hAnsi="Times New Roman" w:cs="Times New Roman"/>
          <w:color w:val="auto"/>
          <w:highlight w:val="none"/>
          <w:lang w:eastAsia="zh-CN"/>
        </w:rPr>
        <w:t>；</w:t>
      </w:r>
    </w:p>
    <w:p>
      <w:pPr>
        <w:pageBreakBefore w:val="0"/>
        <w:numPr>
          <w:ilvl w:val="0"/>
          <w:numId w:val="9"/>
        </w:numPr>
        <w:wordWrap/>
        <w:bidi w:val="0"/>
        <w:adjustRightInd w:val="0"/>
        <w:ind w:left="0" w:leftChars="0" w:right="0" w:rightChars="0"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《畜禽粪便还田技术规范》</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GB/T 25246-2010</w:t>
      </w:r>
      <w:r>
        <w:rPr>
          <w:rFonts w:hint="default" w:ascii="Times New Roman" w:hAnsi="Times New Roman" w:cs="Times New Roman"/>
          <w:color w:val="auto"/>
          <w:highlight w:val="none"/>
          <w:lang w:eastAsia="zh-CN"/>
        </w:rPr>
        <w:t>）；</w:t>
      </w:r>
    </w:p>
    <w:p>
      <w:pPr>
        <w:pageBreakBefore w:val="0"/>
        <w:numPr>
          <w:ilvl w:val="0"/>
          <w:numId w:val="9"/>
        </w:numPr>
        <w:wordWrap/>
        <w:bidi w:val="0"/>
        <w:adjustRightInd w:val="0"/>
        <w:ind w:left="0" w:leftChars="0" w:right="0" w:rightChars="0" w:firstLine="480" w:firstLineChars="200"/>
        <w:jc w:val="both"/>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畜禽粪污土地承载力测算技术指南</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2018年1月15日</w:t>
      </w:r>
      <w:r>
        <w:rPr>
          <w:rFonts w:hint="default" w:ascii="Times New Roman" w:hAnsi="Times New Roman" w:eastAsia="宋体" w:cs="Times New Roman"/>
          <w:color w:val="auto"/>
          <w:highlight w:val="none"/>
          <w:lang w:eastAsia="zh-CN"/>
        </w:rPr>
        <w:t>）。</w:t>
      </w:r>
    </w:p>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75" w:name="_Toc5608"/>
      <w:r>
        <w:rPr>
          <w:rFonts w:hint="default" w:ascii="Times New Roman" w:hAnsi="Times New Roman" w:cs="Times New Roman"/>
          <w:color w:val="auto"/>
          <w:highlight w:val="none"/>
        </w:rPr>
        <w:t>有关资料及文件</w:t>
      </w:r>
      <w:bookmarkEnd w:id="75"/>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委托书</w:t>
      </w:r>
      <w:r>
        <w:rPr>
          <w:rFonts w:hint="default" w:ascii="Times New Roman" w:hAnsi="Times New Roman" w:cs="Times New Roman"/>
          <w:color w:val="auto"/>
          <w:highlight w:val="none"/>
          <w:lang w:eastAsia="zh-CN"/>
        </w:rPr>
        <w:t>；</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zh-CN" w:eastAsia="zh-CN"/>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zh-CN" w:eastAsia="zh-CN"/>
        </w:rPr>
        <w:t>）</w:t>
      </w:r>
      <w:r>
        <w:rPr>
          <w:rFonts w:hint="default" w:ascii="Times New Roman" w:hAnsi="Times New Roman" w:eastAsia="宋体" w:cs="Times New Roman"/>
          <w:color w:val="auto"/>
          <w:highlight w:val="none"/>
        </w:rPr>
        <w:t>《</w:t>
      </w:r>
      <w:r>
        <w:rPr>
          <w:rFonts w:hint="eastAsia" w:cs="Times New Roman"/>
          <w:color w:val="auto"/>
          <w:highlight w:val="none"/>
          <w:lang w:eastAsia="zh-CN"/>
        </w:rPr>
        <w:t>关于&lt;塔城奶牛现代化养殖基地建设项目可行性研究报告&gt;的批复</w:t>
      </w:r>
      <w:r>
        <w:rPr>
          <w:rFonts w:hint="default" w:ascii="Times New Roman" w:hAnsi="Times New Roman" w:eastAsia="宋体" w:cs="Times New Roman"/>
          <w:color w:val="auto"/>
          <w:highlight w:val="none"/>
        </w:rPr>
        <w:t>》（塔城地发改农经〔2023〕6号）</w:t>
      </w:r>
      <w:r>
        <w:rPr>
          <w:rFonts w:hint="default" w:ascii="Times New Roman" w:hAnsi="Times New Roman" w:cs="Times New Roman"/>
          <w:color w:val="auto"/>
          <w:highlight w:val="none"/>
          <w:lang w:eastAsia="zh-CN"/>
        </w:rPr>
        <w:t>；</w:t>
      </w:r>
    </w:p>
    <w:p>
      <w:pPr>
        <w:pageBreakBefore w:val="0"/>
        <w:wordWrap/>
        <w:bidi w:val="0"/>
        <w:adjustRightInd w:val="0"/>
        <w:ind w:left="0" w:leftChars="0" w:right="0" w:rightChars="0"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塔城市地方国营土地租赁合同书</w:t>
      </w:r>
      <w:r>
        <w:rPr>
          <w:rFonts w:hint="eastAsia" w:ascii="Times New Roman" w:hAnsi="Times New Roman" w:cs="Times New Roman"/>
          <w:color w:val="auto"/>
          <w:highlight w:val="none"/>
          <w:lang w:val="en-US" w:eastAsia="zh-CN"/>
        </w:rPr>
        <w:t>；</w:t>
      </w:r>
    </w:p>
    <w:p>
      <w:pPr>
        <w:pageBreakBefore w:val="0"/>
        <w:wordWrap/>
        <w:bidi w:val="0"/>
        <w:adjustRightInd w:val="0"/>
        <w:ind w:left="0" w:leftChars="0" w:right="0" w:rightChars="0" w:firstLine="480"/>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w:t>
      </w:r>
      <w:r>
        <w:rPr>
          <w:rFonts w:hint="eastAsia" w:cs="Times New Roman"/>
          <w:color w:val="auto"/>
          <w:highlight w:val="none"/>
          <w:lang w:val="en-US" w:eastAsia="zh-CN"/>
        </w:rPr>
        <w:t>监测</w:t>
      </w:r>
      <w:r>
        <w:rPr>
          <w:rFonts w:hint="default" w:ascii="Times New Roman" w:hAnsi="Times New Roman" w:cs="Times New Roman"/>
          <w:color w:val="auto"/>
          <w:highlight w:val="none"/>
          <w:lang w:val="en-US" w:eastAsia="zh-CN"/>
        </w:rPr>
        <w:t>报告</w:t>
      </w:r>
      <w:r>
        <w:rPr>
          <w:rFonts w:hint="eastAsia" w:ascii="Times New Roman" w:hAnsi="Times New Roman" w:cs="Times New Roman"/>
          <w:color w:val="auto"/>
          <w:highlight w:val="none"/>
          <w:lang w:val="en-US" w:eastAsia="zh-CN"/>
        </w:rPr>
        <w:t>；</w:t>
      </w:r>
    </w:p>
    <w:p>
      <w:pPr>
        <w:pageBreakBefore w:val="0"/>
        <w:wordWrap/>
        <w:bidi w:val="0"/>
        <w:adjustRightInd w:val="0"/>
        <w:ind w:left="0" w:leftChars="0" w:right="0" w:rightChars="0" w:firstLine="480"/>
        <w:rPr>
          <w:rFonts w:hint="eastAsia" w:ascii="Times New Roman" w:hAnsi="Times New Roman" w:eastAsia="宋体" w:cs="Times New Roman"/>
          <w:color w:val="auto"/>
          <w:spacing w:val="0"/>
          <w:kern w:val="2"/>
          <w:sz w:val="24"/>
          <w:szCs w:val="24"/>
          <w:highlight w:val="none"/>
          <w:lang w:val="en-US" w:eastAsia="zh-CN" w:bidi="ar-SA"/>
        </w:rPr>
      </w:pPr>
      <w:r>
        <w:rPr>
          <w:rFonts w:hint="eastAsia" w:ascii="Times New Roman" w:hAnsi="Times New Roman" w:eastAsia="宋体" w:cs="Times New Roman"/>
          <w:color w:val="auto"/>
          <w:spacing w:val="0"/>
          <w:kern w:val="2"/>
          <w:sz w:val="24"/>
          <w:szCs w:val="24"/>
          <w:highlight w:val="none"/>
          <w:lang w:val="en-US" w:eastAsia="zh-CN" w:bidi="ar-SA"/>
        </w:rPr>
        <w:t>（5）征收使用草原审核同意书（新林草许准（塔）〔2023〕81号、新林草许准（塔）〔2023〕82号）</w:t>
      </w:r>
    </w:p>
    <w:p>
      <w:pPr>
        <w:pageBreakBefore w:val="0"/>
        <w:numPr>
          <w:ilvl w:val="0"/>
          <w:numId w:val="0"/>
        </w:numPr>
        <w:wordWrap/>
        <w:bidi w:val="0"/>
        <w:adjustRightInd w:val="0"/>
        <w:ind w:leftChars="200" w:right="0" w:rightChars="0"/>
        <w:jc w:val="both"/>
        <w:rPr>
          <w:rFonts w:hint="default" w:ascii="Times New Roman" w:hAnsi="Times New Roman" w:eastAsia="宋体" w:cs="Times New Roman"/>
          <w:color w:val="auto"/>
          <w:spacing w:val="0"/>
          <w:kern w:val="2"/>
          <w:sz w:val="24"/>
          <w:szCs w:val="24"/>
          <w:highlight w:val="none"/>
          <w:lang w:val="en-US" w:eastAsia="zh-CN" w:bidi="ar-SA"/>
        </w:rPr>
      </w:pPr>
      <w:r>
        <w:rPr>
          <w:rFonts w:hint="eastAsia" w:cs="Times New Roman"/>
          <w:color w:val="auto"/>
          <w:spacing w:val="0"/>
          <w:kern w:val="2"/>
          <w:sz w:val="24"/>
          <w:szCs w:val="24"/>
          <w:highlight w:val="none"/>
          <w:lang w:val="en-US" w:eastAsia="zh-CN" w:bidi="ar-SA"/>
        </w:rPr>
        <w:t>（6）</w:t>
      </w:r>
      <w:r>
        <w:rPr>
          <w:rFonts w:hint="eastAsia" w:ascii="Times New Roman" w:hAnsi="Times New Roman" w:eastAsia="宋体" w:cs="Times New Roman"/>
          <w:color w:val="auto"/>
          <w:spacing w:val="0"/>
          <w:kern w:val="2"/>
          <w:sz w:val="24"/>
          <w:szCs w:val="24"/>
          <w:highlight w:val="none"/>
          <w:lang w:val="en-US" w:eastAsia="zh-CN" w:bidi="ar-SA"/>
        </w:rPr>
        <w:t>建设单位提供的项目其他相关资料。</w:t>
      </w:r>
    </w:p>
    <w:p>
      <w:pPr>
        <w:pStyle w:val="4"/>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76" w:name="_Toc15135"/>
      <w:bookmarkStart w:id="77" w:name="_Toc6864"/>
      <w:bookmarkStart w:id="78" w:name="_Toc6671"/>
      <w:bookmarkStart w:id="79" w:name="_Toc23004"/>
      <w:r>
        <w:rPr>
          <w:rFonts w:hint="default" w:ascii="Times New Roman" w:hAnsi="Times New Roman" w:cs="Times New Roman"/>
          <w:color w:val="auto"/>
          <w:highlight w:val="none"/>
        </w:rPr>
        <w:t>评价原则和编制目的</w:t>
      </w:r>
      <w:bookmarkEnd w:id="76"/>
      <w:bookmarkEnd w:id="77"/>
      <w:bookmarkEnd w:id="78"/>
      <w:bookmarkEnd w:id="79"/>
    </w:p>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80" w:name="_Toc4987"/>
      <w:r>
        <w:rPr>
          <w:rFonts w:hint="default" w:ascii="Times New Roman" w:hAnsi="Times New Roman" w:cs="Times New Roman"/>
          <w:color w:val="auto"/>
          <w:highlight w:val="none"/>
        </w:rPr>
        <w:t>评价原则</w:t>
      </w:r>
      <w:bookmarkEnd w:id="80"/>
    </w:p>
    <w:p>
      <w:pPr>
        <w:pageBreakBefore w:val="0"/>
        <w:wordWrap/>
        <w:bidi w:val="0"/>
        <w:adjustRightInd w:val="0"/>
        <w:spacing w:line="360" w:lineRule="auto"/>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突出环境影响评价的源头预防作用，坚持保护和改善环境质量。</w:t>
      </w:r>
    </w:p>
    <w:p>
      <w:pPr>
        <w:pageBreakBefore w:val="0"/>
        <w:wordWrap/>
        <w:bidi w:val="0"/>
        <w:adjustRightInd w:val="0"/>
        <w:spacing w:line="360" w:lineRule="auto"/>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依法评价</w:t>
      </w:r>
    </w:p>
    <w:p>
      <w:pPr>
        <w:pageBreakBefore w:val="0"/>
        <w:wordWrap/>
        <w:bidi w:val="0"/>
        <w:adjustRightInd w:val="0"/>
        <w:spacing w:line="360" w:lineRule="auto"/>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贯彻执行</w:t>
      </w:r>
      <w:r>
        <w:rPr>
          <w:rFonts w:hint="eastAsia" w:cs="Times New Roman"/>
          <w:color w:val="auto"/>
          <w:highlight w:val="none"/>
          <w:lang w:val="en-US" w:eastAsia="zh-CN"/>
        </w:rPr>
        <w:t>国家</w:t>
      </w:r>
      <w:r>
        <w:rPr>
          <w:rFonts w:hint="default" w:ascii="Times New Roman" w:hAnsi="Times New Roman" w:cs="Times New Roman"/>
          <w:color w:val="auto"/>
          <w:highlight w:val="none"/>
        </w:rPr>
        <w:t>环境保护相关法律法规、标准、政策和规划等，优化项目建设，服务环境管理。</w:t>
      </w:r>
    </w:p>
    <w:p>
      <w:pPr>
        <w:pageBreakBefore w:val="0"/>
        <w:wordWrap/>
        <w:bidi w:val="0"/>
        <w:adjustRightInd w:val="0"/>
        <w:spacing w:line="360" w:lineRule="auto"/>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科学评价</w:t>
      </w:r>
    </w:p>
    <w:p>
      <w:pPr>
        <w:pageBreakBefore w:val="0"/>
        <w:wordWrap/>
        <w:bidi w:val="0"/>
        <w:adjustRightInd w:val="0"/>
        <w:spacing w:line="360" w:lineRule="auto"/>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规范环境影响评价方法，科学分析项目建设对环境质量的影响。</w:t>
      </w:r>
    </w:p>
    <w:p>
      <w:pPr>
        <w:pageBreakBefore w:val="0"/>
        <w:wordWrap/>
        <w:bidi w:val="0"/>
        <w:adjustRightInd w:val="0"/>
        <w:spacing w:line="360" w:lineRule="auto"/>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突出重点</w:t>
      </w:r>
    </w:p>
    <w:p>
      <w:pPr>
        <w:pageBreakBefore w:val="0"/>
        <w:wordWrap/>
        <w:bidi w:val="0"/>
        <w:adjustRightInd w:val="0"/>
        <w:spacing w:line="360" w:lineRule="auto"/>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根据建设项目的工程内容及其特点，充分利用符合时效的数据资料及成果，对建设项目主要环境影响予以重点分析和评价。</w:t>
      </w:r>
    </w:p>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81" w:name="_Toc27993"/>
      <w:bookmarkStart w:id="82" w:name="_Toc17916"/>
      <w:r>
        <w:rPr>
          <w:rFonts w:hint="default" w:ascii="Times New Roman" w:hAnsi="Times New Roman" w:cs="Times New Roman"/>
          <w:color w:val="auto"/>
          <w:highlight w:val="none"/>
        </w:rPr>
        <w:t>编制目的</w:t>
      </w:r>
      <w:bookmarkEnd w:id="81"/>
    </w:p>
    <w:p>
      <w:pPr>
        <w:pageBreakBefore w:val="0"/>
        <w:wordWrap/>
        <w:bidi w:val="0"/>
        <w:adjustRightInd w:val="0"/>
        <w:spacing w:line="360" w:lineRule="auto"/>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（1）针对建设项目的特点，开展建设项目所在地的自然环境、环境质量现状调查，确定主要环境保护目标和评价重点。</w:t>
      </w:r>
    </w:p>
    <w:p>
      <w:pPr>
        <w:pageBreakBefore w:val="0"/>
        <w:wordWrap/>
        <w:bidi w:val="0"/>
        <w:adjustRightInd w:val="0"/>
        <w:spacing w:line="360" w:lineRule="auto"/>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（2）对本项目进行工程分析，从环境保护的角度出发，对建设项目的</w:t>
      </w:r>
      <w:r>
        <w:rPr>
          <w:rFonts w:hint="default" w:ascii="Times New Roman" w:hAnsi="Times New Roman" w:cs="Times New Roman"/>
          <w:color w:val="auto"/>
          <w:highlight w:val="none"/>
          <w:lang w:val="en-US" w:eastAsia="zh-CN"/>
        </w:rPr>
        <w:t>选址、</w:t>
      </w:r>
      <w:r>
        <w:rPr>
          <w:rFonts w:hint="default" w:ascii="Times New Roman" w:hAnsi="Times New Roman" w:cs="Times New Roman"/>
          <w:color w:val="auto"/>
          <w:highlight w:val="none"/>
        </w:rPr>
        <w:t>总体布局、</w:t>
      </w:r>
      <w:r>
        <w:rPr>
          <w:rFonts w:hint="default" w:ascii="Times New Roman" w:hAnsi="Times New Roman" w:cs="Times New Roman"/>
          <w:color w:val="auto"/>
          <w:highlight w:val="none"/>
          <w:lang w:val="en-US" w:eastAsia="zh-CN"/>
        </w:rPr>
        <w:t>建设</w:t>
      </w:r>
      <w:r>
        <w:rPr>
          <w:rFonts w:hint="default" w:ascii="Times New Roman" w:hAnsi="Times New Roman" w:cs="Times New Roman"/>
          <w:color w:val="auto"/>
          <w:highlight w:val="none"/>
        </w:rPr>
        <w:t>内容、“三废”的排放量及处理方案等多方面进行合理性、可行性论证，并对工程建设提出要求和建议。</w:t>
      </w:r>
    </w:p>
    <w:p>
      <w:pPr>
        <w:pageBreakBefore w:val="0"/>
        <w:wordWrap/>
        <w:bidi w:val="0"/>
        <w:adjustRightInd w:val="0"/>
        <w:spacing w:line="360" w:lineRule="auto"/>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（3）分析项目施工期和运营期对项目区及其周围大气环境、水环境、声环境</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土壤环境、生态环境等</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产生的影响；确定影响的范围、程度、因素、途径、方式和时限；同时，针对</w:t>
      </w:r>
      <w:r>
        <w:rPr>
          <w:rFonts w:hint="default" w:ascii="Times New Roman" w:hAnsi="Times New Roman" w:cs="Times New Roman"/>
          <w:color w:val="auto"/>
          <w:highlight w:val="none"/>
          <w:lang w:val="en-US" w:eastAsia="zh-CN"/>
        </w:rPr>
        <w:t>各阶段产生的</w:t>
      </w:r>
      <w:r>
        <w:rPr>
          <w:rFonts w:hint="default" w:ascii="Times New Roman" w:hAnsi="Times New Roman" w:cs="Times New Roman"/>
          <w:color w:val="auto"/>
          <w:highlight w:val="none"/>
        </w:rPr>
        <w:t>不利</w:t>
      </w:r>
      <w:r>
        <w:rPr>
          <w:rFonts w:hint="default" w:ascii="Times New Roman" w:hAnsi="Times New Roman" w:cs="Times New Roman"/>
          <w:color w:val="auto"/>
          <w:highlight w:val="none"/>
          <w:lang w:val="en-US" w:eastAsia="zh-CN"/>
        </w:rPr>
        <w:t>环境</w:t>
      </w:r>
      <w:r>
        <w:rPr>
          <w:rFonts w:hint="default" w:ascii="Times New Roman" w:hAnsi="Times New Roman" w:cs="Times New Roman"/>
          <w:color w:val="auto"/>
          <w:highlight w:val="none"/>
        </w:rPr>
        <w:t>影响提出</w:t>
      </w:r>
      <w:r>
        <w:rPr>
          <w:rFonts w:hint="default" w:ascii="Times New Roman" w:hAnsi="Times New Roman" w:cs="Times New Roman"/>
          <w:color w:val="auto"/>
          <w:highlight w:val="none"/>
          <w:lang w:val="en-US" w:eastAsia="zh-CN"/>
        </w:rPr>
        <w:t>针对性</w:t>
      </w:r>
      <w:r>
        <w:rPr>
          <w:rFonts w:hint="default" w:ascii="Times New Roman" w:hAnsi="Times New Roman" w:cs="Times New Roman"/>
          <w:color w:val="auto"/>
          <w:highlight w:val="none"/>
        </w:rPr>
        <w:t>的环境保护</w:t>
      </w:r>
      <w:r>
        <w:rPr>
          <w:rFonts w:hint="default" w:ascii="Times New Roman" w:hAnsi="Times New Roman" w:cs="Times New Roman"/>
          <w:color w:val="auto"/>
          <w:highlight w:val="none"/>
          <w:lang w:val="en-US" w:eastAsia="zh-CN"/>
        </w:rPr>
        <w:t>措施</w:t>
      </w:r>
      <w:r>
        <w:rPr>
          <w:rFonts w:hint="default" w:ascii="Times New Roman" w:hAnsi="Times New Roman" w:cs="Times New Roman"/>
          <w:color w:val="auto"/>
          <w:highlight w:val="none"/>
        </w:rPr>
        <w:t>，并进行环境</w:t>
      </w:r>
      <w:r>
        <w:rPr>
          <w:rFonts w:hint="default" w:ascii="Times New Roman" w:hAnsi="Times New Roman" w:cs="Times New Roman"/>
          <w:color w:val="auto"/>
          <w:highlight w:val="none"/>
          <w:lang w:val="en-US" w:eastAsia="zh-CN"/>
        </w:rPr>
        <w:t>影响</w:t>
      </w:r>
      <w:r>
        <w:rPr>
          <w:rFonts w:hint="default" w:ascii="Times New Roman" w:hAnsi="Times New Roman" w:cs="Times New Roman"/>
          <w:color w:val="auto"/>
          <w:highlight w:val="none"/>
        </w:rPr>
        <w:t>经济损益分析。</w:t>
      </w:r>
    </w:p>
    <w:p>
      <w:pPr>
        <w:pageBreakBefore w:val="0"/>
        <w:wordWrap/>
        <w:bidi w:val="0"/>
        <w:adjustRightInd w:val="0"/>
        <w:spacing w:line="360" w:lineRule="auto"/>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通过对各环境要素的影响分析及预测，明确给出本项目的建设对环境影响的结论，并制定出环境管理和监测计划等内容；从环保角度明确给出建设项目的环境影响可行性结论，为环境管理部门和相关部门提供决策和管理依据。</w:t>
      </w:r>
    </w:p>
    <w:p>
      <w:pPr>
        <w:pStyle w:val="4"/>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83" w:name="_Toc15559"/>
      <w:bookmarkStart w:id="84" w:name="_Toc29226"/>
      <w:r>
        <w:rPr>
          <w:rFonts w:hint="eastAsia" w:ascii="Times New Roman" w:hAnsi="Times New Roman" w:cs="Times New Roman"/>
          <w:color w:val="auto"/>
          <w:highlight w:val="none"/>
          <w:lang w:val="en-US" w:eastAsia="zh-CN"/>
        </w:rPr>
        <w:t>环境影响因素识别</w:t>
      </w:r>
      <w:r>
        <w:rPr>
          <w:rFonts w:hint="default" w:ascii="Times New Roman" w:hAnsi="Times New Roman" w:cs="Times New Roman"/>
          <w:color w:val="auto"/>
          <w:highlight w:val="none"/>
        </w:rPr>
        <w:t>和评价</w:t>
      </w:r>
      <w:bookmarkEnd w:id="82"/>
      <w:bookmarkEnd w:id="83"/>
      <w:r>
        <w:rPr>
          <w:rFonts w:hint="eastAsia" w:ascii="Times New Roman" w:hAnsi="Times New Roman" w:cs="Times New Roman"/>
          <w:color w:val="auto"/>
          <w:highlight w:val="none"/>
          <w:lang w:val="en-US" w:eastAsia="zh-CN"/>
        </w:rPr>
        <w:t>因子筛选</w:t>
      </w:r>
      <w:bookmarkEnd w:id="84"/>
    </w:p>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85" w:name="_Toc23053"/>
      <w:r>
        <w:rPr>
          <w:rFonts w:hint="default" w:ascii="Times New Roman" w:hAnsi="Times New Roman" w:cs="Times New Roman"/>
          <w:color w:val="auto"/>
          <w:highlight w:val="none"/>
        </w:rPr>
        <w:t>环境影响因素识别</w:t>
      </w:r>
      <w:bookmarkEnd w:id="85"/>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结合项目特点和项目</w:t>
      </w:r>
      <w:r>
        <w:rPr>
          <w:rFonts w:hint="default" w:ascii="Times New Roman" w:hAnsi="Times New Roman" w:cs="Times New Roman"/>
          <w:color w:val="auto"/>
          <w:highlight w:val="none"/>
          <w:lang w:val="en-US" w:eastAsia="zh-CN"/>
        </w:rPr>
        <w:t>所在区域环境</w:t>
      </w:r>
      <w:r>
        <w:rPr>
          <w:rFonts w:hint="default" w:ascii="Times New Roman" w:hAnsi="Times New Roman" w:cs="Times New Roman"/>
          <w:color w:val="auto"/>
          <w:highlight w:val="none"/>
        </w:rPr>
        <w:t>特征，就本项目对环境的影响进行识别，结果见</w:t>
      </w:r>
      <w:r>
        <w:rPr>
          <w:rFonts w:hint="default" w:ascii="Times New Roman" w:hAnsi="Times New Roman" w:cs="Times New Roman"/>
          <w:color w:val="auto"/>
          <w:highlight w:val="none"/>
          <w:lang w:val="en-US" w:eastAsia="zh-CN"/>
        </w:rPr>
        <w:t>表</w:t>
      </w:r>
      <w:r>
        <w:rPr>
          <w:rFonts w:hint="default" w:ascii="Times New Roman" w:hAnsi="Times New Roman" w:cs="Times New Roman"/>
          <w:color w:val="auto"/>
          <w:highlight w:val="none"/>
        </w:rPr>
        <w:t>2.3-1所示。</w:t>
      </w:r>
    </w:p>
    <w:p>
      <w:pPr>
        <w:pStyle w:val="50"/>
        <w:keepNext w:val="0"/>
        <w:keepLines w:val="0"/>
        <w:pageBreakBefore w:val="0"/>
        <w:widowControl w:val="0"/>
        <w:kinsoku/>
        <w:wordWrap/>
        <w:overflowPunct/>
        <w:autoSpaceDE/>
        <w:autoSpaceDN/>
        <w:bidi w:val="0"/>
        <w:adjustRightInd w:val="0"/>
        <w:snapToGrid w:val="0"/>
        <w:spacing w:afterLines="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bookmarkStart w:id="86" w:name="_Ref142799644"/>
      <w:r>
        <w:rPr>
          <w:rFonts w:hint="default" w:ascii="Times New Roman" w:hAnsi="Times New Roman" w:eastAsia="宋体" w:cs="Times New Roman"/>
          <w:color w:val="auto"/>
          <w:sz w:val="21"/>
          <w:szCs w:val="21"/>
          <w:highlight w:val="none"/>
        </w:rPr>
        <w:t>表</w:t>
      </w:r>
      <w:bookmarkEnd w:id="86"/>
      <w:r>
        <w:rPr>
          <w:rFonts w:hint="default" w:ascii="Times New Roman" w:hAnsi="Times New Roman" w:eastAsia="宋体" w:cs="Times New Roman"/>
          <w:color w:val="auto"/>
          <w:sz w:val="21"/>
          <w:szCs w:val="21"/>
          <w:highlight w:val="none"/>
        </w:rPr>
        <w:t>2.3-1</w:t>
      </w:r>
      <w:r>
        <w:rPr>
          <w:rFonts w:hint="default" w:ascii="Times New Roman" w:hAnsi="Times New Roman" w:eastAsia="宋体" w:cs="Times New Roman"/>
          <w:color w:val="auto"/>
          <w:sz w:val="21"/>
          <w:szCs w:val="21"/>
          <w:highlight w:val="none"/>
        </w:rPr>
        <w:tab/>
      </w:r>
      <w:r>
        <w:rPr>
          <w:rFonts w:hint="default" w:ascii="Times New Roman" w:hAnsi="Times New Roman" w:eastAsia="宋体" w:cs="Times New Roman"/>
          <w:color w:val="auto"/>
          <w:sz w:val="21"/>
          <w:szCs w:val="21"/>
          <w:highlight w:val="none"/>
        </w:rPr>
        <w:t xml:space="preserve">       环境影响</w:t>
      </w:r>
      <w:r>
        <w:rPr>
          <w:rFonts w:hint="default" w:ascii="Times New Roman" w:hAnsi="Times New Roman" w:cs="Times New Roman"/>
          <w:color w:val="auto"/>
          <w:sz w:val="21"/>
          <w:szCs w:val="21"/>
          <w:highlight w:val="none"/>
          <w:lang w:val="en-US" w:eastAsia="zh-CN"/>
        </w:rPr>
        <w:t>因素</w:t>
      </w:r>
      <w:r>
        <w:rPr>
          <w:rFonts w:hint="default" w:ascii="Times New Roman" w:hAnsi="Times New Roman" w:eastAsia="宋体" w:cs="Times New Roman"/>
          <w:color w:val="auto"/>
          <w:sz w:val="21"/>
          <w:szCs w:val="21"/>
          <w:highlight w:val="none"/>
        </w:rPr>
        <w:t>识别表</w:t>
      </w:r>
    </w:p>
    <w:tbl>
      <w:tblPr>
        <w:tblStyle w:val="39"/>
        <w:tblW w:w="8819"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
      <w:tblGrid>
        <w:gridCol w:w="462"/>
        <w:gridCol w:w="1413"/>
        <w:gridCol w:w="635"/>
        <w:gridCol w:w="466"/>
        <w:gridCol w:w="480"/>
        <w:gridCol w:w="662"/>
        <w:gridCol w:w="480"/>
        <w:gridCol w:w="623"/>
        <w:gridCol w:w="606"/>
        <w:gridCol w:w="829"/>
        <w:gridCol w:w="692"/>
        <w:gridCol w:w="728"/>
        <w:gridCol w:w="74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403" w:hRule="atLeast"/>
        </w:trPr>
        <w:tc>
          <w:tcPr>
            <w:tcW w:w="462" w:type="dxa"/>
            <w:vMerge w:val="restar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 时段</w:t>
            </w:r>
          </w:p>
        </w:tc>
        <w:tc>
          <w:tcPr>
            <w:tcW w:w="1413" w:type="dxa"/>
            <w:vMerge w:val="restar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污染因素</w:t>
            </w:r>
          </w:p>
        </w:tc>
        <w:tc>
          <w:tcPr>
            <w:tcW w:w="6944" w:type="dxa"/>
            <w:gridSpan w:val="11"/>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环境要素</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360" w:hRule="atLeast"/>
        </w:trPr>
        <w:tc>
          <w:tcPr>
            <w:tcW w:w="462" w:type="dxa"/>
            <w:vMerge w:val="continue"/>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1413" w:type="dxa"/>
            <w:vMerge w:val="continue"/>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635" w:type="dxa"/>
            <w:vMerge w:val="restar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 空气</w:t>
            </w:r>
          </w:p>
        </w:tc>
        <w:tc>
          <w:tcPr>
            <w:tcW w:w="466" w:type="dxa"/>
            <w:vMerge w:val="restar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 水</w:t>
            </w:r>
          </w:p>
        </w:tc>
        <w:tc>
          <w:tcPr>
            <w:tcW w:w="480" w:type="dxa"/>
            <w:vMerge w:val="restar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地下 水</w:t>
            </w:r>
          </w:p>
        </w:tc>
        <w:tc>
          <w:tcPr>
            <w:tcW w:w="662" w:type="dxa"/>
            <w:vMerge w:val="restar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土壤环境</w:t>
            </w:r>
          </w:p>
        </w:tc>
        <w:tc>
          <w:tcPr>
            <w:tcW w:w="480" w:type="dxa"/>
            <w:vMerge w:val="restar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 环 境</w:t>
            </w:r>
          </w:p>
        </w:tc>
        <w:tc>
          <w:tcPr>
            <w:tcW w:w="3478" w:type="dxa"/>
            <w:gridSpan w:val="5"/>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w:t>
            </w:r>
          </w:p>
        </w:tc>
        <w:tc>
          <w:tcPr>
            <w:tcW w:w="743" w:type="dxa"/>
            <w:vMerge w:val="restar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 风险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655" w:hRule="atLeast"/>
        </w:trPr>
        <w:tc>
          <w:tcPr>
            <w:tcW w:w="462" w:type="dxa"/>
            <w:vMerge w:val="continue"/>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1413" w:type="dxa"/>
            <w:vMerge w:val="continue"/>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635" w:type="dxa"/>
            <w:vMerge w:val="continue"/>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466" w:type="dxa"/>
            <w:vMerge w:val="continue"/>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480" w:type="dxa"/>
            <w:vMerge w:val="continue"/>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662" w:type="dxa"/>
            <w:vMerge w:val="continue"/>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480" w:type="dxa"/>
            <w:vMerge w:val="continue"/>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623"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植被</w:t>
            </w:r>
          </w:p>
        </w:tc>
        <w:tc>
          <w:tcPr>
            <w:tcW w:w="606"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土地利用</w:t>
            </w:r>
          </w:p>
        </w:tc>
        <w:tc>
          <w:tcPr>
            <w:tcW w:w="829"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水土</w:t>
            </w:r>
          </w:p>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流失</w:t>
            </w:r>
          </w:p>
        </w:tc>
        <w:tc>
          <w:tcPr>
            <w:tcW w:w="692"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自然</w:t>
            </w:r>
          </w:p>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景观</w:t>
            </w:r>
          </w:p>
        </w:tc>
        <w:tc>
          <w:tcPr>
            <w:tcW w:w="728"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野生</w:t>
            </w:r>
          </w:p>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743" w:type="dxa"/>
            <w:vMerge w:val="continue"/>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360" w:hRule="atLeast"/>
        </w:trPr>
        <w:tc>
          <w:tcPr>
            <w:tcW w:w="462" w:type="dxa"/>
            <w:vMerge w:val="restar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w:t>
            </w:r>
          </w:p>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 期</w:t>
            </w:r>
          </w:p>
        </w:tc>
        <w:tc>
          <w:tcPr>
            <w:tcW w:w="1413"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工程占地</w:t>
            </w:r>
          </w:p>
        </w:tc>
        <w:tc>
          <w:tcPr>
            <w:tcW w:w="635"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466"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480"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662"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-3C</w:t>
            </w:r>
          </w:p>
        </w:tc>
        <w:tc>
          <w:tcPr>
            <w:tcW w:w="480"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623"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-1D</w:t>
            </w:r>
          </w:p>
        </w:tc>
        <w:tc>
          <w:tcPr>
            <w:tcW w:w="606"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rPr>
              <w:t>2C</w:t>
            </w:r>
          </w:p>
        </w:tc>
        <w:tc>
          <w:tcPr>
            <w:tcW w:w="829"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-2D</w:t>
            </w:r>
          </w:p>
        </w:tc>
        <w:tc>
          <w:tcPr>
            <w:tcW w:w="692"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-1D</w:t>
            </w:r>
          </w:p>
        </w:tc>
        <w:tc>
          <w:tcPr>
            <w:tcW w:w="728"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-1D</w:t>
            </w:r>
          </w:p>
        </w:tc>
        <w:tc>
          <w:tcPr>
            <w:tcW w:w="743"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360" w:hRule="atLeast"/>
        </w:trPr>
        <w:tc>
          <w:tcPr>
            <w:tcW w:w="462" w:type="dxa"/>
            <w:vMerge w:val="continue"/>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1413"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废气排放</w:t>
            </w:r>
          </w:p>
        </w:tc>
        <w:tc>
          <w:tcPr>
            <w:tcW w:w="635"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-1D</w:t>
            </w:r>
          </w:p>
        </w:tc>
        <w:tc>
          <w:tcPr>
            <w:tcW w:w="466"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480"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662"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480"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623"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-1D</w:t>
            </w:r>
            <w:r>
              <w:rPr>
                <w:rFonts w:hint="default" w:ascii="Times New Roman" w:hAnsi="Times New Roman" w:cs="Times New Roman"/>
                <w:color w:val="auto"/>
                <w:sz w:val="21"/>
                <w:szCs w:val="21"/>
                <w:highlight w:val="none"/>
                <w:lang w:val="en-US" w:eastAsia="zh-CN"/>
              </w:rPr>
              <w:t xml:space="preserve"> </w:t>
            </w:r>
          </w:p>
        </w:tc>
        <w:tc>
          <w:tcPr>
            <w:tcW w:w="606"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829"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692"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728"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-1D</w:t>
            </w:r>
          </w:p>
        </w:tc>
        <w:tc>
          <w:tcPr>
            <w:tcW w:w="743"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360" w:hRule="atLeast"/>
        </w:trPr>
        <w:tc>
          <w:tcPr>
            <w:tcW w:w="462" w:type="dxa"/>
            <w:vMerge w:val="continue"/>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1413"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废水排放</w:t>
            </w:r>
          </w:p>
        </w:tc>
        <w:tc>
          <w:tcPr>
            <w:tcW w:w="635"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466"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480"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-1D</w:t>
            </w:r>
          </w:p>
        </w:tc>
        <w:tc>
          <w:tcPr>
            <w:tcW w:w="662"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-1D</w:t>
            </w:r>
          </w:p>
        </w:tc>
        <w:tc>
          <w:tcPr>
            <w:tcW w:w="480"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-1D</w:t>
            </w:r>
          </w:p>
        </w:tc>
        <w:tc>
          <w:tcPr>
            <w:tcW w:w="623"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606"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829"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692"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-1D</w:t>
            </w:r>
          </w:p>
        </w:tc>
        <w:tc>
          <w:tcPr>
            <w:tcW w:w="728"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-1D</w:t>
            </w:r>
          </w:p>
        </w:tc>
        <w:tc>
          <w:tcPr>
            <w:tcW w:w="743"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360" w:hRule="atLeast"/>
        </w:trPr>
        <w:tc>
          <w:tcPr>
            <w:tcW w:w="462" w:type="dxa"/>
            <w:vMerge w:val="continue"/>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1413"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噪声排放</w:t>
            </w:r>
          </w:p>
        </w:tc>
        <w:tc>
          <w:tcPr>
            <w:tcW w:w="635"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466"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480"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662"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480"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-1D</w:t>
            </w:r>
          </w:p>
        </w:tc>
        <w:tc>
          <w:tcPr>
            <w:tcW w:w="623"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606"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829"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692"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728"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743"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360" w:hRule="atLeast"/>
        </w:trPr>
        <w:tc>
          <w:tcPr>
            <w:tcW w:w="462" w:type="dxa"/>
            <w:vMerge w:val="continue"/>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1413"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固废排放</w:t>
            </w:r>
          </w:p>
        </w:tc>
        <w:tc>
          <w:tcPr>
            <w:tcW w:w="635"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-1D</w:t>
            </w:r>
          </w:p>
        </w:tc>
        <w:tc>
          <w:tcPr>
            <w:tcW w:w="466"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480"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662"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-1D</w:t>
            </w:r>
          </w:p>
        </w:tc>
        <w:tc>
          <w:tcPr>
            <w:tcW w:w="480"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623"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606"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829"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rPr>
              <w:t>1</w:t>
            </w:r>
            <w:r>
              <w:rPr>
                <w:rFonts w:hint="default" w:ascii="Times New Roman" w:hAnsi="Times New Roman" w:eastAsia="宋体" w:cs="Times New Roman"/>
                <w:color w:val="auto"/>
                <w:sz w:val="21"/>
                <w:szCs w:val="21"/>
                <w:highlight w:val="none"/>
              </w:rPr>
              <w:t>D</w:t>
            </w:r>
          </w:p>
        </w:tc>
        <w:tc>
          <w:tcPr>
            <w:tcW w:w="692"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728"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743"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360" w:hRule="atLeast"/>
        </w:trPr>
        <w:tc>
          <w:tcPr>
            <w:tcW w:w="462" w:type="dxa"/>
            <w:vMerge w:val="restar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w:t>
            </w:r>
          </w:p>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营 期</w:t>
            </w:r>
          </w:p>
        </w:tc>
        <w:tc>
          <w:tcPr>
            <w:tcW w:w="1413"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废气排放</w:t>
            </w:r>
          </w:p>
        </w:tc>
        <w:tc>
          <w:tcPr>
            <w:tcW w:w="635"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rPr>
              <w:t>1</w:t>
            </w:r>
            <w:r>
              <w:rPr>
                <w:rFonts w:hint="default" w:ascii="Times New Roman" w:hAnsi="Times New Roman" w:eastAsia="宋体" w:cs="Times New Roman"/>
                <w:color w:val="auto"/>
                <w:sz w:val="21"/>
                <w:szCs w:val="21"/>
                <w:highlight w:val="none"/>
              </w:rPr>
              <w:t>C</w:t>
            </w:r>
          </w:p>
        </w:tc>
        <w:tc>
          <w:tcPr>
            <w:tcW w:w="466"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480"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662"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480"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623"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 </w:t>
            </w:r>
          </w:p>
        </w:tc>
        <w:tc>
          <w:tcPr>
            <w:tcW w:w="606"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829"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692"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728"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743"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360" w:hRule="atLeast"/>
        </w:trPr>
        <w:tc>
          <w:tcPr>
            <w:tcW w:w="462" w:type="dxa"/>
            <w:vMerge w:val="continue"/>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1413"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废水排放</w:t>
            </w:r>
          </w:p>
        </w:tc>
        <w:tc>
          <w:tcPr>
            <w:tcW w:w="635"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466"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480"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-1C</w:t>
            </w:r>
          </w:p>
        </w:tc>
        <w:tc>
          <w:tcPr>
            <w:tcW w:w="662"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 </w:t>
            </w:r>
          </w:p>
        </w:tc>
        <w:tc>
          <w:tcPr>
            <w:tcW w:w="480"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623"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606"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829"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692"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728"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743"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360" w:hRule="atLeast"/>
        </w:trPr>
        <w:tc>
          <w:tcPr>
            <w:tcW w:w="462" w:type="dxa"/>
            <w:vMerge w:val="continue"/>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1413"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噪声排放</w:t>
            </w:r>
          </w:p>
        </w:tc>
        <w:tc>
          <w:tcPr>
            <w:tcW w:w="635"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466"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480"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662"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480"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rPr>
              <w:t>-1C</w:t>
            </w:r>
          </w:p>
        </w:tc>
        <w:tc>
          <w:tcPr>
            <w:tcW w:w="623"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606"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829"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692"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728"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743"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360" w:hRule="atLeast"/>
        </w:trPr>
        <w:tc>
          <w:tcPr>
            <w:tcW w:w="462" w:type="dxa"/>
            <w:vMerge w:val="continue"/>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1413"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固废处置</w:t>
            </w:r>
          </w:p>
        </w:tc>
        <w:tc>
          <w:tcPr>
            <w:tcW w:w="635"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-1C</w:t>
            </w:r>
          </w:p>
        </w:tc>
        <w:tc>
          <w:tcPr>
            <w:tcW w:w="466"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480"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 </w:t>
            </w:r>
          </w:p>
        </w:tc>
        <w:tc>
          <w:tcPr>
            <w:tcW w:w="662"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-2C</w:t>
            </w:r>
          </w:p>
        </w:tc>
        <w:tc>
          <w:tcPr>
            <w:tcW w:w="480"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623"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606"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829"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692"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728"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743"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720" w:hRule="atLeast"/>
        </w:trPr>
        <w:tc>
          <w:tcPr>
            <w:tcW w:w="8819" w:type="dxa"/>
            <w:gridSpan w:val="13"/>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备注：1、表中“＋”表示有利影响，“－”表示不利影响； 2、表中数字表示影响的相对程度，“1”表示影响较小，“2”表示影响中等，“3”表示影响较大； 3、表中“D”表示短期影响，“C”表示长期影响。</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ind w:leftChars="0" w:right="0" w:rightChars="0" w:firstLine="456" w:firstLineChars="200"/>
        <w:jc w:val="both"/>
        <w:textAlignment w:val="auto"/>
        <w:rPr>
          <w:rFonts w:hint="default" w:ascii="Times New Roman" w:hAnsi="Times New Roman" w:eastAsia="宋体" w:cs="Times New Roman"/>
          <w:color w:val="auto"/>
          <w:spacing w:val="-6"/>
          <w:kern w:val="2"/>
          <w:sz w:val="24"/>
          <w:szCs w:val="24"/>
          <w:highlight w:val="none"/>
          <w:lang w:val="en-US" w:eastAsia="zh-CN" w:bidi="ar-SA"/>
        </w:rPr>
      </w:pPr>
      <w:r>
        <w:rPr>
          <w:rFonts w:hint="default" w:ascii="Times New Roman" w:hAnsi="Times New Roman" w:eastAsia="宋体" w:cs="Times New Roman"/>
          <w:color w:val="auto"/>
          <w:spacing w:val="-6"/>
          <w:kern w:val="2"/>
          <w:sz w:val="24"/>
          <w:szCs w:val="24"/>
          <w:highlight w:val="none"/>
          <w:lang w:val="en-US" w:eastAsia="zh-CN" w:bidi="ar-SA"/>
        </w:rPr>
        <w:t>从表2.3-1中可以看出，施工期土建过程会造成不同程度的地表破坏，施工中还产生噪声、扬尘、污水、弃土、弃渣等对环境的影响，但施工期的环境影响受施工期时段控制，影响是暂时的、局部的，当施工结束后，影响将随之消失或减缓。</w:t>
      </w:r>
    </w:p>
    <w:p>
      <w:pPr>
        <w:pageBreakBefore w:val="0"/>
        <w:wordWrap/>
        <w:bidi w:val="0"/>
        <w:adjustRightInd w:val="0"/>
        <w:ind w:left="0" w:leftChars="0" w:right="0" w:rightChars="0" w:firstLine="48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运营期牛场恶臭气体对大气环境产生较小影响。水污染为</w:t>
      </w:r>
      <w:r>
        <w:rPr>
          <w:rFonts w:hint="default" w:ascii="Times New Roman" w:hAnsi="Times New Roman" w:cs="Times New Roman"/>
          <w:color w:val="auto"/>
          <w:highlight w:val="none"/>
        </w:rPr>
        <w:t>少量生活污水及</w:t>
      </w:r>
      <w:r>
        <w:rPr>
          <w:rFonts w:hint="eastAsia" w:cs="Times New Roman"/>
          <w:color w:val="auto"/>
          <w:highlight w:val="none"/>
          <w:lang w:eastAsia="zh-CN"/>
        </w:rPr>
        <w:t>挤奶厅设备和地面清洗废水</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进入集污池收集后</w:t>
      </w:r>
      <w:r>
        <w:rPr>
          <w:rFonts w:hint="eastAsia" w:cs="Times New Roman"/>
          <w:color w:val="auto"/>
          <w:highlight w:val="none"/>
          <w:lang w:val="en-US" w:eastAsia="zh-CN"/>
        </w:rPr>
        <w:t>清掏拉运</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对环境影响较小。噪声污染主要来自于车辆以及牛的叫声等，其源强小，对外环境影响很小</w:t>
      </w:r>
      <w:r>
        <w:rPr>
          <w:rFonts w:hint="default" w:ascii="Times New Roman" w:hAnsi="Times New Roman" w:cs="Times New Roman"/>
          <w:bCs/>
          <w:color w:val="auto"/>
          <w:highlight w:val="none"/>
        </w:rPr>
        <w:t>。固体废物主要为</w:t>
      </w:r>
      <w:r>
        <w:rPr>
          <w:rFonts w:hint="default" w:ascii="Times New Roman" w:hAnsi="Times New Roman" w:cs="Times New Roman"/>
          <w:bCs/>
          <w:color w:val="auto"/>
          <w:highlight w:val="none"/>
          <w:lang w:eastAsia="zh-CN"/>
        </w:rPr>
        <w:t>粪污、病牛死尸</w:t>
      </w:r>
      <w:r>
        <w:rPr>
          <w:rFonts w:hint="default" w:ascii="Times New Roman" w:hAnsi="Times New Roman" w:cs="Times New Roman"/>
          <w:bCs/>
          <w:color w:val="auto"/>
          <w:highlight w:val="none"/>
        </w:rPr>
        <w:t>及生活垃圾等，</w:t>
      </w:r>
      <w:r>
        <w:rPr>
          <w:rFonts w:hint="default" w:ascii="Times New Roman" w:hAnsi="Times New Roman" w:cs="Times New Roman"/>
          <w:bCs/>
          <w:color w:val="auto"/>
          <w:highlight w:val="none"/>
          <w:lang w:eastAsia="zh-CN"/>
        </w:rPr>
        <w:t>粪污</w:t>
      </w:r>
      <w:r>
        <w:rPr>
          <w:rFonts w:hint="default" w:ascii="Times New Roman" w:hAnsi="Times New Roman" w:cs="Times New Roman"/>
          <w:bCs/>
          <w:color w:val="auto"/>
          <w:highlight w:val="none"/>
        </w:rPr>
        <w:t>经过堆肥处理后</w:t>
      </w:r>
      <w:r>
        <w:rPr>
          <w:rFonts w:hint="eastAsia" w:cs="Times New Roman"/>
          <w:bCs/>
          <w:color w:val="auto"/>
          <w:highlight w:val="none"/>
          <w:lang w:eastAsia="zh-CN"/>
        </w:rPr>
        <w:t>用于垫料及还田利用</w:t>
      </w:r>
      <w:r>
        <w:rPr>
          <w:rFonts w:hint="default" w:ascii="Times New Roman" w:hAnsi="Times New Roman" w:cs="Times New Roman"/>
          <w:bCs/>
          <w:color w:val="auto"/>
          <w:highlight w:val="none"/>
        </w:rPr>
        <w:t>。</w:t>
      </w:r>
      <w:r>
        <w:rPr>
          <w:rFonts w:hint="default" w:ascii="Times New Roman" w:hAnsi="Times New Roman" w:eastAsia="宋体" w:cs="Times New Roman"/>
          <w:color w:val="auto"/>
          <w:kern w:val="2"/>
          <w:sz w:val="24"/>
          <w:szCs w:val="24"/>
          <w:highlight w:val="none"/>
          <w:lang w:val="en-US" w:eastAsia="zh-CN" w:bidi="ar-SA"/>
        </w:rPr>
        <w:t>病死牛尸体</w:t>
      </w:r>
      <w:r>
        <w:rPr>
          <w:rFonts w:hint="default" w:ascii="Times New Roman" w:hAnsi="Times New Roman" w:eastAsia="宋体" w:cs="Times New Roman"/>
          <w:color w:val="auto"/>
          <w:highlight w:val="none"/>
        </w:rPr>
        <w:t>由</w:t>
      </w:r>
      <w:r>
        <w:rPr>
          <w:rFonts w:hint="default" w:ascii="Times New Roman" w:hAnsi="Times New Roman" w:cs="Times New Roman"/>
          <w:color w:val="auto"/>
          <w:highlight w:val="none"/>
          <w:lang w:val="en-US" w:eastAsia="zh-CN"/>
        </w:rPr>
        <w:t>安全填埋井填埋</w:t>
      </w:r>
      <w:r>
        <w:rPr>
          <w:rFonts w:hint="default" w:ascii="Times New Roman" w:hAnsi="Times New Roman" w:cs="Times New Roman"/>
          <w:bCs/>
          <w:color w:val="auto"/>
          <w:highlight w:val="none"/>
        </w:rPr>
        <w:t>。生活垃圾统一收集后清运至生活垃圾填埋场。从影响时段上来看，运营期的影响与</w:t>
      </w:r>
      <w:r>
        <w:rPr>
          <w:rFonts w:hint="default" w:ascii="Times New Roman" w:hAnsi="Times New Roman" w:cs="Times New Roman"/>
          <w:bCs/>
          <w:color w:val="auto"/>
          <w:highlight w:val="none"/>
          <w:lang w:eastAsia="zh-CN"/>
        </w:rPr>
        <w:t>施工期</w:t>
      </w:r>
      <w:r>
        <w:rPr>
          <w:rFonts w:hint="default" w:ascii="Times New Roman" w:hAnsi="Times New Roman" w:cs="Times New Roman"/>
          <w:bCs/>
          <w:color w:val="auto"/>
          <w:highlight w:val="none"/>
        </w:rPr>
        <w:t>的相比是长期。</w:t>
      </w:r>
    </w:p>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87" w:name="_Toc4571"/>
      <w:r>
        <w:rPr>
          <w:rFonts w:hint="default" w:ascii="Times New Roman" w:hAnsi="Times New Roman" w:cs="Times New Roman"/>
          <w:color w:val="auto"/>
          <w:highlight w:val="none"/>
        </w:rPr>
        <w:t>评价因子筛选</w:t>
      </w:r>
      <w:bookmarkEnd w:id="87"/>
    </w:p>
    <w:p>
      <w:pPr>
        <w:keepNext w:val="0"/>
        <w:keepLines w:val="0"/>
        <w:pageBreakBefore w:val="0"/>
        <w:widowControl w:val="0"/>
        <w:kinsoku/>
        <w:wordWrap/>
        <w:overflowPunct/>
        <w:topLinePunct w:val="0"/>
        <w:autoSpaceDE/>
        <w:autoSpaceDN/>
        <w:bidi w:val="0"/>
        <w:adjustRightInd w:val="0"/>
        <w:snapToGrid w:val="0"/>
        <w:ind w:left="0" w:leftChars="0" w:right="0" w:rightChars="0" w:firstLine="480"/>
        <w:textAlignment w:val="auto"/>
        <w:rPr>
          <w:rFonts w:hint="eastAsia" w:cs="Times New Roman"/>
          <w:color w:val="auto"/>
          <w:highlight w:val="none"/>
          <w:lang w:val="en-US" w:eastAsia="zh-CN"/>
        </w:rPr>
      </w:pPr>
      <w:r>
        <w:rPr>
          <w:rFonts w:hint="eastAsia" w:cs="Times New Roman"/>
          <w:color w:val="auto"/>
          <w:highlight w:val="none"/>
          <w:lang w:val="en-US" w:eastAsia="zh-CN"/>
        </w:rPr>
        <w:t>本项目评价因子见表2.3-2。</w:t>
      </w:r>
    </w:p>
    <w:p>
      <w:pPr>
        <w:pStyle w:val="50"/>
        <w:keepNext w:val="0"/>
        <w:keepLines w:val="0"/>
        <w:pageBreakBefore w:val="0"/>
        <w:widowControl w:val="0"/>
        <w:kinsoku/>
        <w:wordWrap/>
        <w:overflowPunct/>
        <w:autoSpaceDE/>
        <w:autoSpaceDN/>
        <w:bidi w:val="0"/>
        <w:adjustRightInd w:val="0"/>
        <w:snapToGrid w:val="0"/>
        <w:spacing w:afterLines="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表2.3-2  评价因子</w:t>
      </w:r>
    </w:p>
    <w:tbl>
      <w:tblPr>
        <w:tblStyle w:val="40"/>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1920"/>
        <w:gridCol w:w="611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5" w:type="dxa"/>
            <w:tcBorders>
              <w:tl2br w:val="nil"/>
              <w:tr2bl w:val="nil"/>
            </w:tcBorders>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类别</w:t>
            </w:r>
          </w:p>
        </w:tc>
        <w:tc>
          <w:tcPr>
            <w:tcW w:w="1920" w:type="dxa"/>
            <w:tcBorders>
              <w:tl2br w:val="nil"/>
              <w:tr2bl w:val="nil"/>
            </w:tcBorders>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w:t>
            </w:r>
          </w:p>
        </w:tc>
        <w:tc>
          <w:tcPr>
            <w:tcW w:w="6115" w:type="dxa"/>
            <w:tcBorders>
              <w:tl2br w:val="nil"/>
              <w:tr2bl w:val="nil"/>
            </w:tcBorders>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评价因子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5" w:type="dxa"/>
            <w:vMerge w:val="restart"/>
            <w:tcBorders>
              <w:tl2br w:val="nil"/>
              <w:tr2bl w:val="nil"/>
            </w:tcBorders>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大气</w:t>
            </w:r>
          </w:p>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环境</w:t>
            </w:r>
          </w:p>
        </w:tc>
        <w:tc>
          <w:tcPr>
            <w:tcW w:w="1920" w:type="dxa"/>
            <w:tcBorders>
              <w:tl2br w:val="nil"/>
              <w:tr2bl w:val="nil"/>
            </w:tcBorders>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环境现状评价因子</w:t>
            </w:r>
          </w:p>
        </w:tc>
        <w:tc>
          <w:tcPr>
            <w:tcW w:w="6115" w:type="dxa"/>
            <w:tcBorders>
              <w:tl2br w:val="nil"/>
              <w:tr2bl w:val="nil"/>
            </w:tcBorders>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bCs/>
                <w:color w:val="auto"/>
                <w:sz w:val="21"/>
                <w:szCs w:val="21"/>
                <w:highlight w:val="none"/>
              </w:rPr>
              <w:t>H</w:t>
            </w:r>
            <w:r>
              <w:rPr>
                <w:rFonts w:hint="default" w:ascii="Times New Roman" w:hAnsi="Times New Roman" w:cs="Times New Roman"/>
                <w:bCs/>
                <w:color w:val="auto"/>
                <w:sz w:val="21"/>
                <w:szCs w:val="21"/>
                <w:highlight w:val="none"/>
                <w:vertAlign w:val="subscript"/>
              </w:rPr>
              <w:t>2</w:t>
            </w:r>
            <w:r>
              <w:rPr>
                <w:rFonts w:hint="default" w:ascii="Times New Roman" w:hAnsi="Times New Roman" w:cs="Times New Roman"/>
                <w:bCs/>
                <w:color w:val="auto"/>
                <w:sz w:val="21"/>
                <w:szCs w:val="21"/>
                <w:highlight w:val="none"/>
              </w:rPr>
              <w:t>S、NH</w:t>
            </w:r>
            <w:r>
              <w:rPr>
                <w:rFonts w:hint="default" w:ascii="Times New Roman" w:hAnsi="Times New Roman" w:cs="Times New Roman"/>
                <w:bCs/>
                <w:color w:val="auto"/>
                <w:sz w:val="21"/>
                <w:szCs w:val="21"/>
                <w:highlight w:val="none"/>
                <w:vertAlign w:val="subscript"/>
              </w:rPr>
              <w:t>3</w:t>
            </w:r>
            <w:r>
              <w:rPr>
                <w:rFonts w:hint="default" w:ascii="Times New Roman" w:hAnsi="Times New Roman" w:cs="Times New Roman"/>
                <w:bCs/>
                <w:color w:val="auto"/>
                <w:sz w:val="21"/>
                <w:szCs w:val="21"/>
                <w:highlight w:val="none"/>
              </w:rPr>
              <w:t>、臭气浓度</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TSP</w:t>
            </w:r>
            <w:r>
              <w:rPr>
                <w:rFonts w:hint="default" w:ascii="Times New Roman" w:hAnsi="Times New Roman" w:cs="Times New Roman"/>
                <w:color w:val="auto"/>
                <w:sz w:val="21"/>
                <w:szCs w:val="21"/>
                <w:highlight w:val="none"/>
                <w:lang w:eastAsia="zh-CN"/>
              </w:rPr>
              <w:t>、SO</w:t>
            </w:r>
            <w:r>
              <w:rPr>
                <w:rFonts w:hint="default" w:ascii="Times New Roman" w:hAnsi="Times New Roman" w:cs="Times New Roman"/>
                <w:color w:val="auto"/>
                <w:sz w:val="21"/>
                <w:szCs w:val="21"/>
                <w:highlight w:val="none"/>
                <w:vertAlign w:val="subscript"/>
                <w:lang w:eastAsia="zh-CN"/>
              </w:rPr>
              <w:t>2</w:t>
            </w:r>
            <w:r>
              <w:rPr>
                <w:rFonts w:hint="default" w:ascii="Times New Roman" w:hAnsi="Times New Roman" w:cs="Times New Roman"/>
                <w:color w:val="auto"/>
                <w:sz w:val="21"/>
                <w:szCs w:val="21"/>
                <w:highlight w:val="none"/>
                <w:lang w:eastAsia="zh-CN"/>
              </w:rPr>
              <w:t>、NO</w:t>
            </w:r>
            <w:r>
              <w:rPr>
                <w:rFonts w:hint="default" w:ascii="Times New Roman" w:hAnsi="Times New Roman" w:cs="Times New Roman"/>
                <w:color w:val="auto"/>
                <w:sz w:val="21"/>
                <w:szCs w:val="21"/>
                <w:highlight w:val="none"/>
                <w:vertAlign w:val="subscript"/>
                <w:lang w:eastAsia="zh-CN"/>
              </w:rPr>
              <w:t>2</w:t>
            </w:r>
            <w:r>
              <w:rPr>
                <w:rFonts w:hint="default" w:ascii="Times New Roman" w:hAnsi="Times New Roman" w:cs="Times New Roman"/>
                <w:color w:val="auto"/>
                <w:sz w:val="21"/>
                <w:szCs w:val="21"/>
                <w:highlight w:val="none"/>
                <w:lang w:eastAsia="zh-CN"/>
              </w:rPr>
              <w:t>、PM</w:t>
            </w:r>
            <w:r>
              <w:rPr>
                <w:rFonts w:hint="default" w:ascii="Times New Roman" w:hAnsi="Times New Roman" w:cs="Times New Roman"/>
                <w:color w:val="auto"/>
                <w:sz w:val="21"/>
                <w:szCs w:val="21"/>
                <w:highlight w:val="none"/>
                <w:vertAlign w:val="subscript"/>
                <w:lang w:eastAsia="zh-CN"/>
              </w:rPr>
              <w:t>10</w:t>
            </w:r>
            <w:r>
              <w:rPr>
                <w:rFonts w:hint="default" w:ascii="Times New Roman" w:hAnsi="Times New Roman" w:cs="Times New Roman"/>
                <w:color w:val="auto"/>
                <w:sz w:val="21"/>
                <w:szCs w:val="21"/>
                <w:highlight w:val="none"/>
                <w:lang w:eastAsia="zh-CN"/>
              </w:rPr>
              <w:t>、PM</w:t>
            </w:r>
            <w:r>
              <w:rPr>
                <w:rFonts w:hint="default" w:ascii="Times New Roman" w:hAnsi="Times New Roman" w:cs="Times New Roman"/>
                <w:color w:val="auto"/>
                <w:sz w:val="21"/>
                <w:szCs w:val="21"/>
                <w:highlight w:val="none"/>
                <w:vertAlign w:val="subscript"/>
                <w:lang w:eastAsia="zh-CN"/>
              </w:rPr>
              <w:t>2.5</w:t>
            </w:r>
            <w:r>
              <w:rPr>
                <w:rFonts w:hint="default" w:ascii="Times New Roman" w:hAnsi="Times New Roman" w:cs="Times New Roman"/>
                <w:color w:val="auto"/>
                <w:sz w:val="21"/>
                <w:szCs w:val="21"/>
                <w:highlight w:val="none"/>
                <w:lang w:eastAsia="zh-CN"/>
              </w:rPr>
              <w:t>、CO、O</w:t>
            </w:r>
            <w:r>
              <w:rPr>
                <w:rFonts w:hint="default" w:ascii="Times New Roman" w:hAnsi="Times New Roman" w:cs="Times New Roman"/>
                <w:color w:val="auto"/>
                <w:sz w:val="21"/>
                <w:szCs w:val="21"/>
                <w:highlight w:val="none"/>
                <w:vertAlign w:val="subscript"/>
                <w:lang w:eastAsia="zh-CN"/>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tl2br w:val="nil"/>
              <w:tr2bl w:val="nil"/>
            </w:tcBorders>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1920" w:type="dxa"/>
            <w:tcBorders>
              <w:tl2br w:val="nil"/>
              <w:tr2bl w:val="nil"/>
            </w:tcBorders>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环境影响评价因子</w:t>
            </w:r>
          </w:p>
        </w:tc>
        <w:tc>
          <w:tcPr>
            <w:tcW w:w="6115" w:type="dxa"/>
            <w:tcBorders>
              <w:tl2br w:val="nil"/>
              <w:tr2bl w:val="nil"/>
            </w:tcBorders>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zh-CN"/>
              </w:rPr>
              <w:t>NH</w:t>
            </w:r>
            <w:r>
              <w:rPr>
                <w:rFonts w:hint="default" w:ascii="Times New Roman" w:hAnsi="Times New Roman" w:cs="Times New Roman"/>
                <w:color w:val="auto"/>
                <w:sz w:val="21"/>
                <w:szCs w:val="21"/>
                <w:highlight w:val="none"/>
                <w:vertAlign w:val="subscript"/>
                <w:lang w:val="zh-CN"/>
              </w:rPr>
              <w:t>3</w:t>
            </w:r>
            <w:r>
              <w:rPr>
                <w:rFonts w:hint="default" w:ascii="Times New Roman" w:hAnsi="Times New Roman" w:cs="Times New Roman"/>
                <w:color w:val="auto"/>
                <w:sz w:val="21"/>
                <w:szCs w:val="21"/>
                <w:highlight w:val="none"/>
              </w:rPr>
              <w:t>、H</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S、</w:t>
            </w:r>
            <w:r>
              <w:rPr>
                <w:rFonts w:hint="default" w:ascii="Times New Roman" w:hAnsi="Times New Roman" w:cs="Times New Roman"/>
                <w:color w:val="auto"/>
                <w:sz w:val="21"/>
                <w:szCs w:val="21"/>
                <w:highlight w:val="none"/>
                <w:lang w:val="en-US" w:eastAsia="zh-CN"/>
              </w:rPr>
              <w:t>TSP、PM</w:t>
            </w:r>
            <w:r>
              <w:rPr>
                <w:rFonts w:hint="default" w:ascii="Times New Roman" w:hAnsi="Times New Roman" w:cs="Times New Roman"/>
                <w:color w:val="auto"/>
                <w:sz w:val="21"/>
                <w:szCs w:val="21"/>
                <w:highlight w:val="none"/>
                <w:vertAlign w:val="subscript"/>
                <w:lang w:val="en-US" w:eastAsia="zh-CN"/>
              </w:rPr>
              <w:t>10</w:t>
            </w:r>
            <w:r>
              <w:rPr>
                <w:rFonts w:hint="eastAsia" w:cs="Times New Roman"/>
                <w:bCs/>
                <w:color w:val="auto"/>
                <w:sz w:val="21"/>
                <w:szCs w:val="21"/>
                <w:highlight w:val="none"/>
                <w:lang w:val="en-US" w:eastAsia="zh-CN"/>
              </w:rPr>
              <w:t>、</w:t>
            </w:r>
            <w:r>
              <w:rPr>
                <w:rFonts w:hint="eastAsia" w:ascii="Times New Roman" w:hAnsi="Times New Roman" w:cs="Times New Roman"/>
                <w:bCs/>
                <w:color w:val="auto"/>
                <w:sz w:val="21"/>
                <w:szCs w:val="21"/>
                <w:highlight w:val="none"/>
                <w:lang w:val="en-US" w:eastAsia="zh-CN"/>
              </w:rPr>
              <w:t>臭气浓度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5" w:type="dxa"/>
            <w:vMerge w:val="restart"/>
            <w:tcBorders>
              <w:tl2br w:val="nil"/>
              <w:tr2bl w:val="nil"/>
            </w:tcBorders>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地下水</w:t>
            </w:r>
          </w:p>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环境</w:t>
            </w:r>
          </w:p>
        </w:tc>
        <w:tc>
          <w:tcPr>
            <w:tcW w:w="1920" w:type="dxa"/>
            <w:tcBorders>
              <w:tl2br w:val="nil"/>
              <w:tr2bl w:val="nil"/>
            </w:tcBorders>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环境现状评价因子</w:t>
            </w:r>
          </w:p>
        </w:tc>
        <w:tc>
          <w:tcPr>
            <w:tcW w:w="6115" w:type="dxa"/>
            <w:tcBorders>
              <w:tl2br w:val="nil"/>
              <w:tr2bl w:val="nil"/>
            </w:tcBorders>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bCs/>
                <w:color w:val="auto"/>
                <w:sz w:val="21"/>
                <w:szCs w:val="21"/>
                <w:highlight w:val="none"/>
              </w:rPr>
              <w:t>K</w:t>
            </w:r>
            <w:r>
              <w:rPr>
                <w:rFonts w:hint="default" w:ascii="Times New Roman" w:hAnsi="Times New Roman" w:cs="Times New Roman"/>
                <w:bCs/>
                <w:color w:val="auto"/>
                <w:sz w:val="21"/>
                <w:szCs w:val="21"/>
                <w:highlight w:val="none"/>
                <w:vertAlign w:val="superscript"/>
              </w:rPr>
              <w:t>+</w:t>
            </w:r>
            <w:r>
              <w:rPr>
                <w:rFonts w:hint="default" w:ascii="Times New Roman" w:hAnsi="Times New Roman" w:cs="Times New Roman"/>
                <w:bCs/>
                <w:color w:val="auto"/>
                <w:sz w:val="21"/>
                <w:szCs w:val="21"/>
                <w:highlight w:val="none"/>
              </w:rPr>
              <w:t>、Na</w:t>
            </w:r>
            <w:r>
              <w:rPr>
                <w:rFonts w:hint="default" w:ascii="Times New Roman" w:hAnsi="Times New Roman" w:cs="Times New Roman"/>
                <w:bCs/>
                <w:color w:val="auto"/>
                <w:sz w:val="21"/>
                <w:szCs w:val="21"/>
                <w:highlight w:val="none"/>
                <w:vertAlign w:val="superscript"/>
              </w:rPr>
              <w:t>+</w:t>
            </w:r>
            <w:r>
              <w:rPr>
                <w:rFonts w:hint="default" w:ascii="Times New Roman" w:hAnsi="Times New Roman" w:cs="Times New Roman"/>
                <w:bCs/>
                <w:color w:val="auto"/>
                <w:sz w:val="21"/>
                <w:szCs w:val="21"/>
                <w:highlight w:val="none"/>
              </w:rPr>
              <w:t>、Ca</w:t>
            </w:r>
            <w:r>
              <w:rPr>
                <w:rFonts w:hint="default" w:ascii="Times New Roman" w:hAnsi="Times New Roman" w:cs="Times New Roman"/>
                <w:bCs/>
                <w:color w:val="auto"/>
                <w:sz w:val="21"/>
                <w:szCs w:val="21"/>
                <w:highlight w:val="none"/>
                <w:vertAlign w:val="superscript"/>
              </w:rPr>
              <w:t>2+</w:t>
            </w:r>
            <w:r>
              <w:rPr>
                <w:rFonts w:hint="default" w:ascii="Times New Roman" w:hAnsi="Times New Roman" w:cs="Times New Roman"/>
                <w:bCs/>
                <w:color w:val="auto"/>
                <w:sz w:val="21"/>
                <w:szCs w:val="21"/>
                <w:highlight w:val="none"/>
              </w:rPr>
              <w:t>、Mg</w:t>
            </w:r>
            <w:r>
              <w:rPr>
                <w:rFonts w:hint="default" w:ascii="Times New Roman" w:hAnsi="Times New Roman" w:cs="Times New Roman"/>
                <w:bCs/>
                <w:color w:val="auto"/>
                <w:sz w:val="21"/>
                <w:szCs w:val="21"/>
                <w:highlight w:val="none"/>
                <w:vertAlign w:val="superscript"/>
              </w:rPr>
              <w:t>2+</w:t>
            </w:r>
            <w:r>
              <w:rPr>
                <w:rFonts w:hint="default" w:ascii="Times New Roman" w:hAnsi="Times New Roman" w:cs="Times New Roman"/>
                <w:bCs/>
                <w:color w:val="auto"/>
                <w:sz w:val="21"/>
                <w:szCs w:val="21"/>
                <w:highlight w:val="none"/>
              </w:rPr>
              <w:t>、CO</w:t>
            </w:r>
            <w:r>
              <w:rPr>
                <w:rFonts w:hint="default" w:ascii="Times New Roman" w:hAnsi="Times New Roman" w:cs="Times New Roman"/>
                <w:bCs/>
                <w:color w:val="auto"/>
                <w:sz w:val="21"/>
                <w:szCs w:val="21"/>
                <w:highlight w:val="none"/>
                <w:vertAlign w:val="subscript"/>
              </w:rPr>
              <w:t>3</w:t>
            </w:r>
            <w:r>
              <w:rPr>
                <w:rFonts w:hint="default" w:ascii="Times New Roman" w:hAnsi="Times New Roman" w:cs="Times New Roman"/>
                <w:bCs/>
                <w:color w:val="auto"/>
                <w:sz w:val="21"/>
                <w:szCs w:val="21"/>
                <w:highlight w:val="none"/>
                <w:vertAlign w:val="superscript"/>
              </w:rPr>
              <w:t>2-</w:t>
            </w:r>
            <w:r>
              <w:rPr>
                <w:rFonts w:hint="default" w:ascii="Times New Roman" w:hAnsi="Times New Roman" w:cs="Times New Roman"/>
                <w:bCs/>
                <w:color w:val="auto"/>
                <w:sz w:val="21"/>
                <w:szCs w:val="21"/>
                <w:highlight w:val="none"/>
              </w:rPr>
              <w:t>、HCO</w:t>
            </w:r>
            <w:r>
              <w:rPr>
                <w:rFonts w:hint="default" w:ascii="Times New Roman" w:hAnsi="Times New Roman" w:cs="Times New Roman"/>
                <w:bCs/>
                <w:color w:val="auto"/>
                <w:sz w:val="21"/>
                <w:szCs w:val="21"/>
                <w:highlight w:val="none"/>
                <w:vertAlign w:val="subscript"/>
              </w:rPr>
              <w:t>3</w:t>
            </w:r>
            <w:r>
              <w:rPr>
                <w:rFonts w:hint="default" w:ascii="Times New Roman" w:hAnsi="Times New Roman" w:cs="Times New Roman"/>
                <w:bCs/>
                <w:color w:val="auto"/>
                <w:sz w:val="21"/>
                <w:szCs w:val="21"/>
                <w:highlight w:val="none"/>
                <w:vertAlign w:val="superscript"/>
              </w:rPr>
              <w:t>-</w:t>
            </w:r>
            <w:r>
              <w:rPr>
                <w:rFonts w:hint="default" w:ascii="Times New Roman" w:hAnsi="Times New Roman" w:cs="Times New Roman"/>
                <w:bCs/>
                <w:color w:val="auto"/>
                <w:sz w:val="21"/>
                <w:szCs w:val="21"/>
                <w:highlight w:val="none"/>
              </w:rPr>
              <w:t>、Cl</w:t>
            </w:r>
            <w:r>
              <w:rPr>
                <w:rFonts w:hint="default" w:ascii="Times New Roman" w:hAnsi="Times New Roman" w:cs="Times New Roman"/>
                <w:bCs/>
                <w:color w:val="auto"/>
                <w:sz w:val="21"/>
                <w:szCs w:val="21"/>
                <w:highlight w:val="none"/>
                <w:vertAlign w:val="superscript"/>
              </w:rPr>
              <w:t>-</w:t>
            </w:r>
            <w:r>
              <w:rPr>
                <w:rFonts w:hint="default" w:ascii="Times New Roman" w:hAnsi="Times New Roman" w:cs="Times New Roman"/>
                <w:bCs/>
                <w:color w:val="auto"/>
                <w:sz w:val="21"/>
                <w:szCs w:val="21"/>
                <w:highlight w:val="none"/>
              </w:rPr>
              <w:t>、SO</w:t>
            </w:r>
            <w:r>
              <w:rPr>
                <w:rFonts w:hint="default" w:ascii="Times New Roman" w:hAnsi="Times New Roman" w:cs="Times New Roman"/>
                <w:bCs/>
                <w:color w:val="auto"/>
                <w:sz w:val="21"/>
                <w:szCs w:val="21"/>
                <w:highlight w:val="none"/>
                <w:vertAlign w:val="subscript"/>
              </w:rPr>
              <w:t>4</w:t>
            </w:r>
            <w:r>
              <w:rPr>
                <w:rFonts w:hint="default" w:ascii="Times New Roman" w:hAnsi="Times New Roman" w:cs="Times New Roman"/>
                <w:bCs/>
                <w:color w:val="auto"/>
                <w:sz w:val="21"/>
                <w:szCs w:val="21"/>
                <w:highlight w:val="none"/>
                <w:vertAlign w:val="superscript"/>
              </w:rPr>
              <w:t>2-</w:t>
            </w:r>
            <w:r>
              <w:rPr>
                <w:rFonts w:hint="default" w:ascii="Times New Roman" w:hAnsi="Times New Roman" w:cs="Times New Roman"/>
                <w:bCs/>
                <w:color w:val="auto"/>
                <w:sz w:val="21"/>
                <w:szCs w:val="21"/>
                <w:highlight w:val="none"/>
              </w:rPr>
              <w:t>；pH、总硬度、溶解性总固体、</w:t>
            </w:r>
            <w:r>
              <w:rPr>
                <w:rFonts w:hint="default" w:ascii="Times New Roman" w:hAnsi="Times New Roman" w:cs="Times New Roman"/>
                <w:bCs/>
                <w:color w:val="auto"/>
                <w:sz w:val="21"/>
                <w:szCs w:val="21"/>
                <w:highlight w:val="none"/>
                <w:lang w:val="en-US" w:eastAsia="zh-CN"/>
              </w:rPr>
              <w:t>耗氧量、</w:t>
            </w:r>
            <w:r>
              <w:rPr>
                <w:rFonts w:hint="default" w:ascii="Times New Roman" w:hAnsi="Times New Roman" w:cs="Times New Roman"/>
                <w:bCs/>
                <w:color w:val="auto"/>
                <w:sz w:val="21"/>
                <w:szCs w:val="21"/>
                <w:highlight w:val="none"/>
              </w:rPr>
              <w:t>铁、锰、铜、锌、挥发酚、阴离子表面活性剂、硝酸盐、亚硝酸盐、氨氮、硫化物、氟化物、氰化物、汞、砷、镉、六价铬、铅、总大肠菌群</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tl2br w:val="nil"/>
              <w:tr2bl w:val="nil"/>
            </w:tcBorders>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1920" w:type="dxa"/>
            <w:tcBorders>
              <w:tl2br w:val="nil"/>
              <w:tr2bl w:val="nil"/>
            </w:tcBorders>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环境影响评价因子</w:t>
            </w:r>
          </w:p>
        </w:tc>
        <w:tc>
          <w:tcPr>
            <w:tcW w:w="6115" w:type="dxa"/>
            <w:tcBorders>
              <w:tl2br w:val="nil"/>
              <w:tr2bl w:val="nil"/>
            </w:tcBorders>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NH</w:t>
            </w:r>
            <w:r>
              <w:rPr>
                <w:rFonts w:hint="default" w:ascii="Times New Roman" w:hAnsi="Times New Roman" w:eastAsia="宋体" w:cs="Times New Roman"/>
                <w:color w:val="auto"/>
                <w:kern w:val="0"/>
                <w:sz w:val="21"/>
                <w:szCs w:val="21"/>
                <w:highlight w:val="none"/>
                <w:vertAlign w:val="subscript"/>
                <w:lang w:val="en-US" w:eastAsia="zh-CN" w:bidi="ar-SA"/>
              </w:rPr>
              <w:t>3</w:t>
            </w:r>
            <w:r>
              <w:rPr>
                <w:rFonts w:hint="default" w:ascii="Times New Roman" w:hAnsi="Times New Roman" w:eastAsia="宋体" w:cs="Times New Roman"/>
                <w:color w:val="auto"/>
                <w:kern w:val="0"/>
                <w:sz w:val="21"/>
                <w:szCs w:val="21"/>
                <w:highlight w:val="none"/>
                <w:lang w:val="en-US" w:eastAsia="zh-CN" w:bidi="ar-SA"/>
              </w:rPr>
              <w:t>-N</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5" w:type="dxa"/>
            <w:vMerge w:val="restart"/>
            <w:tcBorders>
              <w:tl2br w:val="nil"/>
              <w:tr2bl w:val="nil"/>
            </w:tcBorders>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声环境</w:t>
            </w:r>
          </w:p>
        </w:tc>
        <w:tc>
          <w:tcPr>
            <w:tcW w:w="1920" w:type="dxa"/>
            <w:tcBorders>
              <w:tl2br w:val="nil"/>
              <w:tr2bl w:val="nil"/>
            </w:tcBorders>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zh-CN" w:eastAsia="zh-CN" w:bidi="ar-SA"/>
              </w:rPr>
            </w:pPr>
            <w:r>
              <w:rPr>
                <w:rFonts w:hint="default" w:ascii="Times New Roman" w:hAnsi="Times New Roman" w:cs="Times New Roman"/>
                <w:color w:val="auto"/>
                <w:sz w:val="21"/>
                <w:szCs w:val="21"/>
                <w:highlight w:val="none"/>
              </w:rPr>
              <w:t>环境现状评价因子</w:t>
            </w:r>
          </w:p>
        </w:tc>
        <w:tc>
          <w:tcPr>
            <w:tcW w:w="6115" w:type="dxa"/>
            <w:tcBorders>
              <w:tl2br w:val="nil"/>
              <w:tr2bl w:val="nil"/>
            </w:tcBorders>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zh-CN"/>
              </w:rPr>
              <w:t>等效连续A声级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tl2br w:val="nil"/>
              <w:tr2bl w:val="nil"/>
            </w:tcBorders>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auto"/>
                <w:sz w:val="21"/>
                <w:szCs w:val="21"/>
                <w:highlight w:val="none"/>
              </w:rPr>
            </w:pPr>
          </w:p>
        </w:tc>
        <w:tc>
          <w:tcPr>
            <w:tcW w:w="1920" w:type="dxa"/>
            <w:tcBorders>
              <w:tl2br w:val="nil"/>
              <w:tr2bl w:val="nil"/>
            </w:tcBorders>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zh-CN" w:eastAsia="zh-CN" w:bidi="ar-SA"/>
              </w:rPr>
            </w:pPr>
            <w:r>
              <w:rPr>
                <w:rFonts w:hint="default" w:ascii="Times New Roman" w:hAnsi="Times New Roman" w:cs="Times New Roman"/>
                <w:color w:val="auto"/>
                <w:sz w:val="21"/>
                <w:szCs w:val="21"/>
                <w:highlight w:val="none"/>
              </w:rPr>
              <w:t>环境影响评价因子</w:t>
            </w:r>
          </w:p>
        </w:tc>
        <w:tc>
          <w:tcPr>
            <w:tcW w:w="6115" w:type="dxa"/>
            <w:tcBorders>
              <w:tl2br w:val="nil"/>
              <w:tr2bl w:val="nil"/>
            </w:tcBorders>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zh-CN"/>
              </w:rPr>
              <w:t>等效连续A声级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5" w:type="dxa"/>
            <w:vMerge w:val="restart"/>
            <w:tcBorders>
              <w:tl2br w:val="nil"/>
              <w:tr2bl w:val="nil"/>
            </w:tcBorders>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土壤</w:t>
            </w:r>
          </w:p>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环境</w:t>
            </w:r>
          </w:p>
        </w:tc>
        <w:tc>
          <w:tcPr>
            <w:tcW w:w="1920" w:type="dxa"/>
            <w:tcBorders>
              <w:tl2br w:val="nil"/>
              <w:tr2bl w:val="nil"/>
            </w:tcBorders>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环境现状评价因子</w:t>
            </w:r>
          </w:p>
        </w:tc>
        <w:tc>
          <w:tcPr>
            <w:tcW w:w="6115" w:type="dxa"/>
            <w:tcBorders>
              <w:tl2br w:val="nil"/>
              <w:tr2bl w:val="nil"/>
            </w:tcBorders>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pH、镉、汞、砷、铅、铬（六价）、铜、镍、</w:t>
            </w:r>
            <w:r>
              <w:rPr>
                <w:rFonts w:hint="default" w:ascii="Times New Roman" w:hAnsi="Times New Roman" w:cs="Times New Roman"/>
                <w:bCs/>
                <w:color w:val="auto"/>
                <w:sz w:val="21"/>
                <w:szCs w:val="21"/>
                <w:highlight w:val="none"/>
              </w:rPr>
              <w:t>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tl2br w:val="nil"/>
              <w:tr2bl w:val="nil"/>
            </w:tcBorders>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1920" w:type="dxa"/>
            <w:tcBorders>
              <w:tl2br w:val="nil"/>
              <w:tr2bl w:val="nil"/>
            </w:tcBorders>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环境影响评价因子</w:t>
            </w:r>
          </w:p>
        </w:tc>
        <w:tc>
          <w:tcPr>
            <w:tcW w:w="6115" w:type="dxa"/>
            <w:tcBorders>
              <w:tl2br w:val="nil"/>
              <w:tr2bl w:val="nil"/>
            </w:tcBorders>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COD、BOD</w:t>
            </w:r>
            <w:r>
              <w:rPr>
                <w:rFonts w:hint="default" w:ascii="Times New Roman" w:hAnsi="Times New Roman" w:eastAsia="宋体" w:cs="Times New Roman"/>
                <w:color w:val="auto"/>
                <w:kern w:val="0"/>
                <w:sz w:val="21"/>
                <w:szCs w:val="21"/>
                <w:highlight w:val="none"/>
                <w:vertAlign w:val="subscript"/>
                <w:lang w:val="en-US" w:eastAsia="zh-CN" w:bidi="ar-SA"/>
              </w:rPr>
              <w:t>5</w:t>
            </w:r>
            <w:r>
              <w:rPr>
                <w:rFonts w:hint="default" w:ascii="Times New Roman" w:hAnsi="Times New Roman" w:eastAsia="宋体" w:cs="Times New Roman"/>
                <w:color w:val="auto"/>
                <w:kern w:val="0"/>
                <w:sz w:val="21"/>
                <w:szCs w:val="21"/>
                <w:highlight w:val="none"/>
                <w:lang w:val="en-US" w:eastAsia="zh-CN" w:bidi="ar-SA"/>
              </w:rPr>
              <w:t>、NH</w:t>
            </w:r>
            <w:r>
              <w:rPr>
                <w:rFonts w:hint="default" w:ascii="Times New Roman" w:hAnsi="Times New Roman" w:eastAsia="宋体" w:cs="Times New Roman"/>
                <w:color w:val="auto"/>
                <w:kern w:val="0"/>
                <w:sz w:val="21"/>
                <w:szCs w:val="21"/>
                <w:highlight w:val="none"/>
                <w:vertAlign w:val="subscript"/>
                <w:lang w:val="en-US" w:eastAsia="zh-CN" w:bidi="ar-SA"/>
              </w:rPr>
              <w:t>3</w:t>
            </w:r>
            <w:r>
              <w:rPr>
                <w:rFonts w:hint="default" w:ascii="Times New Roman" w:hAnsi="Times New Roman" w:eastAsia="宋体" w:cs="Times New Roman"/>
                <w:color w:val="auto"/>
                <w:kern w:val="0"/>
                <w:sz w:val="21"/>
                <w:szCs w:val="21"/>
                <w:highlight w:val="none"/>
                <w:lang w:val="en-US" w:eastAsia="zh-CN" w:bidi="ar-SA"/>
              </w:rPr>
              <w:t>-N</w:t>
            </w:r>
            <w:r>
              <w:rPr>
                <w:rFonts w:hint="default" w:ascii="Times New Roman" w:hAnsi="Times New Roman" w:cs="Times New Roman"/>
                <w:color w:val="auto"/>
                <w:kern w:val="0"/>
                <w:sz w:val="21"/>
                <w:szCs w:val="21"/>
                <w:highlight w:val="none"/>
                <w:lang w:val="en-US" w:eastAsia="zh-CN" w:bidi="ar-SA"/>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5" w:type="dxa"/>
            <w:tcBorders>
              <w:tl2br w:val="nil"/>
              <w:tr2bl w:val="nil"/>
            </w:tcBorders>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固体废物</w:t>
            </w:r>
          </w:p>
        </w:tc>
        <w:tc>
          <w:tcPr>
            <w:tcW w:w="1920" w:type="dxa"/>
            <w:tcBorders>
              <w:tl2br w:val="nil"/>
              <w:tr2bl w:val="nil"/>
            </w:tcBorders>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环境影响评价因子</w:t>
            </w:r>
          </w:p>
        </w:tc>
        <w:tc>
          <w:tcPr>
            <w:tcW w:w="6115" w:type="dxa"/>
            <w:tcBorders>
              <w:tl2br w:val="nil"/>
              <w:tr2bl w:val="nil"/>
            </w:tcBorders>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eastAsia="zh-CN"/>
              </w:rPr>
              <w:t>粪污</w:t>
            </w:r>
            <w:r>
              <w:rPr>
                <w:rFonts w:hint="default" w:ascii="Times New Roman" w:hAnsi="Times New Roman" w:cs="Times New Roman"/>
                <w:color w:val="auto"/>
                <w:sz w:val="21"/>
                <w:szCs w:val="21"/>
                <w:highlight w:val="none"/>
              </w:rPr>
              <w:t>、生活垃圾</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病死尸体</w:t>
            </w:r>
            <w:r>
              <w:rPr>
                <w:rFonts w:hint="default" w:ascii="Times New Roman" w:hAnsi="Times New Roman" w:cs="Times New Roman"/>
                <w:color w:val="auto"/>
                <w:sz w:val="21"/>
                <w:szCs w:val="21"/>
                <w:highlight w:val="none"/>
              </w:rPr>
              <w:t>及</w:t>
            </w:r>
            <w:r>
              <w:rPr>
                <w:rFonts w:hint="default" w:ascii="Times New Roman" w:hAnsi="Times New Roman" w:cs="Times New Roman"/>
                <w:color w:val="auto"/>
                <w:sz w:val="21"/>
                <w:szCs w:val="21"/>
                <w:highlight w:val="none"/>
                <w:lang w:val="en-US" w:eastAsia="zh-CN"/>
              </w:rPr>
              <w:t>医疗废物</w:t>
            </w:r>
            <w:r>
              <w:rPr>
                <w:rFonts w:hint="default" w:ascii="Times New Roman" w:hAnsi="Times New Roman" w:cs="Times New Roman"/>
                <w:color w:val="auto"/>
                <w:sz w:val="21"/>
                <w:szCs w:val="21"/>
                <w:highlight w:val="none"/>
              </w:rPr>
              <w:t>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5" w:type="dxa"/>
            <w:tcBorders>
              <w:tl2br w:val="nil"/>
              <w:tr2bl w:val="nil"/>
            </w:tcBorders>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生态</w:t>
            </w:r>
          </w:p>
        </w:tc>
        <w:tc>
          <w:tcPr>
            <w:tcW w:w="1920" w:type="dxa"/>
            <w:tcBorders>
              <w:tl2br w:val="nil"/>
              <w:tr2bl w:val="nil"/>
            </w:tcBorders>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环境影响分析</w:t>
            </w:r>
          </w:p>
        </w:tc>
        <w:tc>
          <w:tcPr>
            <w:tcW w:w="6115" w:type="dxa"/>
            <w:tcBorders>
              <w:tl2br w:val="nil"/>
              <w:tr2bl w:val="nil"/>
            </w:tcBorders>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物种</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生物群落</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生态系统</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生物多样性</w:t>
            </w:r>
          </w:p>
        </w:tc>
      </w:tr>
    </w:tbl>
    <w:p>
      <w:pPr>
        <w:pStyle w:val="4"/>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88" w:name="_Toc49"/>
      <w:bookmarkStart w:id="89" w:name="_Toc25761"/>
      <w:r>
        <w:rPr>
          <w:rFonts w:hint="default" w:ascii="Times New Roman" w:hAnsi="Times New Roman" w:cs="Times New Roman"/>
          <w:color w:val="auto"/>
          <w:highlight w:val="none"/>
        </w:rPr>
        <w:t>环境功能区划和评价标准</w:t>
      </w:r>
      <w:bookmarkEnd w:id="88"/>
      <w:bookmarkEnd w:id="89"/>
    </w:p>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环境功能区划</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（1）大气环境</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按《环境空气质量功能区划分原则与技术方法》（HJ</w:t>
      </w:r>
      <w:r>
        <w:rPr>
          <w:rFonts w:hint="eastAsia" w:cs="Times New Roman"/>
          <w:color w:val="auto"/>
          <w:highlight w:val="none"/>
          <w:lang w:val="en-US" w:eastAsia="zh-CN"/>
        </w:rPr>
        <w:t>/T</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14-1996）和《环境空气质量标准》（GB3095-2012）中环境空气质量功能区的分类，项目所处区域环境空气质量功能区属二类区。</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）地下水</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根据《地下水质量标准》（GB/T14848-2017）地下水</w:t>
      </w:r>
      <w:r>
        <w:rPr>
          <w:rFonts w:hint="default" w:ascii="Times New Roman" w:hAnsi="Times New Roman" w:cs="Times New Roman"/>
          <w:color w:val="auto"/>
          <w:highlight w:val="none"/>
          <w:lang w:val="en-US" w:eastAsia="zh-CN"/>
        </w:rPr>
        <w:t>质量</w:t>
      </w:r>
      <w:r>
        <w:rPr>
          <w:rFonts w:hint="default" w:ascii="Times New Roman" w:hAnsi="Times New Roman" w:cs="Times New Roman"/>
          <w:color w:val="auto"/>
          <w:highlight w:val="none"/>
        </w:rPr>
        <w:t>分类标准，</w:t>
      </w:r>
      <w:r>
        <w:rPr>
          <w:rFonts w:hint="default" w:ascii="Times New Roman" w:hAnsi="Times New Roman" w:cs="Times New Roman"/>
          <w:color w:val="auto"/>
          <w:highlight w:val="none"/>
          <w:lang w:val="en-US" w:eastAsia="zh-CN"/>
        </w:rPr>
        <w:t>项目区域地下水质量分类为</w:t>
      </w:r>
      <w:r>
        <w:rPr>
          <w:rFonts w:hint="default" w:ascii="Times New Roman" w:hAnsi="Times New Roman" w:cs="Times New Roman"/>
          <w:color w:val="auto"/>
          <w:highlight w:val="none"/>
        </w:rPr>
        <w:t>Ⅲ类</w:t>
      </w:r>
      <w:r>
        <w:rPr>
          <w:rFonts w:hint="default" w:ascii="Times New Roman" w:hAnsi="Times New Roman" w:cs="Times New Roman"/>
          <w:color w:val="auto"/>
          <w:highlight w:val="none"/>
          <w:lang w:eastAsia="zh-CN"/>
        </w:rPr>
        <w:t>。</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）声环境</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项目区目前没有划分声环境功能区划。依据《声环境功能区划分技术规范》（GB/T</w:t>
      </w:r>
      <w:r>
        <w:rPr>
          <w:rFonts w:hint="default"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rPr>
        <w:t>15190-2014）中声环境功能区划分原则和《声环境质量标准》（GB3096-2008）中声环境功能区分类要求，</w:t>
      </w:r>
      <w:r>
        <w:rPr>
          <w:rFonts w:hint="default" w:ascii="Times New Roman" w:hAnsi="Times New Roman" w:eastAsia="宋体" w:cs="Times New Roman"/>
          <w:color w:val="auto"/>
          <w:highlight w:val="none"/>
          <w:lang w:val="en-US" w:eastAsia="zh-CN"/>
        </w:rPr>
        <w:t>本项目场址为2类声环境功能区。</w:t>
      </w:r>
    </w:p>
    <w:p>
      <w:pPr>
        <w:pStyle w:val="47"/>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（4）土壤环境</w:t>
      </w:r>
    </w:p>
    <w:p>
      <w:pPr>
        <w:rPr>
          <w:rFonts w:hint="eastAsia" w:eastAsia="宋体"/>
          <w:color w:val="auto"/>
          <w:lang w:val="en-US" w:eastAsia="zh-CN"/>
        </w:rPr>
      </w:pPr>
      <w:r>
        <w:rPr>
          <w:rFonts w:hint="default" w:ascii="Times New Roman" w:hAnsi="Times New Roman" w:cs="Times New Roman"/>
          <w:color w:val="auto"/>
          <w:highlight w:val="none"/>
        </w:rPr>
        <w:t xml:space="preserve">《土壤环境质量 </w:t>
      </w:r>
      <w:r>
        <w:rPr>
          <w:rFonts w:hint="default" w:ascii="Times New Roman" w:hAnsi="Times New Roman" w:cs="Times New Roman"/>
          <w:color w:val="auto"/>
          <w:highlight w:val="none"/>
          <w:lang w:eastAsia="zh-CN"/>
        </w:rPr>
        <w:t>农用地土壤污染风险管控标准（试行）</w:t>
      </w:r>
      <w:r>
        <w:rPr>
          <w:rFonts w:hint="default" w:ascii="Times New Roman" w:hAnsi="Times New Roman" w:cs="Times New Roman"/>
          <w:color w:val="auto"/>
          <w:highlight w:val="none"/>
        </w:rPr>
        <w:t>》（GB15618-2018）</w:t>
      </w:r>
      <w:r>
        <w:rPr>
          <w:rFonts w:hint="eastAsia" w:cs="Times New Roman"/>
          <w:color w:val="auto"/>
          <w:highlight w:val="none"/>
          <w:lang w:eastAsia="zh-CN"/>
        </w:rPr>
        <w:t>。</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rPr>
        <w:t>）生态环境</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根据《新疆生态功能区划》，项目位于阿尔泰—准噶尔西部山地温凉森林、草原生态区</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准噶尔西部山地草原牧业及盆地绿洲农业生态亚区</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塔城盆地绿洲农业生态功能</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项目所在区域生态功能区划见表</w:t>
      </w:r>
      <w:r>
        <w:rPr>
          <w:rFonts w:hint="default" w:ascii="Times New Roman" w:hAnsi="Times New Roman" w:eastAsia="宋体" w:cs="Times New Roman"/>
          <w:color w:val="auto"/>
          <w:highlight w:val="none"/>
          <w:lang w:val="en-US" w:eastAsia="zh-CN"/>
        </w:rPr>
        <w:t>2.</w:t>
      </w:r>
      <w:r>
        <w:rPr>
          <w:rFonts w:hint="eastAsia"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pacing w:val="16"/>
          <w:sz w:val="21"/>
          <w:szCs w:val="21"/>
          <w:lang w:val="zh-CN"/>
        </w:rPr>
      </w:pPr>
      <w:r>
        <w:rPr>
          <w:rFonts w:hint="default" w:ascii="Times New Roman" w:hAnsi="Times New Roman" w:eastAsia="宋体" w:cs="Times New Roman"/>
          <w:b/>
          <w:bCs w:val="0"/>
          <w:color w:val="auto"/>
          <w:spacing w:val="16"/>
          <w:sz w:val="21"/>
          <w:szCs w:val="21"/>
          <w:lang w:val="zh-CN"/>
        </w:rPr>
        <w:t>表</w:t>
      </w:r>
      <w:r>
        <w:rPr>
          <w:rFonts w:hint="default" w:ascii="Times New Roman" w:hAnsi="Times New Roman" w:cs="Times New Roman"/>
          <w:b/>
          <w:bCs w:val="0"/>
          <w:color w:val="auto"/>
          <w:spacing w:val="16"/>
          <w:sz w:val="21"/>
          <w:szCs w:val="21"/>
          <w:lang w:val="en-US" w:eastAsia="zh-CN"/>
        </w:rPr>
        <w:t>2.</w:t>
      </w:r>
      <w:r>
        <w:rPr>
          <w:rFonts w:hint="eastAsia" w:ascii="Times New Roman" w:hAnsi="Times New Roman" w:cs="Times New Roman"/>
          <w:b/>
          <w:bCs w:val="0"/>
          <w:color w:val="auto"/>
          <w:spacing w:val="16"/>
          <w:sz w:val="21"/>
          <w:szCs w:val="21"/>
          <w:lang w:val="en-US" w:eastAsia="zh-CN"/>
        </w:rPr>
        <w:t>4</w:t>
      </w:r>
      <w:r>
        <w:rPr>
          <w:rFonts w:hint="default" w:ascii="Times New Roman" w:hAnsi="Times New Roman" w:cs="Times New Roman"/>
          <w:b/>
          <w:bCs w:val="0"/>
          <w:color w:val="auto"/>
          <w:spacing w:val="16"/>
          <w:sz w:val="21"/>
          <w:szCs w:val="21"/>
          <w:lang w:val="en-US" w:eastAsia="zh-CN"/>
        </w:rPr>
        <w:t>-</w:t>
      </w:r>
      <w:r>
        <w:rPr>
          <w:rFonts w:hint="eastAsia" w:ascii="Times New Roman" w:hAnsi="Times New Roman" w:cs="Times New Roman"/>
          <w:b/>
          <w:bCs w:val="0"/>
          <w:color w:val="auto"/>
          <w:spacing w:val="16"/>
          <w:sz w:val="21"/>
          <w:szCs w:val="21"/>
          <w:lang w:val="en-US" w:eastAsia="zh-CN"/>
        </w:rPr>
        <w:t>1</w:t>
      </w:r>
      <w:r>
        <w:rPr>
          <w:rFonts w:hint="default" w:ascii="Times New Roman" w:hAnsi="Times New Roman" w:eastAsia="宋体" w:cs="Times New Roman"/>
          <w:b/>
          <w:bCs w:val="0"/>
          <w:color w:val="auto"/>
          <w:spacing w:val="16"/>
          <w:sz w:val="21"/>
          <w:szCs w:val="21"/>
          <w:lang w:val="en-US" w:eastAsia="zh-CN"/>
        </w:rPr>
        <w:t xml:space="preserve">    </w:t>
      </w:r>
      <w:r>
        <w:rPr>
          <w:rFonts w:hint="default" w:ascii="Times New Roman" w:hAnsi="Times New Roman" w:eastAsia="宋体" w:cs="Times New Roman"/>
          <w:b/>
          <w:bCs w:val="0"/>
          <w:color w:val="auto"/>
          <w:spacing w:val="16"/>
          <w:sz w:val="21"/>
          <w:szCs w:val="21"/>
          <w:lang w:val="zh-CN"/>
        </w:rPr>
        <w:t xml:space="preserve">  项目所在区域生态功能区划</w:t>
      </w:r>
    </w:p>
    <w:tbl>
      <w:tblPr>
        <w:tblStyle w:val="39"/>
        <w:tblW w:w="905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8"/>
        <w:gridCol w:w="1406"/>
        <w:gridCol w:w="66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zh-CN"/>
              </w:rPr>
            </w:pPr>
            <w:r>
              <w:rPr>
                <w:rFonts w:hint="default" w:ascii="Times New Roman" w:hAnsi="Times New Roman" w:eastAsia="宋体" w:cs="Times New Roman"/>
                <w:b w:val="0"/>
                <w:bCs/>
                <w:color w:val="auto"/>
                <w:sz w:val="21"/>
                <w:szCs w:val="21"/>
              </w:rPr>
              <w:t>生态功能分区单元</w:t>
            </w:r>
          </w:p>
        </w:tc>
        <w:tc>
          <w:tcPr>
            <w:tcW w:w="14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zh-CN"/>
              </w:rPr>
            </w:pPr>
            <w:r>
              <w:rPr>
                <w:rFonts w:hint="default" w:ascii="Times New Roman" w:hAnsi="Times New Roman" w:eastAsia="宋体" w:cs="Times New Roman"/>
                <w:b w:val="0"/>
                <w:bCs/>
                <w:color w:val="auto"/>
                <w:sz w:val="21"/>
                <w:szCs w:val="21"/>
              </w:rPr>
              <w:t>生态区</w:t>
            </w:r>
          </w:p>
        </w:tc>
        <w:tc>
          <w:tcPr>
            <w:tcW w:w="66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zh-CN"/>
              </w:rPr>
            </w:pPr>
            <w:r>
              <w:rPr>
                <w:rFonts w:hint="default" w:ascii="Times New Roman" w:hAnsi="Times New Roman" w:eastAsia="宋体" w:cs="Times New Roman"/>
                <w:b w:val="0"/>
                <w:bCs/>
                <w:color w:val="auto"/>
                <w:sz w:val="21"/>
                <w:szCs w:val="21"/>
              </w:rPr>
              <w:t>Ⅰ 阿尔泰—准噶尔西部山地温凉森林、草原生态区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9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zh-CN"/>
              </w:rPr>
            </w:pPr>
          </w:p>
        </w:tc>
        <w:tc>
          <w:tcPr>
            <w:tcW w:w="14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zh-CN"/>
              </w:rPr>
            </w:pPr>
            <w:r>
              <w:rPr>
                <w:rFonts w:hint="default" w:ascii="Times New Roman" w:hAnsi="Times New Roman" w:eastAsia="宋体" w:cs="Times New Roman"/>
                <w:b w:val="0"/>
                <w:bCs/>
                <w:color w:val="auto"/>
                <w:sz w:val="21"/>
                <w:szCs w:val="21"/>
              </w:rPr>
              <w:t>生态亚区</w:t>
            </w:r>
          </w:p>
        </w:tc>
        <w:tc>
          <w:tcPr>
            <w:tcW w:w="66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zh-CN"/>
              </w:rPr>
            </w:pPr>
            <w:r>
              <w:rPr>
                <w:rFonts w:hint="default" w:ascii="Times New Roman" w:hAnsi="Times New Roman" w:eastAsia="宋体" w:cs="Times New Roman"/>
                <w:b w:val="0"/>
                <w:bCs/>
                <w:color w:val="auto"/>
                <w:sz w:val="21"/>
                <w:szCs w:val="21"/>
              </w:rPr>
              <w:t>Ⅰ</w:t>
            </w:r>
            <w:r>
              <w:rPr>
                <w:rFonts w:hint="default" w:ascii="Times New Roman" w:hAnsi="Times New Roman" w:eastAsia="宋体" w:cs="Times New Roman"/>
                <w:b w:val="0"/>
                <w:bCs/>
                <w:color w:val="auto"/>
                <w:sz w:val="21"/>
                <w:szCs w:val="21"/>
                <w:vertAlign w:val="subscript"/>
              </w:rPr>
              <w:t>3</w:t>
            </w:r>
            <w:r>
              <w:rPr>
                <w:rFonts w:hint="default" w:ascii="Times New Roman" w:hAnsi="Times New Roman" w:eastAsia="宋体" w:cs="Times New Roman"/>
                <w:b w:val="0"/>
                <w:bCs/>
                <w:color w:val="auto"/>
                <w:sz w:val="21"/>
                <w:szCs w:val="21"/>
              </w:rPr>
              <w:t xml:space="preserve"> 准噶尔西部山地草原牧业及盆地绿洲农业生态亚区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9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zh-CN"/>
              </w:rPr>
            </w:pPr>
          </w:p>
        </w:tc>
        <w:tc>
          <w:tcPr>
            <w:tcW w:w="14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zh-CN"/>
              </w:rPr>
            </w:pPr>
            <w:r>
              <w:rPr>
                <w:rFonts w:hint="default" w:ascii="Times New Roman" w:hAnsi="Times New Roman" w:eastAsia="宋体" w:cs="Times New Roman"/>
                <w:b w:val="0"/>
                <w:bCs/>
                <w:color w:val="auto"/>
                <w:sz w:val="21"/>
                <w:szCs w:val="21"/>
              </w:rPr>
              <w:t>生态功能区</w:t>
            </w:r>
          </w:p>
        </w:tc>
        <w:tc>
          <w:tcPr>
            <w:tcW w:w="66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zh-CN"/>
              </w:rPr>
            </w:pPr>
            <w:r>
              <w:rPr>
                <w:rFonts w:hint="default" w:ascii="Times New Roman" w:hAnsi="Times New Roman" w:eastAsia="宋体" w:cs="Times New Roman"/>
                <w:b w:val="0"/>
                <w:bCs/>
                <w:color w:val="auto"/>
                <w:sz w:val="21"/>
                <w:szCs w:val="21"/>
              </w:rPr>
              <w:t>11．塔城盆地绿洲农业生态功能区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40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隶属行政区</w:t>
            </w:r>
          </w:p>
        </w:tc>
        <w:tc>
          <w:tcPr>
            <w:tcW w:w="66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塔城市、额敏县、裕民县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240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主要生态服务功能</w:t>
            </w:r>
          </w:p>
        </w:tc>
        <w:tc>
          <w:tcPr>
            <w:tcW w:w="66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农产品生产、人居环境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40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主要生态环境问题</w:t>
            </w:r>
          </w:p>
        </w:tc>
        <w:tc>
          <w:tcPr>
            <w:tcW w:w="66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土壤有机质下降、土壤侵蚀、农田土壤环境质量下降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240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zh-CN"/>
              </w:rPr>
            </w:pPr>
            <w:r>
              <w:rPr>
                <w:rFonts w:hint="default" w:ascii="Times New Roman" w:hAnsi="Times New Roman" w:eastAsia="宋体" w:cs="Times New Roman"/>
                <w:b w:val="0"/>
                <w:bCs/>
                <w:color w:val="auto"/>
                <w:sz w:val="21"/>
                <w:szCs w:val="21"/>
              </w:rPr>
              <w:t>主要保护目标</w:t>
            </w:r>
          </w:p>
        </w:tc>
        <w:tc>
          <w:tcPr>
            <w:tcW w:w="66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保护基本农田、保护土壤环境质量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40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zh-CN"/>
              </w:rPr>
            </w:pPr>
            <w:r>
              <w:rPr>
                <w:rFonts w:hint="default" w:ascii="Times New Roman" w:hAnsi="Times New Roman" w:eastAsia="宋体" w:cs="Times New Roman"/>
                <w:b w:val="0"/>
                <w:bCs/>
                <w:color w:val="auto"/>
                <w:sz w:val="21"/>
                <w:szCs w:val="21"/>
              </w:rPr>
              <w:t>主要保护措施</w:t>
            </w:r>
          </w:p>
        </w:tc>
        <w:tc>
          <w:tcPr>
            <w:tcW w:w="66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节水灌溉、种植牧草培肥土壤、加强农田投入品管理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40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zh-CN"/>
              </w:rPr>
            </w:pPr>
            <w:r>
              <w:rPr>
                <w:rFonts w:hint="default" w:ascii="Times New Roman" w:hAnsi="Times New Roman" w:eastAsia="宋体" w:cs="Times New Roman"/>
                <w:b w:val="0"/>
                <w:bCs/>
                <w:color w:val="auto"/>
                <w:sz w:val="21"/>
                <w:szCs w:val="21"/>
              </w:rPr>
              <w:t>适宜发展方向</w:t>
            </w:r>
          </w:p>
        </w:tc>
        <w:tc>
          <w:tcPr>
            <w:tcW w:w="66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建立优质、高效、高产的粮油、饲草料基地，发展农区畜牧业</w:t>
            </w:r>
          </w:p>
        </w:tc>
      </w:tr>
    </w:tbl>
    <w:p>
      <w:pPr>
        <w:pStyle w:val="50"/>
        <w:keepNext w:val="0"/>
        <w:keepLines w:val="0"/>
        <w:pageBreakBefore w:val="0"/>
        <w:widowControl w:val="0"/>
        <w:kinsoku/>
        <w:wordWrap/>
        <w:overflowPunct/>
        <w:autoSpaceDE/>
        <w:autoSpaceDN/>
        <w:bidi w:val="0"/>
        <w:adjustRightInd w:val="0"/>
        <w:snapToGrid w:val="0"/>
        <w:spacing w:afterLines="0" w:line="240" w:lineRule="auto"/>
        <w:ind w:left="0" w:leftChars="0" w:right="0" w:rightChars="0"/>
        <w:textAlignment w:val="auto"/>
        <w:rPr>
          <w:rFonts w:hint="default" w:ascii="Times New Roman" w:hAnsi="Times New Roman" w:cs="Times New Roman"/>
          <w:color w:val="auto"/>
          <w:sz w:val="21"/>
          <w:szCs w:val="21"/>
          <w:highlight w:val="yellow"/>
        </w:rPr>
      </w:pPr>
    </w:p>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环境质量标准</w:t>
      </w:r>
    </w:p>
    <w:p>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0" w:leftChars="0" w:right="0" w:rightChars="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环境空气质量标准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评价范围内环境空气执行《环境空气质量标准》（GB3095-2012）二级标准</w:t>
      </w:r>
      <w:r>
        <w:rPr>
          <w:rFonts w:hint="eastAsia" w:cs="Times New Roman"/>
          <w:color w:val="auto"/>
          <w:highlight w:val="none"/>
          <w:lang w:val="en-US" w:eastAsia="zh-CN"/>
        </w:rPr>
        <w:t>及</w:t>
      </w:r>
      <w:r>
        <w:rPr>
          <w:rFonts w:hint="default" w:ascii="Times New Roman" w:hAnsi="Times New Roman" w:cs="Times New Roman"/>
          <w:color w:val="auto"/>
          <w:highlight w:val="none"/>
        </w:rPr>
        <w:t>《环境影响评价技术导则 大气环境》（HJ2.2-2018）中附录D，具体标准限值详见表2.</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rPr>
        <w:t>。</w:t>
      </w:r>
    </w:p>
    <w:p>
      <w:pPr>
        <w:pStyle w:val="50"/>
        <w:pageBreakBefore w:val="0"/>
        <w:widowControl w:val="0"/>
        <w:kinsoku/>
        <w:wordWrap/>
        <w:overflowPunct/>
        <w:autoSpaceDE/>
        <w:autoSpaceDN/>
        <w:bidi w:val="0"/>
        <w:adjustRightInd w:val="0"/>
        <w:snapToGrid w:val="0"/>
        <w:spacing w:afterLines="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表2.</w:t>
      </w: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 xml:space="preserve">       环境空气质量      标准单位：µg/m</w:t>
      </w:r>
      <w:r>
        <w:rPr>
          <w:rFonts w:hint="default" w:ascii="Times New Roman" w:hAnsi="Times New Roman" w:cs="Times New Roman"/>
          <w:color w:val="auto"/>
          <w:sz w:val="21"/>
          <w:szCs w:val="21"/>
          <w:highlight w:val="none"/>
          <w:vertAlign w:val="superscript"/>
        </w:rPr>
        <w:t>3</w:t>
      </w:r>
    </w:p>
    <w:tbl>
      <w:tblPr>
        <w:tblStyle w:val="39"/>
        <w:tblW w:w="877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924"/>
        <w:gridCol w:w="2920"/>
        <w:gridCol w:w="293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8" w:hRule="atLeast"/>
          <w:jc w:val="center"/>
        </w:trPr>
        <w:tc>
          <w:tcPr>
            <w:tcW w:w="2924" w:type="dxa"/>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w:t>
            </w:r>
          </w:p>
        </w:tc>
        <w:tc>
          <w:tcPr>
            <w:tcW w:w="2920" w:type="dxa"/>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取值时间</w:t>
            </w:r>
          </w:p>
        </w:tc>
        <w:tc>
          <w:tcPr>
            <w:tcW w:w="2934" w:type="dxa"/>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924" w:type="dxa"/>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SO</w:t>
            </w:r>
            <w:r>
              <w:rPr>
                <w:rFonts w:hint="default" w:ascii="Times New Roman" w:hAnsi="Times New Roman" w:cs="Times New Roman"/>
                <w:color w:val="auto"/>
                <w:sz w:val="21"/>
                <w:szCs w:val="21"/>
                <w:highlight w:val="none"/>
                <w:vertAlign w:val="subscript"/>
              </w:rPr>
              <w:t>2</w:t>
            </w:r>
          </w:p>
        </w:tc>
        <w:tc>
          <w:tcPr>
            <w:tcW w:w="2920" w:type="dxa"/>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年平均值</w:t>
            </w:r>
          </w:p>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24小时平均值</w:t>
            </w:r>
          </w:p>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小时平均值</w:t>
            </w:r>
          </w:p>
        </w:tc>
        <w:tc>
          <w:tcPr>
            <w:tcW w:w="2934" w:type="dxa"/>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w:t>
            </w:r>
          </w:p>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150</w:t>
            </w:r>
          </w:p>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924" w:type="dxa"/>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2</w:t>
            </w:r>
          </w:p>
        </w:tc>
        <w:tc>
          <w:tcPr>
            <w:tcW w:w="2920" w:type="dxa"/>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年平均值</w:t>
            </w:r>
          </w:p>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24小时平均值</w:t>
            </w:r>
          </w:p>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小时平均值</w:t>
            </w:r>
          </w:p>
        </w:tc>
        <w:tc>
          <w:tcPr>
            <w:tcW w:w="2934" w:type="dxa"/>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w:t>
            </w:r>
          </w:p>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80</w:t>
            </w:r>
          </w:p>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924" w:type="dxa"/>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10</w:t>
            </w:r>
          </w:p>
        </w:tc>
        <w:tc>
          <w:tcPr>
            <w:tcW w:w="2920" w:type="dxa"/>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年平均值</w:t>
            </w:r>
          </w:p>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24小时平均值</w:t>
            </w:r>
          </w:p>
        </w:tc>
        <w:tc>
          <w:tcPr>
            <w:tcW w:w="2934" w:type="dxa"/>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70</w:t>
            </w:r>
          </w:p>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924" w:type="dxa"/>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rPr>
              <w:t>PM</w:t>
            </w:r>
            <w:r>
              <w:rPr>
                <w:rFonts w:hint="default" w:ascii="Times New Roman" w:hAnsi="Times New Roman" w:cs="Times New Roman"/>
                <w:color w:val="auto"/>
                <w:sz w:val="21"/>
                <w:szCs w:val="21"/>
                <w:highlight w:val="none"/>
                <w:vertAlign w:val="subscript"/>
                <w:lang w:val="en-US"/>
              </w:rPr>
              <w:t>2.5</w:t>
            </w:r>
          </w:p>
        </w:tc>
        <w:tc>
          <w:tcPr>
            <w:tcW w:w="2920" w:type="dxa"/>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年平均值</w:t>
            </w:r>
          </w:p>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24小时平均值</w:t>
            </w:r>
          </w:p>
        </w:tc>
        <w:tc>
          <w:tcPr>
            <w:tcW w:w="2934" w:type="dxa"/>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w:t>
            </w:r>
          </w:p>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9" w:hRule="atLeast"/>
          <w:jc w:val="center"/>
        </w:trPr>
        <w:tc>
          <w:tcPr>
            <w:tcW w:w="2924" w:type="dxa"/>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rPr>
              <w:t>CO</w:t>
            </w:r>
          </w:p>
        </w:tc>
        <w:tc>
          <w:tcPr>
            <w:tcW w:w="2920" w:type="dxa"/>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24小时平均</w:t>
            </w:r>
          </w:p>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1小时平均</w:t>
            </w:r>
          </w:p>
        </w:tc>
        <w:tc>
          <w:tcPr>
            <w:tcW w:w="2934" w:type="dxa"/>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4000</w:t>
            </w:r>
          </w:p>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924" w:type="dxa"/>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rPr>
              <w:t>O</w:t>
            </w:r>
            <w:r>
              <w:rPr>
                <w:rFonts w:hint="default" w:ascii="Times New Roman" w:hAnsi="Times New Roman" w:cs="Times New Roman"/>
                <w:color w:val="auto"/>
                <w:sz w:val="21"/>
                <w:szCs w:val="21"/>
                <w:highlight w:val="none"/>
                <w:vertAlign w:val="subscript"/>
                <w:lang w:val="en-US"/>
              </w:rPr>
              <w:t>3</w:t>
            </w:r>
          </w:p>
        </w:tc>
        <w:tc>
          <w:tcPr>
            <w:tcW w:w="2920" w:type="dxa"/>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日最大8小时平均</w:t>
            </w:r>
          </w:p>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 小时平均</w:t>
            </w:r>
          </w:p>
        </w:tc>
        <w:tc>
          <w:tcPr>
            <w:tcW w:w="2934" w:type="dxa"/>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160</w:t>
            </w:r>
          </w:p>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924" w:type="dxa"/>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TSP</w:t>
            </w:r>
          </w:p>
        </w:tc>
        <w:tc>
          <w:tcPr>
            <w:tcW w:w="2920" w:type="dxa"/>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年平均值</w:t>
            </w:r>
          </w:p>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24小时平均值</w:t>
            </w:r>
          </w:p>
        </w:tc>
        <w:tc>
          <w:tcPr>
            <w:tcW w:w="2934" w:type="dxa"/>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200</w:t>
            </w:r>
          </w:p>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2" w:hRule="atLeast"/>
          <w:jc w:val="center"/>
        </w:trPr>
        <w:tc>
          <w:tcPr>
            <w:tcW w:w="2924" w:type="dxa"/>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highlight w:val="none"/>
              </w:rPr>
              <w:t>NH</w:t>
            </w:r>
            <w:r>
              <w:rPr>
                <w:rFonts w:hint="default" w:ascii="Times New Roman" w:hAnsi="Times New Roman" w:cs="Times New Roman"/>
                <w:color w:val="auto"/>
                <w:highlight w:val="none"/>
                <w:vertAlign w:val="subscript"/>
              </w:rPr>
              <w:t>3</w:t>
            </w:r>
          </w:p>
        </w:tc>
        <w:tc>
          <w:tcPr>
            <w:tcW w:w="2920" w:type="dxa"/>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highlight w:val="none"/>
              </w:rPr>
              <w:t>1小时平均浓度限值</w:t>
            </w:r>
          </w:p>
        </w:tc>
        <w:tc>
          <w:tcPr>
            <w:tcW w:w="2934" w:type="dxa"/>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highlight w:val="none"/>
              </w:rPr>
              <w:t>200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7" w:hRule="atLeast"/>
          <w:jc w:val="center"/>
        </w:trPr>
        <w:tc>
          <w:tcPr>
            <w:tcW w:w="2924" w:type="dxa"/>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highlight w:val="none"/>
              </w:rPr>
              <w:t>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w:t>
            </w:r>
          </w:p>
        </w:tc>
        <w:tc>
          <w:tcPr>
            <w:tcW w:w="2920" w:type="dxa"/>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highlight w:val="none"/>
              </w:rPr>
              <w:t>1小时平均浓度限值</w:t>
            </w:r>
          </w:p>
        </w:tc>
        <w:tc>
          <w:tcPr>
            <w:tcW w:w="2934" w:type="dxa"/>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highlight w:val="none"/>
              </w:rPr>
              <w:t>10</w:t>
            </w:r>
          </w:p>
        </w:tc>
      </w:tr>
    </w:tbl>
    <w:p>
      <w:pPr>
        <w:keepNext w:val="0"/>
        <w:keepLines w:val="0"/>
        <w:pageBreakBefore w:val="0"/>
        <w:widowControl w:val="0"/>
        <w:kinsoku/>
        <w:wordWrap/>
        <w:overflowPunct/>
        <w:topLinePunct w:val="0"/>
        <w:autoSpaceDE/>
        <w:autoSpaceDN/>
        <w:bidi w:val="0"/>
        <w:adjustRightInd w:val="0"/>
        <w:snapToGrid w:val="0"/>
        <w:spacing w:before="157" w:beforeLines="50"/>
        <w:ind w:left="0" w:leftChars="0" w:right="0" w:rightChars="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（2）水环境质量标准</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地下水质量评价标准采用《地下水质量标准》（GB/T14848-2017</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中Ⅲ类标准，见表2.</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rPr>
        <w:t>-</w:t>
      </w:r>
      <w:r>
        <w:rPr>
          <w:rFonts w:hint="eastAsia" w:cs="Times New Roman"/>
          <w:color w:val="auto"/>
          <w:highlight w:val="none"/>
          <w:lang w:val="en-US" w:eastAsia="zh-CN"/>
        </w:rPr>
        <w:t>3</w:t>
      </w:r>
      <w:r>
        <w:rPr>
          <w:rFonts w:hint="default" w:ascii="Times New Roman" w:hAnsi="Times New Roman" w:cs="Times New Roman"/>
          <w:color w:val="auto"/>
          <w:highlight w:val="none"/>
        </w:rPr>
        <w:t>。</w:t>
      </w:r>
    </w:p>
    <w:p>
      <w:pPr>
        <w:pStyle w:val="50"/>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表2.</w:t>
      </w: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 xml:space="preserve">       地下水质量标准 </w:t>
      </w:r>
    </w:p>
    <w:tbl>
      <w:tblPr>
        <w:tblStyle w:val="39"/>
        <w:tblW w:w="875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42"/>
        <w:gridCol w:w="4122"/>
        <w:gridCol w:w="1790"/>
        <w:gridCol w:w="210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0" w:hRule="atLeast"/>
          <w:tblHeader/>
          <w:jc w:val="center"/>
        </w:trPr>
        <w:tc>
          <w:tcPr>
            <w:tcW w:w="74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412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监测项目</w:t>
            </w:r>
          </w:p>
        </w:tc>
        <w:tc>
          <w:tcPr>
            <w:tcW w:w="1790"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Ⅲ类标准限值</w:t>
            </w:r>
          </w:p>
        </w:tc>
        <w:tc>
          <w:tcPr>
            <w:tcW w:w="2104"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标准来源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74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412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pH</w:t>
            </w:r>
          </w:p>
        </w:tc>
        <w:tc>
          <w:tcPr>
            <w:tcW w:w="1790"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6.5～8.5</w:t>
            </w:r>
          </w:p>
        </w:tc>
        <w:tc>
          <w:tcPr>
            <w:tcW w:w="2104" w:type="dxa"/>
            <w:vMerge w:val="restart"/>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《地下水质量标准》（GB/T14848-2017）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74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412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总硬度（以CaCO</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计）（mg/L）</w:t>
            </w:r>
          </w:p>
        </w:tc>
        <w:tc>
          <w:tcPr>
            <w:tcW w:w="1790"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≤450</w:t>
            </w:r>
          </w:p>
        </w:tc>
        <w:tc>
          <w:tcPr>
            <w:tcW w:w="2104" w:type="dxa"/>
            <w:vMerge w:val="continue"/>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yellow"/>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74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412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溶解性总固体（mg/L）</w:t>
            </w:r>
          </w:p>
        </w:tc>
        <w:tc>
          <w:tcPr>
            <w:tcW w:w="1790"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≤1000</w:t>
            </w:r>
          </w:p>
        </w:tc>
        <w:tc>
          <w:tcPr>
            <w:tcW w:w="2104" w:type="dxa"/>
            <w:vMerge w:val="continue"/>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yellow"/>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74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412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硫酸盐（mg/L）</w:t>
            </w:r>
          </w:p>
        </w:tc>
        <w:tc>
          <w:tcPr>
            <w:tcW w:w="1790"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≤250</w:t>
            </w:r>
          </w:p>
        </w:tc>
        <w:tc>
          <w:tcPr>
            <w:tcW w:w="2104" w:type="dxa"/>
            <w:vMerge w:val="continue"/>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yellow"/>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74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412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氯化物（mg/L）</w:t>
            </w:r>
          </w:p>
        </w:tc>
        <w:tc>
          <w:tcPr>
            <w:tcW w:w="1790"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≤250</w:t>
            </w:r>
          </w:p>
        </w:tc>
        <w:tc>
          <w:tcPr>
            <w:tcW w:w="2104" w:type="dxa"/>
            <w:vMerge w:val="continue"/>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yellow"/>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74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w:t>
            </w:r>
          </w:p>
        </w:tc>
        <w:tc>
          <w:tcPr>
            <w:tcW w:w="412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铁（mg/L）</w:t>
            </w:r>
          </w:p>
        </w:tc>
        <w:tc>
          <w:tcPr>
            <w:tcW w:w="1790"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≤0.3</w:t>
            </w:r>
          </w:p>
        </w:tc>
        <w:tc>
          <w:tcPr>
            <w:tcW w:w="2104" w:type="dxa"/>
            <w:vMerge w:val="continue"/>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yellow"/>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74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w:t>
            </w:r>
          </w:p>
        </w:tc>
        <w:tc>
          <w:tcPr>
            <w:tcW w:w="412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锰（mg/L）</w:t>
            </w:r>
          </w:p>
        </w:tc>
        <w:tc>
          <w:tcPr>
            <w:tcW w:w="1790"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≤0.10</w:t>
            </w:r>
          </w:p>
        </w:tc>
        <w:tc>
          <w:tcPr>
            <w:tcW w:w="2104" w:type="dxa"/>
            <w:vMerge w:val="continue"/>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yellow"/>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74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w:t>
            </w:r>
          </w:p>
        </w:tc>
        <w:tc>
          <w:tcPr>
            <w:tcW w:w="412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挥发性酚（以苯酚计）（mg/L）</w:t>
            </w:r>
          </w:p>
        </w:tc>
        <w:tc>
          <w:tcPr>
            <w:tcW w:w="1790"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≤0.002</w:t>
            </w:r>
          </w:p>
        </w:tc>
        <w:tc>
          <w:tcPr>
            <w:tcW w:w="2104" w:type="dxa"/>
            <w:vMerge w:val="continue"/>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yellow"/>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74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w:t>
            </w:r>
          </w:p>
        </w:tc>
        <w:tc>
          <w:tcPr>
            <w:tcW w:w="412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阴离子表面活性剂（mg/L）</w:t>
            </w:r>
          </w:p>
        </w:tc>
        <w:tc>
          <w:tcPr>
            <w:tcW w:w="1790"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≤0.3</w:t>
            </w:r>
          </w:p>
        </w:tc>
        <w:tc>
          <w:tcPr>
            <w:tcW w:w="2104" w:type="dxa"/>
            <w:vMerge w:val="continue"/>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yellow"/>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91" w:hRule="atLeast"/>
          <w:jc w:val="center"/>
        </w:trPr>
        <w:tc>
          <w:tcPr>
            <w:tcW w:w="74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412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耗氧量（COD</w:t>
            </w:r>
            <w:r>
              <w:rPr>
                <w:rFonts w:hint="default" w:ascii="Times New Roman" w:hAnsi="Times New Roman" w:cs="Times New Roman"/>
                <w:color w:val="auto"/>
                <w:sz w:val="21"/>
                <w:szCs w:val="21"/>
                <w:highlight w:val="none"/>
                <w:vertAlign w:val="subscript"/>
              </w:rPr>
              <w:t>Mn</w:t>
            </w:r>
            <w:r>
              <w:rPr>
                <w:rFonts w:hint="default" w:ascii="Times New Roman" w:hAnsi="Times New Roman" w:cs="Times New Roman"/>
                <w:color w:val="auto"/>
                <w:sz w:val="21"/>
                <w:szCs w:val="21"/>
                <w:highlight w:val="none"/>
              </w:rPr>
              <w:t>法，以O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计）（mg/L）</w:t>
            </w:r>
          </w:p>
        </w:tc>
        <w:tc>
          <w:tcPr>
            <w:tcW w:w="1790"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≤3.00</w:t>
            </w:r>
          </w:p>
        </w:tc>
        <w:tc>
          <w:tcPr>
            <w:tcW w:w="2104" w:type="dxa"/>
            <w:vMerge w:val="continue"/>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yellow"/>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74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w:t>
            </w:r>
          </w:p>
        </w:tc>
        <w:tc>
          <w:tcPr>
            <w:tcW w:w="412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氨氮（以N计）（mg/L）</w:t>
            </w:r>
          </w:p>
        </w:tc>
        <w:tc>
          <w:tcPr>
            <w:tcW w:w="1790"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≤0.50</w:t>
            </w:r>
          </w:p>
        </w:tc>
        <w:tc>
          <w:tcPr>
            <w:tcW w:w="2104" w:type="dxa"/>
            <w:vMerge w:val="continue"/>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yellow"/>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74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w:t>
            </w:r>
          </w:p>
        </w:tc>
        <w:tc>
          <w:tcPr>
            <w:tcW w:w="412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硫化物（mg/L）</w:t>
            </w:r>
          </w:p>
        </w:tc>
        <w:tc>
          <w:tcPr>
            <w:tcW w:w="1790"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≤0.02</w:t>
            </w:r>
          </w:p>
        </w:tc>
        <w:tc>
          <w:tcPr>
            <w:tcW w:w="2104" w:type="dxa"/>
            <w:vMerge w:val="continue"/>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yellow"/>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74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w:t>
            </w:r>
          </w:p>
        </w:tc>
        <w:tc>
          <w:tcPr>
            <w:tcW w:w="412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总大肠菌群（MPN</w:t>
            </w:r>
            <w:r>
              <w:rPr>
                <w:rFonts w:hint="default" w:ascii="Times New Roman" w:hAnsi="Times New Roman" w:cs="Times New Roman"/>
                <w:color w:val="auto"/>
                <w:sz w:val="21"/>
                <w:szCs w:val="21"/>
                <w:highlight w:val="none"/>
                <w:vertAlign w:val="superscript"/>
              </w:rPr>
              <w:t>b</w:t>
            </w:r>
            <w:r>
              <w:rPr>
                <w:rFonts w:hint="default" w:ascii="Times New Roman" w:hAnsi="Times New Roman" w:cs="Times New Roman"/>
                <w:color w:val="auto"/>
                <w:sz w:val="21"/>
                <w:szCs w:val="21"/>
                <w:highlight w:val="none"/>
              </w:rPr>
              <w:t>/100mL或CFU</w:t>
            </w:r>
            <w:r>
              <w:rPr>
                <w:rFonts w:hint="eastAsia" w:cs="Times New Roman"/>
                <w:color w:val="auto"/>
                <w:sz w:val="21"/>
                <w:szCs w:val="21"/>
                <w:highlight w:val="none"/>
                <w:vertAlign w:val="superscript"/>
                <w:lang w:val="en-US" w:eastAsia="zh-CN"/>
              </w:rPr>
              <w:t>c</w:t>
            </w:r>
            <w:r>
              <w:rPr>
                <w:rFonts w:hint="default" w:ascii="Times New Roman" w:hAnsi="Times New Roman" w:cs="Times New Roman"/>
                <w:color w:val="auto"/>
                <w:sz w:val="21"/>
                <w:szCs w:val="21"/>
                <w:highlight w:val="none"/>
              </w:rPr>
              <w:t>/100mL）</w:t>
            </w:r>
          </w:p>
        </w:tc>
        <w:tc>
          <w:tcPr>
            <w:tcW w:w="1790"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w:t>
            </w:r>
          </w:p>
        </w:tc>
        <w:tc>
          <w:tcPr>
            <w:tcW w:w="2104" w:type="dxa"/>
            <w:vMerge w:val="continue"/>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yellow"/>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74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14</w:t>
            </w:r>
          </w:p>
        </w:tc>
        <w:tc>
          <w:tcPr>
            <w:tcW w:w="412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亚硝酸盐（以N计）（mg/L）</w:t>
            </w:r>
          </w:p>
        </w:tc>
        <w:tc>
          <w:tcPr>
            <w:tcW w:w="1790"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w:t>
            </w:r>
          </w:p>
        </w:tc>
        <w:tc>
          <w:tcPr>
            <w:tcW w:w="2104" w:type="dxa"/>
            <w:vMerge w:val="continue"/>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yellow"/>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74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tc>
        <w:tc>
          <w:tcPr>
            <w:tcW w:w="412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硝酸盐（以N计）（mg/L）</w:t>
            </w:r>
          </w:p>
        </w:tc>
        <w:tc>
          <w:tcPr>
            <w:tcW w:w="1790"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≤20.0</w:t>
            </w:r>
          </w:p>
        </w:tc>
        <w:tc>
          <w:tcPr>
            <w:tcW w:w="2104" w:type="dxa"/>
            <w:vMerge w:val="continue"/>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yellow"/>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74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16</w:t>
            </w:r>
          </w:p>
        </w:tc>
        <w:tc>
          <w:tcPr>
            <w:tcW w:w="412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氰化物（mg/L）</w:t>
            </w:r>
          </w:p>
        </w:tc>
        <w:tc>
          <w:tcPr>
            <w:tcW w:w="1790"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c>
          <w:tcPr>
            <w:tcW w:w="2104" w:type="dxa"/>
            <w:vMerge w:val="continue"/>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yellow"/>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74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17</w:t>
            </w:r>
          </w:p>
        </w:tc>
        <w:tc>
          <w:tcPr>
            <w:tcW w:w="412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氟化物（mg/L）</w:t>
            </w:r>
          </w:p>
        </w:tc>
        <w:tc>
          <w:tcPr>
            <w:tcW w:w="1790"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w:t>
            </w:r>
          </w:p>
        </w:tc>
        <w:tc>
          <w:tcPr>
            <w:tcW w:w="2104" w:type="dxa"/>
            <w:vMerge w:val="continue"/>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yellow"/>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74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18</w:t>
            </w:r>
          </w:p>
        </w:tc>
        <w:tc>
          <w:tcPr>
            <w:tcW w:w="412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汞（mg/L）</w:t>
            </w:r>
          </w:p>
        </w:tc>
        <w:tc>
          <w:tcPr>
            <w:tcW w:w="1790"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≤0.001</w:t>
            </w:r>
          </w:p>
        </w:tc>
        <w:tc>
          <w:tcPr>
            <w:tcW w:w="2104" w:type="dxa"/>
            <w:vMerge w:val="continue"/>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yellow"/>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74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w:t>
            </w:r>
          </w:p>
        </w:tc>
        <w:tc>
          <w:tcPr>
            <w:tcW w:w="412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砷（mg/L）</w:t>
            </w:r>
          </w:p>
        </w:tc>
        <w:tc>
          <w:tcPr>
            <w:tcW w:w="1790"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≤0.01</w:t>
            </w:r>
          </w:p>
        </w:tc>
        <w:tc>
          <w:tcPr>
            <w:tcW w:w="2104" w:type="dxa"/>
            <w:vMerge w:val="continue"/>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yellow"/>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74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w:t>
            </w:r>
          </w:p>
        </w:tc>
        <w:tc>
          <w:tcPr>
            <w:tcW w:w="412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镉（mg/L）</w:t>
            </w:r>
          </w:p>
        </w:tc>
        <w:tc>
          <w:tcPr>
            <w:tcW w:w="1790"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≤0.005</w:t>
            </w:r>
          </w:p>
        </w:tc>
        <w:tc>
          <w:tcPr>
            <w:tcW w:w="2104" w:type="dxa"/>
            <w:vMerge w:val="continue"/>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yellow"/>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74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21</w:t>
            </w:r>
          </w:p>
        </w:tc>
        <w:tc>
          <w:tcPr>
            <w:tcW w:w="412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铬（六价）（mg/L）</w:t>
            </w:r>
          </w:p>
        </w:tc>
        <w:tc>
          <w:tcPr>
            <w:tcW w:w="1790"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c>
          <w:tcPr>
            <w:tcW w:w="2104" w:type="dxa"/>
            <w:vMerge w:val="continue"/>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yellow"/>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74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22</w:t>
            </w:r>
          </w:p>
        </w:tc>
        <w:tc>
          <w:tcPr>
            <w:tcW w:w="412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铅（mg/L）</w:t>
            </w:r>
          </w:p>
        </w:tc>
        <w:tc>
          <w:tcPr>
            <w:tcW w:w="1790"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≤0.01</w:t>
            </w:r>
          </w:p>
        </w:tc>
        <w:tc>
          <w:tcPr>
            <w:tcW w:w="2104" w:type="dxa"/>
            <w:vMerge w:val="continue"/>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yellow"/>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74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23</w:t>
            </w:r>
          </w:p>
        </w:tc>
        <w:tc>
          <w:tcPr>
            <w:tcW w:w="412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铜（mg/L）</w:t>
            </w:r>
          </w:p>
        </w:tc>
        <w:tc>
          <w:tcPr>
            <w:tcW w:w="1790"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≤1.00</w:t>
            </w:r>
          </w:p>
        </w:tc>
        <w:tc>
          <w:tcPr>
            <w:tcW w:w="2104" w:type="dxa"/>
            <w:vMerge w:val="continue"/>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yellow"/>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74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w:t>
            </w:r>
          </w:p>
        </w:tc>
        <w:tc>
          <w:tcPr>
            <w:tcW w:w="412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锌（mg/L）</w:t>
            </w:r>
          </w:p>
        </w:tc>
        <w:tc>
          <w:tcPr>
            <w:tcW w:w="1790"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≤1.00</w:t>
            </w:r>
          </w:p>
        </w:tc>
        <w:tc>
          <w:tcPr>
            <w:tcW w:w="2104" w:type="dxa"/>
            <w:vMerge w:val="continue"/>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yellow"/>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74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w:t>
            </w:r>
          </w:p>
        </w:tc>
        <w:tc>
          <w:tcPr>
            <w:tcW w:w="412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K</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rPr>
              <w:t>（mg/L）</w:t>
            </w:r>
          </w:p>
        </w:tc>
        <w:tc>
          <w:tcPr>
            <w:tcW w:w="1790"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2104" w:type="dxa"/>
            <w:vMerge w:val="restart"/>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eastAsia" w:ascii="Times New Roman" w:hAnsi="Times New Roman" w:eastAsia="宋体" w:cs="Times New Roman"/>
                <w:color w:val="auto"/>
                <w:sz w:val="21"/>
                <w:szCs w:val="21"/>
                <w:highlight w:val="yellow"/>
                <w:lang w:val="en-US" w:eastAsia="zh-CN"/>
              </w:rPr>
            </w:pPr>
            <w:r>
              <w:rPr>
                <w:rFonts w:hint="eastAsia" w:cs="Times New Roman"/>
                <w:color w:val="auto"/>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74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26</w:t>
            </w:r>
          </w:p>
        </w:tc>
        <w:tc>
          <w:tcPr>
            <w:tcW w:w="412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Na</w:t>
            </w:r>
            <w:r>
              <w:rPr>
                <w:rFonts w:hint="default" w:ascii="Times New Roman" w:hAnsi="Times New Roman" w:cs="Times New Roman"/>
                <w:color w:val="auto"/>
                <w:sz w:val="21"/>
                <w:szCs w:val="21"/>
                <w:highlight w:val="none"/>
                <w:vertAlign w:val="superscript"/>
                <w:lang w:eastAsia="zh-CN"/>
              </w:rPr>
              <w:t>+</w:t>
            </w:r>
            <w:r>
              <w:rPr>
                <w:rFonts w:hint="default" w:ascii="Times New Roman" w:hAnsi="Times New Roman" w:cs="Times New Roman"/>
                <w:color w:val="auto"/>
                <w:sz w:val="21"/>
                <w:szCs w:val="21"/>
                <w:highlight w:val="none"/>
              </w:rPr>
              <w:t>（mg/L）</w:t>
            </w:r>
          </w:p>
        </w:tc>
        <w:tc>
          <w:tcPr>
            <w:tcW w:w="1790"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2104" w:type="dxa"/>
            <w:vMerge w:val="continue"/>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yellow"/>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74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27</w:t>
            </w:r>
          </w:p>
        </w:tc>
        <w:tc>
          <w:tcPr>
            <w:tcW w:w="412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Ca</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（mg/L）</w:t>
            </w:r>
          </w:p>
        </w:tc>
        <w:tc>
          <w:tcPr>
            <w:tcW w:w="1790"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2104" w:type="dxa"/>
            <w:vMerge w:val="continue"/>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yellow"/>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74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28</w:t>
            </w:r>
          </w:p>
        </w:tc>
        <w:tc>
          <w:tcPr>
            <w:tcW w:w="412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Mg</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（mg/L）</w:t>
            </w:r>
          </w:p>
        </w:tc>
        <w:tc>
          <w:tcPr>
            <w:tcW w:w="1790"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2104" w:type="dxa"/>
            <w:vMerge w:val="continue"/>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yellow"/>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74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29</w:t>
            </w:r>
          </w:p>
        </w:tc>
        <w:tc>
          <w:tcPr>
            <w:tcW w:w="412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CO</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（mg/L）</w:t>
            </w:r>
          </w:p>
        </w:tc>
        <w:tc>
          <w:tcPr>
            <w:tcW w:w="1790"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2104" w:type="dxa"/>
            <w:vMerge w:val="continue"/>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yellow"/>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4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w:t>
            </w:r>
          </w:p>
        </w:tc>
        <w:tc>
          <w:tcPr>
            <w:tcW w:w="4122"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HCO</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-（mg/L）</w:t>
            </w:r>
          </w:p>
        </w:tc>
        <w:tc>
          <w:tcPr>
            <w:tcW w:w="1790" w:type="dxa"/>
            <w:tcBorders>
              <w:tl2br w:val="nil"/>
              <w:tr2bl w:val="nil"/>
            </w:tcBorders>
            <w:noWrap w:val="0"/>
            <w:vAlign w:val="center"/>
          </w:tcPr>
          <w:p>
            <w:pPr>
              <w:pStyle w:val="49"/>
              <w:pageBreakBefore w:val="0"/>
              <w:wordWrap/>
              <w:bidi w:val="0"/>
              <w:adjustRightInd w:val="0"/>
              <w:spacing w:before="0" w:after="0" w:line="240" w:lineRule="auto"/>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2104" w:type="dxa"/>
            <w:vMerge w:val="continue"/>
            <w:tcBorders>
              <w:tl2br w:val="nil"/>
              <w:tr2bl w:val="nil"/>
            </w:tcBorders>
            <w:noWrap w:val="0"/>
            <w:vAlign w:val="center"/>
          </w:tcPr>
          <w:p>
            <w:pPr>
              <w:pStyle w:val="49"/>
              <w:pageBreakBefore w:val="0"/>
              <w:wordWrap/>
              <w:bidi w:val="0"/>
              <w:adjustRightInd w:val="0"/>
              <w:spacing w:before="0" w:after="0" w:line="240" w:lineRule="auto"/>
              <w:ind w:left="0" w:leftChars="0" w:right="0" w:rightChars="0"/>
              <w:rPr>
                <w:rFonts w:hint="default" w:ascii="Times New Roman" w:hAnsi="Times New Roman" w:cs="Times New Roman"/>
                <w:color w:val="auto"/>
                <w:sz w:val="21"/>
                <w:szCs w:val="21"/>
                <w:highlight w:val="yellow"/>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（3）声环境质量标准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声环境质量评价标准采用《声环境质量标准》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GB3096-2008</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的2类标准：昼间60dB（A）、夜间50dB（A）。</w:t>
      </w:r>
    </w:p>
    <w:p>
      <w:pPr>
        <w:pageBreakBefore w:val="0"/>
        <w:wordWrap/>
        <w:bidi w:val="0"/>
        <w:adjustRightInd w:val="0"/>
        <w:spacing w:line="360" w:lineRule="auto"/>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（4）土壤</w:t>
      </w:r>
    </w:p>
    <w:p>
      <w:pPr>
        <w:keepNext w:val="0"/>
        <w:keepLines w:val="0"/>
        <w:pageBreakBefore w:val="0"/>
        <w:widowControl w:val="0"/>
        <w:kinsoku/>
        <w:wordWrap/>
        <w:overflowPunct/>
        <w:topLinePunct w:val="0"/>
        <w:autoSpaceDE/>
        <w:autoSpaceDN/>
        <w:bidi w:val="0"/>
        <w:adjustRightInd w:val="0"/>
        <w:snapToGrid w:val="0"/>
        <w:spacing w:line="336" w:lineRule="auto"/>
        <w:ind w:left="0" w:leftChars="0" w:right="0" w:rightChars="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土壤环境质量执行《土壤环境质量 </w:t>
      </w:r>
      <w:r>
        <w:rPr>
          <w:rFonts w:hint="default" w:ascii="Times New Roman" w:hAnsi="Times New Roman" w:cs="Times New Roman"/>
          <w:color w:val="auto"/>
          <w:highlight w:val="none"/>
          <w:lang w:eastAsia="zh-CN"/>
        </w:rPr>
        <w:t>农用地土壤污染风险管控标准（试行）</w:t>
      </w:r>
      <w:r>
        <w:rPr>
          <w:rFonts w:hint="default" w:ascii="Times New Roman" w:hAnsi="Times New Roman" w:cs="Times New Roman"/>
          <w:color w:val="auto"/>
          <w:highlight w:val="none"/>
        </w:rPr>
        <w:t>》（GB15618-2018）</w:t>
      </w:r>
      <w:r>
        <w:rPr>
          <w:rFonts w:hint="default" w:ascii="Times New Roman" w:hAnsi="Times New Roman" w:cs="Times New Roman"/>
          <w:color w:val="auto"/>
          <w:highlight w:val="none"/>
          <w:lang w:eastAsia="zh-CN"/>
        </w:rPr>
        <w:t>农用地土壤污染风险</w:t>
      </w:r>
      <w:r>
        <w:rPr>
          <w:rFonts w:hint="default" w:ascii="Times New Roman" w:hAnsi="Times New Roman" w:cs="Times New Roman"/>
          <w:color w:val="auto"/>
          <w:highlight w:val="none"/>
        </w:rPr>
        <w:t>筛选值，且镉、砷、铜、铅、铬、锌、汞、镍要满足</w:t>
      </w: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rPr>
        <w:t>畜禽场环境质量及卫生控制规范</w:t>
      </w: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rPr>
        <w:t>NY</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T 1167-2006）中“表1”（ 镉≤0.3mg/kg、砷≤25mg/kg、铜≤50mg/kg、铅≤250mg/kg、铬≤250mg/kg、锌≤200mg/kg、汞≤1.5mg/kg、镍≤200mg/kg）和</w:t>
      </w: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rPr>
        <w:t>畜禽养殖产地环境评价规范</w:t>
      </w: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rPr>
        <w:t>HJ</w:t>
      </w:r>
      <w:r>
        <w:rPr>
          <w:rFonts w:hint="default" w:ascii="Times New Roman" w:hAnsi="Times New Roman" w:cs="Times New Roman"/>
          <w:color w:val="auto"/>
          <w:highlight w:val="none"/>
          <w:lang w:eastAsia="zh-CN"/>
        </w:rPr>
        <w:t>568-2010</w:t>
      </w:r>
      <w:r>
        <w:rPr>
          <w:rFonts w:hint="default" w:ascii="Times New Roman" w:hAnsi="Times New Roman" w:cs="Times New Roman"/>
          <w:color w:val="auto"/>
          <w:highlight w:val="none"/>
        </w:rPr>
        <w:t>）中“表4”。具体标准值见表2.</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rPr>
        <w:t>-</w:t>
      </w:r>
      <w:r>
        <w:rPr>
          <w:rFonts w:hint="eastAsia" w:cs="Times New Roman"/>
          <w:color w:val="auto"/>
          <w:highlight w:val="none"/>
          <w:lang w:val="en-US" w:eastAsia="zh-CN"/>
        </w:rPr>
        <w:t>4</w:t>
      </w:r>
      <w:r>
        <w:rPr>
          <w:rFonts w:hint="default" w:ascii="Times New Roman" w:hAnsi="Times New Roman" w:cs="Times New Roman"/>
          <w:color w:val="auto"/>
          <w:highlight w:val="none"/>
        </w:rPr>
        <w:t>。</w:t>
      </w:r>
    </w:p>
    <w:p>
      <w:pPr>
        <w:pageBreakBefore w:val="0"/>
        <w:widowControl/>
        <w:wordWrap/>
        <w:bidi w:val="0"/>
        <w:adjustRightInd w:val="0"/>
        <w:spacing w:line="240" w:lineRule="auto"/>
        <w:ind w:left="0" w:leftChars="0" w:right="0" w:rightChars="0" w:firstLine="0" w:firstLineChars="0"/>
        <w:jc w:val="center"/>
        <w:rPr>
          <w:rFonts w:hint="default" w:ascii="Times New Roman" w:hAnsi="Times New Roman" w:cs="Times New Roman"/>
          <w:b/>
          <w:bCs/>
          <w:color w:val="auto"/>
          <w:sz w:val="21"/>
          <w:szCs w:val="21"/>
          <w:highlight w:val="none"/>
        </w:rPr>
      </w:pPr>
      <w:r>
        <w:rPr>
          <w:rStyle w:val="68"/>
          <w:rFonts w:hint="default" w:ascii="Times New Roman" w:hAnsi="Times New Roman" w:cs="Times New Roman"/>
          <w:color w:val="auto"/>
          <w:sz w:val="21"/>
          <w:szCs w:val="21"/>
          <w:highlight w:val="none"/>
        </w:rPr>
        <w:t>表2.</w:t>
      </w:r>
      <w:r>
        <w:rPr>
          <w:rStyle w:val="68"/>
          <w:rFonts w:hint="eastAsia" w:ascii="Times New Roman" w:hAnsi="Times New Roman" w:cs="Times New Roman"/>
          <w:color w:val="auto"/>
          <w:sz w:val="21"/>
          <w:szCs w:val="21"/>
          <w:highlight w:val="none"/>
          <w:lang w:val="en-US" w:eastAsia="zh-CN"/>
        </w:rPr>
        <w:t>4</w:t>
      </w:r>
      <w:r>
        <w:rPr>
          <w:rStyle w:val="68"/>
          <w:rFonts w:hint="default" w:ascii="Times New Roman" w:hAnsi="Times New Roman" w:cs="Times New Roman"/>
          <w:color w:val="auto"/>
          <w:sz w:val="21"/>
          <w:szCs w:val="21"/>
          <w:highlight w:val="none"/>
        </w:rPr>
        <w:t>-</w:t>
      </w:r>
      <w:r>
        <w:rPr>
          <w:rStyle w:val="68"/>
          <w:rFonts w:hint="eastAsia" w:ascii="Times New Roman" w:hAnsi="Times New Roman" w:cs="Times New Roman"/>
          <w:color w:val="auto"/>
          <w:sz w:val="21"/>
          <w:szCs w:val="21"/>
          <w:highlight w:val="none"/>
          <w:lang w:val="en-US" w:eastAsia="zh-CN"/>
        </w:rPr>
        <w:t>4</w:t>
      </w:r>
      <w:r>
        <w:rPr>
          <w:rStyle w:val="68"/>
          <w:rFonts w:hint="default" w:ascii="Times New Roman" w:hAnsi="Times New Roman" w:cs="Times New Roman"/>
          <w:color w:val="auto"/>
          <w:sz w:val="21"/>
          <w:szCs w:val="21"/>
          <w:highlight w:val="none"/>
        </w:rPr>
        <w:t xml:space="preserve">    土壤环境质量管控标准（单位mg/kg）</w:t>
      </w:r>
    </w:p>
    <w:tbl>
      <w:tblPr>
        <w:tblStyle w:val="39"/>
        <w:tblpPr w:leftFromText="180" w:rightFromText="180" w:vertAnchor="text" w:tblpXSpec="center" w:tblpY="1"/>
        <w:tblOverlap w:val="never"/>
        <w:tblW w:w="498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107"/>
        <w:gridCol w:w="1454"/>
        <w:gridCol w:w="1469"/>
        <w:gridCol w:w="45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74" w:hRule="atLeast"/>
          <w:tblHeader/>
          <w:jc w:val="center"/>
        </w:trPr>
        <w:tc>
          <w:tcPr>
            <w:tcW w:w="648"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bookmarkStart w:id="90" w:name="4_建设用地分类"/>
            <w:bookmarkEnd w:id="90"/>
            <w:bookmarkStart w:id="91" w:name="bookmark1"/>
            <w:bookmarkEnd w:id="91"/>
            <w:bookmarkStart w:id="92" w:name="5_建设用地土壤污染风险筛选值和管制值"/>
            <w:bookmarkEnd w:id="92"/>
            <w:r>
              <w:rPr>
                <w:rFonts w:hint="default" w:ascii="Times New Roman" w:hAnsi="Times New Roman" w:cs="Times New Roman"/>
                <w:color w:val="auto"/>
                <w:sz w:val="21"/>
                <w:szCs w:val="21"/>
                <w:highlight w:val="none"/>
              </w:rPr>
              <w:t>序号</w:t>
            </w:r>
          </w:p>
        </w:tc>
        <w:tc>
          <w:tcPr>
            <w:tcW w:w="851"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检测项目</w:t>
            </w:r>
          </w:p>
        </w:tc>
        <w:tc>
          <w:tcPr>
            <w:tcW w:w="860"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标准值</w:t>
            </w:r>
          </w:p>
        </w:tc>
        <w:tc>
          <w:tcPr>
            <w:tcW w:w="2639"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68" w:hRule="atLeast"/>
          <w:tblHeader/>
          <w:jc w:val="center"/>
        </w:trPr>
        <w:tc>
          <w:tcPr>
            <w:tcW w:w="648"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rPr>
              <w:t>1</w:t>
            </w:r>
          </w:p>
        </w:tc>
        <w:tc>
          <w:tcPr>
            <w:tcW w:w="851"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pH</w:t>
            </w:r>
          </w:p>
        </w:tc>
        <w:tc>
          <w:tcPr>
            <w:tcW w:w="860"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rPr>
              <w:t>/</w:t>
            </w:r>
          </w:p>
        </w:tc>
        <w:tc>
          <w:tcPr>
            <w:tcW w:w="2639" w:type="pct"/>
            <w:vMerge w:val="restar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rPr>
              <w:t xml:space="preserve">《土壤环境质量 </w:t>
            </w:r>
            <w:r>
              <w:rPr>
                <w:rFonts w:hint="default" w:ascii="Times New Roman" w:hAnsi="Times New Roman" w:cs="Times New Roman"/>
                <w:color w:val="auto"/>
                <w:sz w:val="21"/>
                <w:szCs w:val="21"/>
                <w:highlight w:val="none"/>
                <w:lang w:eastAsia="zh-CN"/>
              </w:rPr>
              <w:t>农用地土壤污染风险管控标准（试行）</w:t>
            </w:r>
            <w:r>
              <w:rPr>
                <w:rFonts w:hint="default" w:ascii="Times New Roman" w:hAnsi="Times New Roman" w:cs="Times New Roman"/>
                <w:color w:val="auto"/>
                <w:sz w:val="21"/>
                <w:szCs w:val="21"/>
                <w:highlight w:val="none"/>
              </w:rPr>
              <w:t>》（GB15618-2018）</w:t>
            </w:r>
            <w:r>
              <w:rPr>
                <w:rFonts w:hint="default" w:ascii="Times New Roman" w:hAnsi="Times New Roman" w:cs="Times New Roman"/>
                <w:color w:val="auto"/>
                <w:sz w:val="21"/>
                <w:szCs w:val="21"/>
                <w:highlight w:val="none"/>
                <w:lang w:val="en-US"/>
              </w:rPr>
              <w:t>表1</w:t>
            </w:r>
            <w:r>
              <w:rPr>
                <w:rFonts w:hint="default" w:ascii="Times New Roman" w:hAnsi="Times New Roman" w:cs="Times New Roman"/>
                <w:color w:val="auto"/>
                <w:sz w:val="21"/>
                <w:szCs w:val="21"/>
                <w:highlight w:val="none"/>
                <w:lang w:eastAsia="zh-CN"/>
              </w:rPr>
              <w:t>农用地土壤污染风险</w:t>
            </w:r>
            <w:r>
              <w:rPr>
                <w:rFonts w:hint="default" w:ascii="Times New Roman" w:hAnsi="Times New Roman" w:cs="Times New Roman"/>
                <w:color w:val="auto"/>
                <w:sz w:val="21"/>
                <w:szCs w:val="21"/>
                <w:highlight w:val="none"/>
                <w:lang w:val="en-US"/>
              </w:rPr>
              <w:t>筛选</w:t>
            </w:r>
            <w:r>
              <w:rPr>
                <w:rFonts w:hint="default" w:ascii="Times New Roman" w:hAnsi="Times New Roman" w:cs="Times New Roman"/>
                <w:color w:val="auto"/>
                <w:sz w:val="21"/>
                <w:szCs w:val="21"/>
                <w:highlight w:val="none"/>
              </w:rPr>
              <w:t>值</w:t>
            </w:r>
            <w:r>
              <w:rPr>
                <w:rFonts w:hint="default" w:ascii="Times New Roman" w:hAnsi="Times New Roman" w:cs="Times New Roman"/>
                <w:color w:val="auto"/>
                <w:sz w:val="21"/>
                <w:szCs w:val="21"/>
                <w:highlight w:val="none"/>
                <w:lang w:val="en-US" w:eastAsia="zh-CN"/>
              </w:rPr>
              <w:t>（基本项目）</w:t>
            </w:r>
            <w:r>
              <w:rPr>
                <w:rFonts w:hint="default" w:ascii="Times New Roman" w:hAnsi="Times New Roman" w:cs="Times New Roman"/>
                <w:color w:val="auto"/>
                <w:sz w:val="21"/>
                <w:szCs w:val="21"/>
                <w:highlight w:val="none"/>
              </w:rPr>
              <w:t>；</w:t>
            </w:r>
          </w:p>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rPr>
              <w:t>且镉、砷、铜、铅、铬、锌、汞、镍要满足</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rPr>
              <w:t>畜禽场环境质量及卫生控制规范</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rPr>
              <w:t>NY</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rPr>
              <w:t>T 1167-2006）中“表1”和</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rPr>
              <w:t>畜禽养殖产地环境评价规范</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rPr>
              <w:t>HJ</w:t>
            </w:r>
            <w:r>
              <w:rPr>
                <w:rFonts w:hint="default" w:ascii="Times New Roman" w:hAnsi="Times New Roman" w:cs="Times New Roman"/>
                <w:color w:val="auto"/>
                <w:sz w:val="21"/>
                <w:szCs w:val="21"/>
                <w:highlight w:val="none"/>
                <w:lang w:val="en-US" w:eastAsia="zh-CN"/>
              </w:rPr>
              <w:t>568-2010</w:t>
            </w:r>
            <w:r>
              <w:rPr>
                <w:rFonts w:hint="default" w:ascii="Times New Roman" w:hAnsi="Times New Roman" w:cs="Times New Roman"/>
                <w:color w:val="auto"/>
                <w:sz w:val="21"/>
                <w:szCs w:val="21"/>
                <w:highlight w:val="none"/>
                <w:lang w:val="en-US"/>
              </w:rPr>
              <w:t>）中“表4”要求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68" w:hRule="atLeast"/>
          <w:tblHeader/>
          <w:jc w:val="center"/>
        </w:trPr>
        <w:tc>
          <w:tcPr>
            <w:tcW w:w="648"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rPr>
              <w:t>2</w:t>
            </w:r>
          </w:p>
        </w:tc>
        <w:tc>
          <w:tcPr>
            <w:tcW w:w="851"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砷</w:t>
            </w:r>
          </w:p>
        </w:tc>
        <w:tc>
          <w:tcPr>
            <w:tcW w:w="860"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rPr>
              <w:t>25</w:t>
            </w:r>
          </w:p>
        </w:tc>
        <w:tc>
          <w:tcPr>
            <w:tcW w:w="2639"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68" w:hRule="atLeast"/>
          <w:tblHeader/>
          <w:jc w:val="center"/>
        </w:trPr>
        <w:tc>
          <w:tcPr>
            <w:tcW w:w="648"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rPr>
              <w:t>3</w:t>
            </w:r>
          </w:p>
        </w:tc>
        <w:tc>
          <w:tcPr>
            <w:tcW w:w="851"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铅</w:t>
            </w:r>
          </w:p>
        </w:tc>
        <w:tc>
          <w:tcPr>
            <w:tcW w:w="860"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rPr>
              <w:t>170</w:t>
            </w:r>
          </w:p>
        </w:tc>
        <w:tc>
          <w:tcPr>
            <w:tcW w:w="2639"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68" w:hRule="atLeast"/>
          <w:tblHeader/>
          <w:jc w:val="center"/>
        </w:trPr>
        <w:tc>
          <w:tcPr>
            <w:tcW w:w="648"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rPr>
              <w:t>4</w:t>
            </w:r>
          </w:p>
        </w:tc>
        <w:tc>
          <w:tcPr>
            <w:tcW w:w="851"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汞</w:t>
            </w:r>
          </w:p>
        </w:tc>
        <w:tc>
          <w:tcPr>
            <w:tcW w:w="860"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rPr>
              <w:t>1.5</w:t>
            </w:r>
          </w:p>
        </w:tc>
        <w:tc>
          <w:tcPr>
            <w:tcW w:w="2639"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35" w:hRule="atLeast"/>
          <w:tblHeader/>
          <w:jc w:val="center"/>
        </w:trPr>
        <w:tc>
          <w:tcPr>
            <w:tcW w:w="648"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rPr>
              <w:t>5</w:t>
            </w:r>
          </w:p>
        </w:tc>
        <w:tc>
          <w:tcPr>
            <w:tcW w:w="851"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镉</w:t>
            </w:r>
          </w:p>
        </w:tc>
        <w:tc>
          <w:tcPr>
            <w:tcW w:w="860"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rPr>
              <w:t>0.3</w:t>
            </w:r>
          </w:p>
        </w:tc>
        <w:tc>
          <w:tcPr>
            <w:tcW w:w="2639"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68" w:hRule="atLeast"/>
          <w:tblHeader/>
          <w:jc w:val="center"/>
        </w:trPr>
        <w:tc>
          <w:tcPr>
            <w:tcW w:w="648"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rPr>
              <w:t>6</w:t>
            </w:r>
          </w:p>
        </w:tc>
        <w:tc>
          <w:tcPr>
            <w:tcW w:w="851"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rPr>
              <w:t>铜</w:t>
            </w:r>
          </w:p>
        </w:tc>
        <w:tc>
          <w:tcPr>
            <w:tcW w:w="860"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rPr>
              <w:t>50</w:t>
            </w:r>
          </w:p>
        </w:tc>
        <w:tc>
          <w:tcPr>
            <w:tcW w:w="2639"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68" w:hRule="atLeast"/>
          <w:tblHeader/>
          <w:jc w:val="center"/>
        </w:trPr>
        <w:tc>
          <w:tcPr>
            <w:tcW w:w="648"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rPr>
              <w:t>7</w:t>
            </w:r>
          </w:p>
        </w:tc>
        <w:tc>
          <w:tcPr>
            <w:tcW w:w="851"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镍</w:t>
            </w:r>
          </w:p>
        </w:tc>
        <w:tc>
          <w:tcPr>
            <w:tcW w:w="860"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rPr>
              <w:t>190</w:t>
            </w:r>
          </w:p>
        </w:tc>
        <w:tc>
          <w:tcPr>
            <w:tcW w:w="2639"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68" w:hRule="atLeast"/>
          <w:tblHeader/>
          <w:jc w:val="center"/>
        </w:trPr>
        <w:tc>
          <w:tcPr>
            <w:tcW w:w="648"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rPr>
              <w:t>8</w:t>
            </w:r>
          </w:p>
        </w:tc>
        <w:tc>
          <w:tcPr>
            <w:tcW w:w="851"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锌</w:t>
            </w:r>
          </w:p>
        </w:tc>
        <w:tc>
          <w:tcPr>
            <w:tcW w:w="860"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rPr>
              <w:t>200</w:t>
            </w:r>
          </w:p>
        </w:tc>
        <w:tc>
          <w:tcPr>
            <w:tcW w:w="2639"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2" w:hRule="atLeast"/>
          <w:tblHeader/>
          <w:jc w:val="center"/>
        </w:trPr>
        <w:tc>
          <w:tcPr>
            <w:tcW w:w="648"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rPr>
              <w:t>9</w:t>
            </w:r>
          </w:p>
        </w:tc>
        <w:tc>
          <w:tcPr>
            <w:tcW w:w="851"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铬</w:t>
            </w:r>
          </w:p>
        </w:tc>
        <w:tc>
          <w:tcPr>
            <w:tcW w:w="860"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rPr>
              <w:t>250</w:t>
            </w:r>
          </w:p>
        </w:tc>
        <w:tc>
          <w:tcPr>
            <w:tcW w:w="2639"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yellow"/>
              </w:rPr>
            </w:pPr>
          </w:p>
        </w:tc>
      </w:tr>
    </w:tbl>
    <w:p>
      <w:pPr>
        <w:pStyle w:val="5"/>
        <w:keepNext/>
        <w:keepLines/>
        <w:pageBreakBefore w:val="0"/>
        <w:widowControl w:val="0"/>
        <w:kinsoku/>
        <w:wordWrap/>
        <w:overflowPunct/>
        <w:topLinePunct w:val="0"/>
        <w:autoSpaceDE/>
        <w:autoSpaceDN/>
        <w:bidi w:val="0"/>
        <w:adjustRightInd w:val="0"/>
        <w:snapToGrid w:val="0"/>
        <w:spacing w:before="157" w:beforeLines="50"/>
        <w:ind w:left="0" w:leftChars="0" w:right="0" w:rightChars="0"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污染物排放标准</w:t>
      </w:r>
    </w:p>
    <w:p>
      <w:pPr>
        <w:pStyle w:val="6"/>
        <w:bidi w:val="0"/>
        <w:rPr>
          <w:rFonts w:hint="eastAsia"/>
          <w:color w:val="auto"/>
          <w:lang w:val="en-US" w:eastAsia="zh-CN"/>
        </w:rPr>
      </w:pPr>
      <w:r>
        <w:rPr>
          <w:rFonts w:hint="eastAsia"/>
          <w:color w:val="auto"/>
          <w:lang w:val="en-US" w:eastAsia="zh-CN"/>
        </w:rPr>
        <w:t>施工期</w:t>
      </w:r>
    </w:p>
    <w:p>
      <w:pPr>
        <w:numPr>
          <w:ilvl w:val="0"/>
          <w:numId w:val="11"/>
        </w:numP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大气污染物排放执行《大气污染物综合排放标准》（GB16297-1996）表2中二级排放标准；</w:t>
      </w:r>
    </w:p>
    <w:p>
      <w:pPr>
        <w:numPr>
          <w:ilvl w:val="0"/>
          <w:numId w:val="11"/>
        </w:numP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厂界噪声执行</w:t>
      </w:r>
      <w:r>
        <w:rPr>
          <w:rFonts w:hint="default" w:ascii="Times New Roman" w:hAnsi="Times New Roman" w:eastAsia="宋体" w:cs="Times New Roman"/>
          <w:color w:val="auto"/>
          <w:sz w:val="24"/>
          <w:szCs w:val="24"/>
          <w:lang w:val="en-US" w:eastAsia="zh-CN"/>
        </w:rPr>
        <w:t>《建筑施工场界噪声排放标准》（GB12523-2011）中限值要求</w:t>
      </w:r>
      <w:r>
        <w:rPr>
          <w:rFonts w:hint="eastAsia" w:ascii="Times New Roman" w:hAnsi="Times New Roman" w:eastAsia="宋体" w:cs="Times New Roman"/>
          <w:color w:val="auto"/>
          <w:sz w:val="24"/>
          <w:szCs w:val="24"/>
          <w:lang w:val="en-US" w:eastAsia="zh-CN"/>
        </w:rPr>
        <w:t>；</w:t>
      </w:r>
    </w:p>
    <w:p>
      <w:pPr>
        <w:numPr>
          <w:ilvl w:val="0"/>
          <w:numId w:val="11"/>
        </w:numP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生活污水执行《污水综合排放标准》（GB8978-1996）表4中三级标准；</w:t>
      </w:r>
    </w:p>
    <w:p>
      <w:pPr>
        <w:pStyle w:val="6"/>
        <w:bidi w:val="0"/>
        <w:rPr>
          <w:rFonts w:hint="default"/>
          <w:color w:val="auto"/>
          <w:lang w:val="en-US" w:eastAsia="zh-CN"/>
        </w:rPr>
      </w:pPr>
      <w:r>
        <w:rPr>
          <w:rFonts w:hint="eastAsia"/>
          <w:color w:val="auto"/>
          <w:lang w:val="en-US" w:eastAsia="zh-CN"/>
        </w:rPr>
        <w:t>运营期</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（1）废气</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大气污染源主要为养殖场恶臭气体。</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恶臭污染物中的臭气浓度执行《畜禽养殖业污染物排放标准》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GB18596-2001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中集约化畜禽养殖业恶臭污染物排放标准，具体</w:t>
      </w:r>
      <w:r>
        <w:rPr>
          <w:rFonts w:hint="default" w:ascii="Times New Roman" w:hAnsi="Times New Roman" w:cs="Times New Roman"/>
          <w:color w:val="auto"/>
          <w:highlight w:val="none"/>
          <w:lang w:val="en-US" w:eastAsia="zh-CN"/>
        </w:rPr>
        <w:t>见表2.</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6</w:t>
      </w:r>
      <w:r>
        <w:rPr>
          <w:rFonts w:hint="default" w:ascii="Times New Roman" w:hAnsi="Times New Roman" w:cs="Times New Roman"/>
          <w:color w:val="auto"/>
          <w:highlight w:val="none"/>
        </w:rPr>
        <w:t>。</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恶臭污染物中的臭气浓度H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S及NH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执行《恶臭污染物排放标准》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GB14554-93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中新污染源二级标准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见表2.</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rPr>
        <w:t>-</w:t>
      </w:r>
      <w:r>
        <w:rPr>
          <w:rFonts w:hint="eastAsia" w:cs="Times New Roman"/>
          <w:color w:val="auto"/>
          <w:highlight w:val="none"/>
          <w:lang w:val="en-US" w:eastAsia="zh-CN"/>
        </w:rPr>
        <w:t>5</w:t>
      </w:r>
      <w:r>
        <w:rPr>
          <w:rFonts w:hint="default" w:ascii="Times New Roman" w:hAnsi="Times New Roman" w:cs="Times New Roman"/>
          <w:color w:val="auto"/>
          <w:highlight w:val="none"/>
        </w:rPr>
        <w:t>。</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饲料加工过程中产生的颗粒物排放浓度执行《大气污染物综合排放标准》（GB16297-1996）中表2的排放标准。</w:t>
      </w:r>
    </w:p>
    <w:p>
      <w:pPr>
        <w:pStyle w:val="50"/>
        <w:pageBreakBefore w:val="0"/>
        <w:wordWrap/>
        <w:bidi w:val="0"/>
        <w:adjustRightInd w:val="0"/>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表 </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STYLEREF 2 \s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2.</w:t>
      </w: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fldChar w:fldCharType="end"/>
      </w:r>
      <w:r>
        <w:rPr>
          <w:rFonts w:hint="default" w:ascii="Times New Roman" w:hAnsi="Times New Roman" w:cs="Times New Roman"/>
          <w:color w:val="auto"/>
          <w:sz w:val="21"/>
          <w:szCs w:val="21"/>
          <w:highlight w:val="none"/>
        </w:rPr>
        <w:noBreakHyphen/>
      </w:r>
      <w:r>
        <w:rPr>
          <w:rFonts w:hint="eastAsia" w:ascii="Times New Roman" w:hAnsi="Times New Roman" w:cs="Times New Roman"/>
          <w:color w:val="auto"/>
          <w:sz w:val="21"/>
          <w:szCs w:val="21"/>
          <w:highlight w:val="none"/>
          <w:lang w:val="en-US" w:eastAsia="zh-CN"/>
        </w:rPr>
        <w:t xml:space="preserve">5    </w:t>
      </w:r>
      <w:r>
        <w:rPr>
          <w:rFonts w:hint="default" w:ascii="Times New Roman" w:hAnsi="Times New Roman" w:cs="Times New Roman"/>
          <w:color w:val="auto"/>
          <w:sz w:val="21"/>
          <w:szCs w:val="21"/>
          <w:highlight w:val="none"/>
        </w:rPr>
        <w:t>恶臭污染物排放标准</w:t>
      </w:r>
    </w:p>
    <w:tbl>
      <w:tblPr>
        <w:tblStyle w:val="39"/>
        <w:tblpPr w:leftFromText="180" w:rightFromText="180" w:vertAnchor="text" w:tblpXSpec="center" w:tblpY="1"/>
        <w:tblOverlap w:val="never"/>
        <w:tblW w:w="498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219"/>
        <w:gridCol w:w="1234"/>
        <w:gridCol w:w="703"/>
        <w:gridCol w:w="1719"/>
        <w:gridCol w:w="382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5" w:hRule="atLeast"/>
        </w:trPr>
        <w:tc>
          <w:tcPr>
            <w:tcW w:w="701"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控制项目</w:t>
            </w:r>
          </w:p>
        </w:tc>
        <w:tc>
          <w:tcPr>
            <w:tcW w:w="1113" w:type="pct"/>
            <w:gridSpan w:val="2"/>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标准值（mg/m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p>
        </w:tc>
        <w:tc>
          <w:tcPr>
            <w:tcW w:w="988"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排放速率（</w:t>
            </w:r>
            <w:r>
              <w:rPr>
                <w:rFonts w:hint="default" w:ascii="Times New Roman" w:hAnsi="Times New Roman" w:cs="Times New Roman"/>
                <w:color w:val="auto"/>
                <w:sz w:val="21"/>
                <w:szCs w:val="21"/>
                <w:highlight w:val="none"/>
                <w:lang w:val="en-US" w:eastAsia="zh-CN"/>
              </w:rPr>
              <w:t>kg/h</w:t>
            </w:r>
            <w:r>
              <w:rPr>
                <w:rFonts w:hint="default" w:ascii="Times New Roman" w:hAnsi="Times New Roman" w:cs="Times New Roman"/>
                <w:color w:val="auto"/>
                <w:sz w:val="21"/>
                <w:szCs w:val="21"/>
                <w:highlight w:val="none"/>
                <w:lang w:eastAsia="zh-CN"/>
              </w:rPr>
              <w:t>）</w:t>
            </w:r>
          </w:p>
        </w:tc>
        <w:tc>
          <w:tcPr>
            <w:tcW w:w="2197"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标准来源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6" w:hRule="atLeast"/>
        </w:trPr>
        <w:tc>
          <w:tcPr>
            <w:tcW w:w="701"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p>
        </w:tc>
        <w:tc>
          <w:tcPr>
            <w:tcW w:w="1113" w:type="pct"/>
            <w:gridSpan w:val="2"/>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tc>
        <w:tc>
          <w:tcPr>
            <w:tcW w:w="988"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2197" w:type="pct"/>
            <w:vMerge w:val="restar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《恶臭污染物排放标准》</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GB14554-93</w:t>
            </w:r>
            <w:r>
              <w:rPr>
                <w:rFonts w:hint="default" w:ascii="Times New Roman" w:hAnsi="Times New Roman" w:cs="Times New Roman"/>
                <w:color w:val="auto"/>
                <w:sz w:val="21"/>
                <w:szCs w:val="21"/>
                <w:highlight w:val="none"/>
                <w:lang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6" w:hRule="atLeast"/>
        </w:trPr>
        <w:tc>
          <w:tcPr>
            <w:tcW w:w="701"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S</w:t>
            </w:r>
          </w:p>
        </w:tc>
        <w:tc>
          <w:tcPr>
            <w:tcW w:w="1113" w:type="pct"/>
            <w:gridSpan w:val="2"/>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0.06</w:t>
            </w:r>
          </w:p>
        </w:tc>
        <w:tc>
          <w:tcPr>
            <w:tcW w:w="988"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2197"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11" w:hRule="atLeast"/>
        </w:trPr>
        <w:tc>
          <w:tcPr>
            <w:tcW w:w="701"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臭气浓度</w:t>
            </w:r>
          </w:p>
        </w:tc>
        <w:tc>
          <w:tcPr>
            <w:tcW w:w="1113" w:type="pct"/>
            <w:gridSpan w:val="2"/>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70（无量纲）</w:t>
            </w:r>
          </w:p>
        </w:tc>
        <w:tc>
          <w:tcPr>
            <w:tcW w:w="988"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2197"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《畜禽养殖业污染物排放标准》</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GB18596-2001</w:t>
            </w:r>
            <w:r>
              <w:rPr>
                <w:rFonts w:hint="default" w:ascii="Times New Roman" w:hAnsi="Times New Roman" w:cs="Times New Roman"/>
                <w:color w:val="auto"/>
                <w:sz w:val="21"/>
                <w:szCs w:val="21"/>
                <w:highlight w:val="none"/>
                <w:lang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11" w:hRule="atLeast"/>
        </w:trPr>
        <w:tc>
          <w:tcPr>
            <w:tcW w:w="701" w:type="pct"/>
            <w:vMerge w:val="restar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颗粒物</w:t>
            </w:r>
          </w:p>
        </w:tc>
        <w:tc>
          <w:tcPr>
            <w:tcW w:w="709"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有组织</w:t>
            </w:r>
            <w:r>
              <w:rPr>
                <w:rFonts w:hint="eastAsia"/>
                <w:color w:val="auto"/>
                <w:lang w:eastAsia="zh-CN"/>
              </w:rPr>
              <w:t>（</w:t>
            </w:r>
            <w:r>
              <w:rPr>
                <w:rFonts w:hint="eastAsia"/>
                <w:color w:val="auto"/>
                <w:lang w:val="en-US" w:eastAsia="zh-CN"/>
              </w:rPr>
              <w:t>排气筒15m）</w:t>
            </w:r>
          </w:p>
        </w:tc>
        <w:tc>
          <w:tcPr>
            <w:tcW w:w="403"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120</w:t>
            </w:r>
          </w:p>
        </w:tc>
        <w:tc>
          <w:tcPr>
            <w:tcW w:w="988"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3.5</w:t>
            </w:r>
          </w:p>
        </w:tc>
        <w:tc>
          <w:tcPr>
            <w:tcW w:w="2197" w:type="pct"/>
            <w:vMerge w:val="restar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《大气污染物综合排放标准》（GB16297-1996）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9" w:hRule="atLeast"/>
        </w:trPr>
        <w:tc>
          <w:tcPr>
            <w:tcW w:w="701"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highlight w:val="none"/>
              </w:rPr>
            </w:pPr>
          </w:p>
        </w:tc>
        <w:tc>
          <w:tcPr>
            <w:tcW w:w="709"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无组织</w:t>
            </w:r>
          </w:p>
        </w:tc>
        <w:tc>
          <w:tcPr>
            <w:tcW w:w="403"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988"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2197"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p>
        </w:tc>
      </w:tr>
    </w:tbl>
    <w:p>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157" w:beforeLines="50"/>
        <w:ind w:left="0" w:leftChars="0" w:right="0" w:rightChars="0" w:firstLine="480" w:firstLineChars="200"/>
        <w:jc w:val="left"/>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废水：</w:t>
      </w:r>
      <w:r>
        <w:rPr>
          <w:rFonts w:hint="eastAsia" w:cs="Times New Roman"/>
          <w:color w:val="auto"/>
          <w:highlight w:val="none"/>
          <w:lang w:eastAsia="zh-CN"/>
        </w:rPr>
        <w:t>挤奶厅设备和地面清洗废水</w:t>
      </w:r>
      <w:r>
        <w:rPr>
          <w:rFonts w:hint="default" w:ascii="Times New Roman" w:hAnsi="Times New Roman" w:cs="Times New Roman"/>
          <w:color w:val="auto"/>
          <w:highlight w:val="none"/>
          <w:lang w:eastAsia="zh-CN"/>
        </w:rPr>
        <w:t>及生活污水进入集污池收集后</w:t>
      </w:r>
      <w:r>
        <w:rPr>
          <w:rFonts w:hint="default" w:ascii="Times New Roman" w:hAnsi="Times New Roman" w:cs="Times New Roman"/>
          <w:color w:val="auto"/>
          <w:highlight w:val="none"/>
          <w:lang w:val="en-US" w:eastAsia="zh-CN"/>
        </w:rPr>
        <w:t>定期</w:t>
      </w:r>
      <w:r>
        <w:rPr>
          <w:rFonts w:hint="eastAsia" w:cs="Times New Roman"/>
          <w:color w:val="auto"/>
          <w:highlight w:val="none"/>
          <w:lang w:val="en-US" w:eastAsia="zh-CN"/>
        </w:rPr>
        <w:t>清掏拉运</w:t>
      </w:r>
      <w:r>
        <w:rPr>
          <w:rFonts w:hint="default" w:ascii="Times New Roman" w:hAnsi="Times New Roman" w:cs="Times New Roman"/>
          <w:color w:val="auto"/>
          <w:highlight w:val="none"/>
          <w:lang w:val="en-US" w:eastAsia="zh-CN"/>
        </w:rPr>
        <w:t>至</w:t>
      </w:r>
      <w:r>
        <w:rPr>
          <w:rFonts w:hint="eastAsia" w:cs="Times New Roman"/>
          <w:color w:val="auto"/>
          <w:highlight w:val="none"/>
          <w:lang w:val="en-US" w:eastAsia="zh-CN"/>
        </w:rPr>
        <w:t>塔城市污水厂</w:t>
      </w:r>
      <w:r>
        <w:rPr>
          <w:rFonts w:hint="default" w:ascii="Times New Roman" w:hAnsi="Times New Roman" w:cs="Times New Roman"/>
          <w:color w:val="auto"/>
          <w:highlight w:val="none"/>
          <w:lang w:val="en-US" w:eastAsia="zh-CN"/>
        </w:rPr>
        <w:t>处理</w:t>
      </w:r>
      <w:r>
        <w:rPr>
          <w:rFonts w:hint="default" w:ascii="Times New Roman" w:hAnsi="Times New Roman" w:cs="Times New Roman"/>
          <w:color w:val="auto"/>
          <w:highlight w:val="none"/>
        </w:rPr>
        <w:t>；</w:t>
      </w:r>
      <w:r>
        <w:rPr>
          <w:rFonts w:hint="default" w:ascii="Times New Roman" w:hAnsi="Times New Roman" w:eastAsia="宋体" w:cs="Times New Roman"/>
          <w:color w:val="auto"/>
          <w:kern w:val="0"/>
          <w:sz w:val="24"/>
          <w:szCs w:val="24"/>
          <w:highlight w:val="none"/>
          <w:lang w:val="en-US" w:eastAsia="zh-CN" w:bidi="ar"/>
        </w:rPr>
        <w:t>本项目运营</w:t>
      </w:r>
      <w:r>
        <w:rPr>
          <w:rFonts w:hint="eastAsia" w:cs="Times New Roman"/>
          <w:color w:val="auto"/>
          <w:kern w:val="0"/>
          <w:sz w:val="24"/>
          <w:szCs w:val="24"/>
          <w:highlight w:val="none"/>
          <w:lang w:val="en-US" w:eastAsia="zh-CN" w:bidi="ar"/>
        </w:rPr>
        <w:t>期</w:t>
      </w:r>
      <w:r>
        <w:rPr>
          <w:rFonts w:hint="default" w:ascii="Times New Roman" w:hAnsi="Times New Roman" w:eastAsia="宋体" w:cs="Times New Roman"/>
          <w:color w:val="auto"/>
          <w:kern w:val="0"/>
          <w:sz w:val="24"/>
          <w:szCs w:val="24"/>
          <w:highlight w:val="none"/>
          <w:lang w:val="en-US" w:eastAsia="zh-CN" w:bidi="ar"/>
        </w:rPr>
        <w:t>牛舍采用干清粪技术饲养牛的方式，养殖过程中产生的牛尿液与粪便一</w:t>
      </w:r>
      <w:r>
        <w:rPr>
          <w:rFonts w:hint="default" w:ascii="Times New Roman" w:hAnsi="Times New Roman" w:cs="Times New Roman"/>
          <w:color w:val="auto"/>
          <w:highlight w:val="none"/>
          <w:lang w:val="en-US" w:eastAsia="zh-CN"/>
        </w:rPr>
        <w:t>起经过堆肥后</w:t>
      </w:r>
      <w:r>
        <w:rPr>
          <w:rFonts w:hint="eastAsia" w:cs="Times New Roman"/>
          <w:color w:val="auto"/>
          <w:highlight w:val="none"/>
          <w:lang w:val="en-US" w:eastAsia="zh-CN"/>
        </w:rPr>
        <w:t>用于垫料及还田利用</w:t>
      </w:r>
      <w:r>
        <w:rPr>
          <w:rFonts w:hint="default" w:ascii="Times New Roman" w:hAnsi="Times New Roman" w:cs="Times New Roman"/>
          <w:color w:val="auto"/>
          <w:highlight w:val="none"/>
          <w:lang w:val="en-US" w:eastAsia="zh-CN"/>
        </w:rPr>
        <w:t>，无废水外排。</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（3）噪声</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项目施工噪声</w:t>
      </w:r>
      <w:r>
        <w:rPr>
          <w:rFonts w:hint="default" w:ascii="Times New Roman" w:hAnsi="Times New Roman" w:cs="Times New Roman"/>
          <w:color w:val="auto"/>
          <w:highlight w:val="none"/>
          <w:lang w:val="en-US" w:eastAsia="zh-CN"/>
        </w:rPr>
        <w:t>排放</w:t>
      </w:r>
      <w:r>
        <w:rPr>
          <w:rFonts w:hint="default" w:ascii="Times New Roman" w:hAnsi="Times New Roman" w:cs="Times New Roman"/>
          <w:color w:val="auto"/>
          <w:highlight w:val="none"/>
        </w:rPr>
        <w:t>执行《建筑施工场界环境噪声排放标准》（GB12523-2011），具体限值：昼间70dB</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A</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，夜间55dB</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A</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，项目</w:t>
      </w:r>
      <w:r>
        <w:rPr>
          <w:rFonts w:hint="default" w:ascii="Times New Roman" w:hAnsi="Times New Roman" w:cs="Times New Roman"/>
          <w:color w:val="auto"/>
          <w:highlight w:val="none"/>
          <w:lang w:val="en-US" w:eastAsia="zh-CN"/>
        </w:rPr>
        <w:t>运营期</w:t>
      </w:r>
      <w:r>
        <w:rPr>
          <w:rFonts w:hint="default" w:ascii="Times New Roman" w:hAnsi="Times New Roman" w:cs="Times New Roman"/>
          <w:color w:val="auto"/>
          <w:highlight w:val="none"/>
          <w:lang w:eastAsia="zh-CN"/>
        </w:rPr>
        <w:t>场界</w:t>
      </w:r>
      <w:r>
        <w:rPr>
          <w:rFonts w:hint="default" w:ascii="Times New Roman" w:hAnsi="Times New Roman" w:cs="Times New Roman"/>
          <w:color w:val="auto"/>
          <w:highlight w:val="none"/>
        </w:rPr>
        <w:t>噪声</w:t>
      </w:r>
      <w:r>
        <w:rPr>
          <w:rFonts w:hint="default" w:ascii="Times New Roman" w:hAnsi="Times New Roman" w:cs="Times New Roman"/>
          <w:color w:val="auto"/>
          <w:highlight w:val="none"/>
          <w:lang w:val="en-US" w:eastAsia="zh-CN"/>
        </w:rPr>
        <w:t>排放</w:t>
      </w:r>
      <w:r>
        <w:rPr>
          <w:rFonts w:hint="default" w:ascii="Times New Roman" w:hAnsi="Times New Roman" w:cs="Times New Roman"/>
          <w:color w:val="auto"/>
          <w:highlight w:val="none"/>
        </w:rPr>
        <w:t>执行《工业企业</w:t>
      </w:r>
      <w:r>
        <w:rPr>
          <w:rFonts w:hint="eastAsia" w:cs="Times New Roman"/>
          <w:color w:val="auto"/>
          <w:highlight w:val="none"/>
          <w:lang w:val="en-US" w:eastAsia="zh-CN"/>
        </w:rPr>
        <w:t>厂</w:t>
      </w:r>
      <w:r>
        <w:rPr>
          <w:rFonts w:hint="default" w:ascii="Times New Roman" w:hAnsi="Times New Roman" w:cs="Times New Roman"/>
          <w:color w:val="auto"/>
          <w:highlight w:val="none"/>
          <w:lang w:eastAsia="zh-CN"/>
        </w:rPr>
        <w:t>界</w:t>
      </w:r>
      <w:r>
        <w:rPr>
          <w:rFonts w:hint="default" w:ascii="Times New Roman" w:hAnsi="Times New Roman" w:cs="Times New Roman"/>
          <w:color w:val="auto"/>
          <w:highlight w:val="none"/>
        </w:rPr>
        <w:t>环境噪声排放标准》（GB12348-2008）中2类标准值，即昼间60dB</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A</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，夜间50dB</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A</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w:t>
      </w:r>
    </w:p>
    <w:p>
      <w:pPr>
        <w:pageBreakBefore w:val="0"/>
        <w:wordWrap/>
        <w:autoSpaceDE w:val="0"/>
        <w:autoSpaceDN w:val="0"/>
        <w:bidi w:val="0"/>
        <w:adjustRightInd w:val="0"/>
        <w:spacing w:line="324" w:lineRule="auto"/>
        <w:ind w:left="0" w:leftChars="0" w:right="0" w:rightChars="0"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（4）固体废物</w:t>
      </w:r>
    </w:p>
    <w:p>
      <w:pPr>
        <w:pageBreakBefore w:val="0"/>
        <w:numPr>
          <w:ilvl w:val="0"/>
          <w:numId w:val="12"/>
        </w:numPr>
        <w:wordWrap/>
        <w:autoSpaceDE w:val="0"/>
        <w:autoSpaceDN w:val="0"/>
        <w:bidi w:val="0"/>
        <w:adjustRightInd w:val="0"/>
        <w:spacing w:line="324" w:lineRule="auto"/>
        <w:ind w:left="0" w:leftChars="0" w:right="0" w:rightChars="0" w:firstLine="480" w:firstLineChars="20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《畜禽养殖业污染物排放标准》</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GB18596-2001</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中规定经无害化处理的堆肥</w:t>
      </w:r>
      <w:r>
        <w:rPr>
          <w:rFonts w:hint="default" w:ascii="Times New Roman" w:hAnsi="Times New Roman" w:cs="Times New Roman"/>
          <w:color w:val="auto"/>
          <w:kern w:val="0"/>
          <w:highlight w:val="none"/>
          <w:lang w:eastAsia="zh-CN"/>
        </w:rPr>
        <w:t>粪污</w:t>
      </w:r>
      <w:r>
        <w:rPr>
          <w:rFonts w:hint="default" w:ascii="Times New Roman" w:hAnsi="Times New Roman" w:cs="Times New Roman"/>
          <w:color w:val="auto"/>
          <w:kern w:val="0"/>
          <w:highlight w:val="none"/>
        </w:rPr>
        <w:t>，应符合表2.</w:t>
      </w:r>
      <w:r>
        <w:rPr>
          <w:rFonts w:hint="eastAsia" w:ascii="Times New Roman" w:hAnsi="Times New Roman" w:cs="Times New Roman"/>
          <w:color w:val="auto"/>
          <w:kern w:val="0"/>
          <w:highlight w:val="none"/>
          <w:lang w:val="en-US" w:eastAsia="zh-CN"/>
        </w:rPr>
        <w:t>4</w:t>
      </w:r>
      <w:r>
        <w:rPr>
          <w:rFonts w:hint="default" w:ascii="Times New Roman" w:hAnsi="Times New Roman" w:cs="Times New Roman"/>
          <w:color w:val="auto"/>
          <w:kern w:val="0"/>
          <w:highlight w:val="none"/>
        </w:rPr>
        <w:t>-</w:t>
      </w:r>
      <w:r>
        <w:rPr>
          <w:rFonts w:hint="eastAsia" w:cs="Times New Roman"/>
          <w:color w:val="auto"/>
          <w:kern w:val="0"/>
          <w:highlight w:val="none"/>
          <w:lang w:val="en-US" w:eastAsia="zh-CN"/>
        </w:rPr>
        <w:t>6</w:t>
      </w:r>
      <w:r>
        <w:rPr>
          <w:rFonts w:hint="default" w:ascii="Times New Roman" w:hAnsi="Times New Roman" w:cs="Times New Roman"/>
          <w:color w:val="auto"/>
          <w:kern w:val="0"/>
          <w:highlight w:val="none"/>
        </w:rPr>
        <w:t>的规定。</w:t>
      </w:r>
    </w:p>
    <w:p>
      <w:pPr>
        <w:pStyle w:val="50"/>
        <w:pageBreakBefore w:val="0"/>
        <w:widowControl w:val="0"/>
        <w:kinsoku/>
        <w:wordWrap/>
        <w:overflowPunct/>
        <w:topLinePunct w:val="0"/>
        <w:autoSpaceDE/>
        <w:autoSpaceDN/>
        <w:bidi w:val="0"/>
        <w:adjustRightInd w:val="0"/>
        <w:snapToGrid w:val="0"/>
        <w:spacing w:afterLines="0"/>
        <w:ind w:left="0" w:leftChars="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表 </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STYLEREF 2 \s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2.</w:t>
      </w: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fldChar w:fldCharType="end"/>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 xml:space="preserve">6   </w:t>
      </w:r>
      <w:r>
        <w:rPr>
          <w:rFonts w:hint="default" w:ascii="Times New Roman" w:hAnsi="Times New Roman" w:cs="Times New Roman"/>
          <w:color w:val="auto"/>
          <w:sz w:val="21"/>
          <w:szCs w:val="21"/>
          <w:highlight w:val="none"/>
        </w:rPr>
        <w:t>畜禽养殖业废渣无害化环境标准</w:t>
      </w:r>
    </w:p>
    <w:tbl>
      <w:tblPr>
        <w:tblStyle w:val="39"/>
        <w:tblW w:w="4999"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421"/>
        <w:gridCol w:w="429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1" w:hRule="atLeast"/>
        </w:trPr>
        <w:tc>
          <w:tcPr>
            <w:tcW w:w="2535"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控制项目</w:t>
            </w:r>
          </w:p>
        </w:tc>
        <w:tc>
          <w:tcPr>
            <w:tcW w:w="2464"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指标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8" w:hRule="atLeast"/>
        </w:trPr>
        <w:tc>
          <w:tcPr>
            <w:tcW w:w="2535"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蛔虫卵</w:t>
            </w:r>
          </w:p>
        </w:tc>
        <w:tc>
          <w:tcPr>
            <w:tcW w:w="2464"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死亡率≥95%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2535"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粪大肠杆菌群数</w:t>
            </w:r>
          </w:p>
        </w:tc>
        <w:tc>
          <w:tcPr>
            <w:tcW w:w="2464"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5</w:t>
            </w:r>
            <w:r>
              <w:rPr>
                <w:rFonts w:hint="default" w:ascii="Times New Roman" w:hAnsi="Times New Roman" w:cs="Times New Roman"/>
                <w:color w:val="auto"/>
                <w:sz w:val="21"/>
                <w:szCs w:val="21"/>
                <w:highlight w:val="none"/>
              </w:rPr>
              <w:t>个/kg</w:t>
            </w:r>
          </w:p>
        </w:tc>
      </w:tr>
      <w:bookmarkEnd w:id="64"/>
      <w:bookmarkEnd w:id="65"/>
    </w:tbl>
    <w:p>
      <w:pPr>
        <w:keepNext w:val="0"/>
        <w:keepLines w:val="0"/>
        <w:pageBreakBefore w:val="0"/>
        <w:widowControl w:val="0"/>
        <w:numPr>
          <w:ilvl w:val="0"/>
          <w:numId w:val="12"/>
        </w:numPr>
        <w:kinsoku/>
        <w:wordWrap/>
        <w:overflowPunct/>
        <w:topLinePunct w:val="0"/>
        <w:autoSpaceDE w:val="0"/>
        <w:autoSpaceDN w:val="0"/>
        <w:bidi w:val="0"/>
        <w:adjustRightInd w:val="0"/>
        <w:snapToGrid w:val="0"/>
        <w:spacing w:before="157" w:beforeLines="50" w:line="360" w:lineRule="auto"/>
        <w:ind w:left="0" w:leftChars="0" w:right="0" w:rightChars="0" w:firstLine="480" w:firstLineChars="200"/>
        <w:textAlignment w:val="auto"/>
        <w:rPr>
          <w:rFonts w:hint="default" w:ascii="Times New Roman" w:hAnsi="Times New Roman" w:cs="Times New Roman"/>
          <w:color w:val="auto"/>
          <w:kern w:val="0"/>
          <w:highlight w:val="none"/>
        </w:rPr>
      </w:pPr>
      <w:r>
        <w:rPr>
          <w:rFonts w:hint="default" w:ascii="Times New Roman" w:hAnsi="Times New Roman" w:eastAsia="宋体" w:cs="Times New Roman"/>
          <w:color w:val="auto"/>
          <w:kern w:val="0"/>
          <w:sz w:val="24"/>
          <w:szCs w:val="24"/>
          <w:highlight w:val="none"/>
          <w:lang w:val="en-US" w:eastAsia="zh-CN" w:bidi="ar"/>
        </w:rPr>
        <w:t>《畜禽养殖业污染防治技术规范》（HJ/T81</w:t>
      </w:r>
      <w:r>
        <w:rPr>
          <w:rFonts w:hint="default" w:ascii="Times New Roman" w:hAnsi="Times New Roman"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2001）中规定畜禽粪便必须经过无害化处理，并且须符合《粪便无害化卫生要求》（GB7959</w:t>
      </w:r>
      <w:r>
        <w:rPr>
          <w:rFonts w:hint="default" w:ascii="Times New Roman" w:hAnsi="Times New Roman"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2012）后，才能进行土地利用，禁止未经处理的畜禽粪便直接施入农田。根据《农业农村部办公厅 生态环境部办公厅关于进一步明确畜禽粪污还田利用要求强化养殖污染监管的通知》要求，粪污经无害化处理后还田利用具体要求及限量应符合《畜禽粪便无害化处理技术规范》（GB/T 36195</w:t>
      </w:r>
      <w:r>
        <w:rPr>
          <w:rFonts w:hint="default" w:ascii="Times New Roman" w:hAnsi="Times New Roman" w:cs="Times New Roman"/>
          <w:color w:val="auto"/>
          <w:highlight w:val="none"/>
        </w:rPr>
        <w:t>-2018</w:t>
      </w:r>
      <w:r>
        <w:rPr>
          <w:rFonts w:hint="default" w:ascii="Times New Roman" w:hAnsi="Times New Roman" w:eastAsia="宋体" w:cs="Times New Roman"/>
          <w:color w:val="auto"/>
          <w:kern w:val="0"/>
          <w:sz w:val="24"/>
          <w:szCs w:val="24"/>
          <w:highlight w:val="none"/>
          <w:lang w:val="en-US" w:eastAsia="zh-CN" w:bidi="ar"/>
        </w:rPr>
        <w:t>）和《畜禽粪便还田技术规范》（GB/T 25246</w:t>
      </w:r>
      <w:r>
        <w:rPr>
          <w:rFonts w:hint="default" w:ascii="Times New Roman" w:hAnsi="Times New Roman" w:cs="Times New Roman"/>
          <w:color w:val="auto"/>
          <w:highlight w:val="none"/>
        </w:rPr>
        <w:t>-2010</w:t>
      </w:r>
      <w:r>
        <w:rPr>
          <w:rFonts w:hint="default" w:ascii="Times New Roman" w:hAnsi="Times New Roman" w:cs="Times New Roman"/>
          <w:color w:val="auto"/>
          <w:kern w:val="0"/>
          <w:highlight w:val="none"/>
        </w:rPr>
        <w:t>（蛔虫卵死亡率≥95%；粪大肠菌群数≤10</w:t>
      </w:r>
      <w:r>
        <w:rPr>
          <w:rFonts w:hint="default" w:ascii="Times New Roman" w:hAnsi="Times New Roman" w:cs="Times New Roman"/>
          <w:color w:val="auto"/>
          <w:kern w:val="0"/>
          <w:highlight w:val="none"/>
          <w:vertAlign w:val="superscript"/>
        </w:rPr>
        <w:t>5</w:t>
      </w:r>
      <w:r>
        <w:rPr>
          <w:rFonts w:hint="default" w:ascii="Times New Roman" w:hAnsi="Times New Roman" w:cs="Times New Roman"/>
          <w:color w:val="auto"/>
          <w:kern w:val="0"/>
          <w:highlight w:val="none"/>
        </w:rPr>
        <w:t>个/kg）</w:t>
      </w:r>
      <w:r>
        <w:rPr>
          <w:rFonts w:hint="default" w:ascii="Times New Roman" w:hAnsi="Times New Roman" w:eastAsia="宋体" w:cs="Times New Roman"/>
          <w:color w:val="auto"/>
          <w:kern w:val="0"/>
          <w:sz w:val="24"/>
          <w:szCs w:val="24"/>
          <w:highlight w:val="none"/>
          <w:lang w:val="en-US" w:eastAsia="zh-CN" w:bidi="ar"/>
        </w:rPr>
        <w:t>）。</w:t>
      </w:r>
    </w:p>
    <w:p>
      <w:pPr>
        <w:pageBreakBefore w:val="0"/>
        <w:numPr>
          <w:ilvl w:val="0"/>
          <w:numId w:val="12"/>
        </w:numPr>
        <w:wordWrap/>
        <w:autoSpaceDE w:val="0"/>
        <w:autoSpaceDN w:val="0"/>
        <w:bidi w:val="0"/>
        <w:adjustRightInd w:val="0"/>
        <w:spacing w:line="324" w:lineRule="auto"/>
        <w:ind w:left="0" w:leftChars="0" w:right="0" w:rightChars="0" w:firstLine="480" w:firstLineChars="200"/>
        <w:rPr>
          <w:rFonts w:hint="default" w:ascii="Times New Roman" w:hAnsi="Times New Roman" w:cs="Times New Roman"/>
          <w:color w:val="auto"/>
          <w:kern w:val="0"/>
          <w:highlight w:val="none"/>
        </w:rPr>
      </w:pPr>
      <w:r>
        <w:rPr>
          <w:rFonts w:hint="eastAsia"/>
          <w:color w:val="auto"/>
        </w:rPr>
        <w:t>病死牛尸体处置执行《畜禽养殖业污染防治技术规范》( HJ/T81-2001)</w:t>
      </w:r>
      <w:r>
        <w:rPr>
          <w:rFonts w:hint="eastAsia"/>
          <w:color w:val="auto"/>
          <w:lang w:eastAsia="zh-CN"/>
        </w:rPr>
        <w:t>。</w:t>
      </w:r>
    </w:p>
    <w:p>
      <w:pPr>
        <w:pageBreakBefore w:val="0"/>
        <w:numPr>
          <w:ilvl w:val="0"/>
          <w:numId w:val="12"/>
        </w:numPr>
        <w:wordWrap/>
        <w:autoSpaceDE w:val="0"/>
        <w:autoSpaceDN w:val="0"/>
        <w:bidi w:val="0"/>
        <w:adjustRightInd w:val="0"/>
        <w:spacing w:line="324" w:lineRule="auto"/>
        <w:ind w:left="0" w:leftChars="0" w:right="0" w:rightChars="0" w:firstLine="480" w:firstLineChars="200"/>
        <w:rPr>
          <w:rFonts w:hint="default" w:ascii="Times New Roman" w:hAnsi="Times New Roman" w:cs="Times New Roman"/>
          <w:color w:val="auto"/>
          <w:kern w:val="0"/>
          <w:highlight w:val="none"/>
        </w:rPr>
      </w:pPr>
      <w:r>
        <w:rPr>
          <w:rFonts w:hint="eastAsia"/>
          <w:color w:val="auto"/>
          <w:highlight w:val="none"/>
          <w:lang w:val="en-US" w:eastAsia="zh-CN"/>
        </w:rPr>
        <w:t>医疗废物执行</w:t>
      </w:r>
      <w:r>
        <w:rPr>
          <w:rFonts w:hint="eastAsia" w:cs="Times New Roman"/>
          <w:color w:val="auto"/>
          <w:sz w:val="24"/>
          <w:szCs w:val="22"/>
          <w:highlight w:val="none"/>
          <w:lang w:val="en-US" w:eastAsia="zh-CN"/>
        </w:rPr>
        <w:t>《</w:t>
      </w:r>
      <w:r>
        <w:rPr>
          <w:rFonts w:hint="eastAsia"/>
          <w:color w:val="auto"/>
          <w:highlight w:val="none"/>
          <w:lang w:val="en-US" w:eastAsia="zh-CN"/>
        </w:rPr>
        <w:t>医疗废物处理处置污染控制标准》</w:t>
      </w:r>
      <w:r>
        <w:rPr>
          <w:rFonts w:hint="eastAsia"/>
          <w:color w:val="auto"/>
          <w:highlight w:val="none"/>
        </w:rPr>
        <w:t>（GB 39707-2020）</w:t>
      </w:r>
      <w:r>
        <w:rPr>
          <w:rFonts w:hint="eastAsia"/>
          <w:color w:val="auto"/>
          <w:lang w:eastAsia="zh-CN"/>
        </w:rPr>
        <w:t>。</w:t>
      </w:r>
    </w:p>
    <w:p>
      <w:pPr>
        <w:pageBreakBefore w:val="0"/>
        <w:numPr>
          <w:ilvl w:val="0"/>
          <w:numId w:val="12"/>
        </w:numPr>
        <w:wordWrap/>
        <w:autoSpaceDE w:val="0"/>
        <w:autoSpaceDN w:val="0"/>
        <w:bidi w:val="0"/>
        <w:adjustRightInd w:val="0"/>
        <w:spacing w:line="324" w:lineRule="auto"/>
        <w:ind w:left="0" w:leftChars="0" w:right="0" w:rightChars="0" w:firstLine="480" w:firstLineChars="20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其他一般固体废物和危险废物执行《一般工业固体废物贮存和填埋污染控制标准》（GB18599-2020）及</w:t>
      </w:r>
      <w:r>
        <w:rPr>
          <w:rFonts w:hint="default" w:ascii="Times New Roman" w:hAnsi="Times New Roman" w:cs="Times New Roman"/>
          <w:color w:val="auto"/>
          <w:kern w:val="0"/>
          <w:highlight w:val="none"/>
          <w:lang w:eastAsia="zh-CN"/>
        </w:rPr>
        <w:t>《危险废物贮存污染控制标准》（GB18597-2023）</w:t>
      </w:r>
      <w:r>
        <w:rPr>
          <w:rFonts w:hint="default" w:ascii="Times New Roman" w:hAnsi="Times New Roman" w:cs="Times New Roman"/>
          <w:color w:val="auto"/>
          <w:kern w:val="0"/>
          <w:highlight w:val="none"/>
        </w:rPr>
        <w:t>要求。</w:t>
      </w:r>
    </w:p>
    <w:p>
      <w:pPr>
        <w:pStyle w:val="4"/>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93" w:name="_Toc7641"/>
      <w:bookmarkStart w:id="94" w:name="_Toc15149"/>
      <w:bookmarkStart w:id="95" w:name="_Toc12680"/>
      <w:r>
        <w:rPr>
          <w:rFonts w:hint="default" w:ascii="Times New Roman" w:hAnsi="Times New Roman" w:cs="Times New Roman"/>
          <w:color w:val="auto"/>
          <w:highlight w:val="none"/>
        </w:rPr>
        <w:t>评价工作等级</w:t>
      </w:r>
      <w:bookmarkEnd w:id="93"/>
      <w:bookmarkEnd w:id="94"/>
      <w:bookmarkEnd w:id="95"/>
    </w:p>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96" w:name="_Toc21150"/>
      <w:bookmarkStart w:id="97" w:name="_Toc263850717"/>
      <w:r>
        <w:rPr>
          <w:rFonts w:hint="default" w:ascii="Times New Roman" w:hAnsi="Times New Roman" w:cs="Times New Roman"/>
          <w:color w:val="auto"/>
          <w:highlight w:val="none"/>
        </w:rPr>
        <w:t>环境空气</w:t>
      </w:r>
      <w:bookmarkEnd w:id="96"/>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根据工程分析，本项目运营期产生的大气污染物主要为NH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w:t>
      </w:r>
      <w:r>
        <w:rPr>
          <w:rFonts w:hint="default" w:ascii="Times New Roman" w:hAnsi="Times New Roman" w:cs="Times New Roman"/>
          <w:color w:val="auto"/>
          <w:highlight w:val="none"/>
          <w:lang w:val="en-US" w:eastAsia="zh-CN"/>
        </w:rPr>
        <w:t>和</w:t>
      </w:r>
      <w:r>
        <w:rPr>
          <w:rFonts w:hint="default" w:ascii="Times New Roman" w:hAnsi="Times New Roman" w:cs="Times New Roman"/>
          <w:color w:val="auto"/>
          <w:highlight w:val="none"/>
        </w:rPr>
        <w:t>颗粒物。采用《环境影响评价技术导则</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大气环境》（HJ2.2-2018）中5.3节工作等级的确定方法，本项目选取NH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PM</w:t>
      </w:r>
      <w:r>
        <w:rPr>
          <w:rFonts w:hint="default" w:ascii="Times New Roman" w:hAnsi="Times New Roman" w:cs="Times New Roman"/>
          <w:color w:val="auto"/>
          <w:highlight w:val="none"/>
          <w:vertAlign w:val="subscript"/>
          <w:lang w:val="en-US" w:eastAsia="zh-CN"/>
        </w:rPr>
        <w:t>10</w:t>
      </w:r>
      <w:r>
        <w:rPr>
          <w:rFonts w:hint="default" w:ascii="Times New Roman" w:hAnsi="Times New Roman" w:cs="Times New Roman"/>
          <w:color w:val="auto"/>
          <w:highlight w:val="none"/>
          <w:vertAlign w:val="baseline"/>
          <w:lang w:val="en-US" w:eastAsia="zh-CN"/>
        </w:rPr>
        <w:t>、TSP</w:t>
      </w:r>
      <w:r>
        <w:rPr>
          <w:rFonts w:hint="default" w:ascii="Times New Roman" w:hAnsi="Times New Roman" w:cs="Times New Roman"/>
          <w:color w:val="auto"/>
          <w:highlight w:val="none"/>
        </w:rPr>
        <w:t>作为评价因子进行核算，采用附录A推荐模型中的AERSCREEN模式计算项目污染源的最大环境影响，然后按评价工作分级判据进行分级。评价工作级别依据表2.</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rPr>
        <w:t>-1如下：</w:t>
      </w:r>
    </w:p>
    <w:p>
      <w:pPr>
        <w:pStyle w:val="50"/>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表2.</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-1</w:t>
      </w:r>
      <w:r>
        <w:rPr>
          <w:rFonts w:hint="eastAsia" w:ascii="Times New Roman" w:hAnsi="Times New Roman"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评价工作级别表</w:t>
      </w:r>
    </w:p>
    <w:tbl>
      <w:tblPr>
        <w:tblStyle w:val="39"/>
        <w:tblpPr w:leftFromText="180" w:rightFromText="180" w:vertAnchor="text" w:tblpY="1"/>
        <w:tblOverlap w:val="never"/>
        <w:tblW w:w="8599"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63"/>
        <w:gridCol w:w="64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163" w:type="dxa"/>
            <w:tcBorders>
              <w:tl2br w:val="nil"/>
              <w:tr2bl w:val="nil"/>
            </w:tcBorders>
            <w:noWrap w:val="0"/>
            <w:tcMar>
              <w:left w:w="0" w:type="dxa"/>
              <w:right w:w="0" w:type="dxa"/>
            </w:tcMar>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评价工作等级</w:t>
            </w:r>
          </w:p>
        </w:tc>
        <w:tc>
          <w:tcPr>
            <w:tcW w:w="6436" w:type="dxa"/>
            <w:tcBorders>
              <w:tl2br w:val="nil"/>
              <w:tr2bl w:val="nil"/>
            </w:tcBorders>
            <w:noWrap w:val="0"/>
            <w:tcMar>
              <w:left w:w="0" w:type="dxa"/>
              <w:right w:w="0" w:type="dxa"/>
            </w:tcMar>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评价工作等级判据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163" w:type="dxa"/>
            <w:tcBorders>
              <w:tl2br w:val="nil"/>
              <w:tr2bl w:val="nil"/>
            </w:tcBorders>
            <w:noWrap w:val="0"/>
            <w:tcMar>
              <w:left w:w="0" w:type="dxa"/>
              <w:right w:w="0" w:type="dxa"/>
            </w:tcMar>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一级</w:t>
            </w:r>
          </w:p>
        </w:tc>
        <w:tc>
          <w:tcPr>
            <w:tcW w:w="6436" w:type="dxa"/>
            <w:tcBorders>
              <w:tl2br w:val="nil"/>
              <w:tr2bl w:val="nil"/>
            </w:tcBorders>
            <w:noWrap w:val="0"/>
            <w:tcMar>
              <w:left w:w="0" w:type="dxa"/>
              <w:right w:w="0" w:type="dxa"/>
            </w:tcMar>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Pmax≥10%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163" w:type="dxa"/>
            <w:tcBorders>
              <w:tl2br w:val="nil"/>
              <w:tr2bl w:val="nil"/>
            </w:tcBorders>
            <w:noWrap w:val="0"/>
            <w:tcMar>
              <w:left w:w="0" w:type="dxa"/>
              <w:right w:w="0" w:type="dxa"/>
            </w:tcMar>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二级</w:t>
            </w:r>
          </w:p>
        </w:tc>
        <w:tc>
          <w:tcPr>
            <w:tcW w:w="6436" w:type="dxa"/>
            <w:tcBorders>
              <w:tl2br w:val="nil"/>
              <w:tr2bl w:val="nil"/>
            </w:tcBorders>
            <w:noWrap w:val="0"/>
            <w:tcMar>
              <w:left w:w="0" w:type="dxa"/>
              <w:right w:w="0" w:type="dxa"/>
            </w:tcMar>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1%≤Pmax&lt;10%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2163" w:type="dxa"/>
            <w:tcBorders>
              <w:tl2br w:val="nil"/>
              <w:tr2bl w:val="nil"/>
            </w:tcBorders>
            <w:noWrap w:val="0"/>
            <w:tcMar>
              <w:left w:w="0" w:type="dxa"/>
              <w:right w:w="0" w:type="dxa"/>
            </w:tcMar>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三级</w:t>
            </w:r>
          </w:p>
        </w:tc>
        <w:tc>
          <w:tcPr>
            <w:tcW w:w="6436" w:type="dxa"/>
            <w:tcBorders>
              <w:tl2br w:val="nil"/>
              <w:tr2bl w:val="nil"/>
            </w:tcBorders>
            <w:noWrap w:val="0"/>
            <w:tcMar>
              <w:left w:w="0" w:type="dxa"/>
              <w:right w:w="0" w:type="dxa"/>
            </w:tcMar>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Pmax&lt;1%</w:t>
            </w:r>
          </w:p>
        </w:tc>
      </w:tr>
    </w:tbl>
    <w:p>
      <w:pPr>
        <w:keepNext w:val="0"/>
        <w:keepLines w:val="0"/>
        <w:pageBreakBefore w:val="0"/>
        <w:widowControl w:val="0"/>
        <w:kinsoku/>
        <w:wordWrap/>
        <w:overflowPunct/>
        <w:topLinePunct w:val="0"/>
        <w:autoSpaceDE/>
        <w:autoSpaceDN/>
        <w:bidi w:val="0"/>
        <w:adjustRightInd w:val="0"/>
        <w:snapToGrid w:val="0"/>
        <w:spacing w:before="157" w:beforeLines="50"/>
        <w:ind w:left="0" w:leftChars="0" w:right="0" w:rightChars="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计算项目各工序产生的主要大气污染物的最大地面浓度占标率P</w:t>
      </w:r>
      <w:r>
        <w:rPr>
          <w:rFonts w:hint="default" w:ascii="Times New Roman" w:hAnsi="Times New Roman" w:cs="Times New Roman"/>
          <w:color w:val="auto"/>
          <w:highlight w:val="none"/>
          <w:vertAlign w:val="subscript"/>
        </w:rPr>
        <w:t>i</w:t>
      </w:r>
      <w:r>
        <w:rPr>
          <w:rFonts w:hint="default" w:ascii="Times New Roman" w:hAnsi="Times New Roman" w:cs="Times New Roman"/>
          <w:color w:val="auto"/>
          <w:highlight w:val="none"/>
        </w:rPr>
        <w:t>（第i个污染物），第i个污染物的地面浓度达标准限值10%时所对应的最远距离D</w:t>
      </w:r>
      <w:r>
        <w:rPr>
          <w:rFonts w:hint="default" w:ascii="Times New Roman" w:hAnsi="Times New Roman" w:cs="Times New Roman"/>
          <w:color w:val="auto"/>
          <w:highlight w:val="none"/>
          <w:vertAlign w:val="subscript"/>
        </w:rPr>
        <w:t>10%</w:t>
      </w:r>
      <w:r>
        <w:rPr>
          <w:rFonts w:hint="default" w:ascii="Times New Roman" w:hAnsi="Times New Roman" w:cs="Times New Roman"/>
          <w:color w:val="auto"/>
          <w:highlight w:val="none"/>
        </w:rPr>
        <w:t>，其中P</w:t>
      </w:r>
      <w:r>
        <w:rPr>
          <w:rFonts w:hint="default" w:ascii="Times New Roman" w:hAnsi="Times New Roman" w:cs="Times New Roman"/>
          <w:color w:val="auto"/>
          <w:highlight w:val="none"/>
          <w:vertAlign w:val="subscript"/>
        </w:rPr>
        <w:t>i</w:t>
      </w:r>
      <w:r>
        <w:rPr>
          <w:rFonts w:hint="default" w:ascii="Times New Roman" w:hAnsi="Times New Roman" w:cs="Times New Roman"/>
          <w:color w:val="auto"/>
          <w:highlight w:val="none"/>
        </w:rPr>
        <w:t>定义为：</w:t>
      </w:r>
    </w:p>
    <w:p>
      <w:pPr>
        <w:pageBreakBefore w:val="0"/>
        <w:wordWrap/>
        <w:autoSpaceDE w:val="0"/>
        <w:autoSpaceDN w:val="0"/>
        <w:bidi w:val="0"/>
        <w:adjustRightInd w:val="0"/>
        <w:spacing w:line="324" w:lineRule="auto"/>
        <w:ind w:left="0" w:leftChars="0" w:right="0" w:rightChars="0"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 xml:space="preserve">               </w:t>
      </w:r>
      <w:r>
        <w:rPr>
          <w:rFonts w:hint="default" w:ascii="Times New Roman" w:hAnsi="Times New Roman" w:cs="Times New Roman"/>
          <w:color w:val="auto"/>
          <w:kern w:val="0"/>
          <w:highlight w:val="none"/>
        </w:rPr>
        <w:object>
          <v:shape id="_x0000_i1025" o:spt="75" type="#_x0000_t75" style="height:35.25pt;width:81pt;" o:ole="t" fillcolor="#6D6D6D" filled="f" o:preferrelative="t" stroked="f" coordsize="21600,21600">
            <v:path/>
            <v:fill on="f" focussize="0,0"/>
            <v:stroke on="f"/>
            <v:imagedata r:id="rId29" o:title=""/>
            <o:lock v:ext="edit" grouping="f" rotation="f" text="f" aspectratio="t"/>
            <w10:wrap type="none"/>
            <w10:anchorlock/>
          </v:shape>
          <o:OLEObject Type="Embed" ProgID="Equation.3" ShapeID="_x0000_i1025" DrawAspect="Content" ObjectID="_1468075725" r:id="rId28">
            <o:LockedField>false</o:LockedField>
          </o:OLEObject>
        </w:objec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textAlignment w:val="auto"/>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式中：Pi—第i个污染物的最大地面浓度占标率，%；</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textAlignment w:val="auto"/>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 xml:space="preserve">      Ci—采用估算模式计算出的第i个污染物的最大落地浓度，mg/m</w:t>
      </w:r>
      <w:r>
        <w:rPr>
          <w:rFonts w:hint="default" w:ascii="Times New Roman" w:hAnsi="Times New Roman" w:cs="Times New Roman"/>
          <w:color w:val="auto"/>
          <w:kern w:val="0"/>
          <w:highlight w:val="none"/>
          <w:vertAlign w:val="superscript"/>
        </w:rPr>
        <w:t>3</w:t>
      </w:r>
      <w:r>
        <w:rPr>
          <w:rFonts w:hint="default" w:ascii="Times New Roman" w:hAnsi="Times New Roman" w:cs="Times New Roman"/>
          <w:color w:val="auto"/>
          <w:kern w:val="0"/>
          <w:highlight w:val="none"/>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 xml:space="preserve">     </w:t>
      </w:r>
      <w:r>
        <w:rPr>
          <w:rFonts w:hint="default" w:ascii="Times New Roman" w:hAnsi="Times New Roman" w:cs="Times New Roman"/>
          <w:color w:val="auto"/>
          <w:kern w:val="0"/>
          <w:highlight w:val="none"/>
          <w:lang w:val="en-US" w:eastAsia="zh-CN"/>
        </w:rPr>
        <w:t xml:space="preserve"> </w:t>
      </w:r>
      <w:r>
        <w:rPr>
          <w:rFonts w:hint="default" w:ascii="Times New Roman" w:hAnsi="Times New Roman" w:cs="Times New Roman"/>
          <w:color w:val="auto"/>
          <w:kern w:val="0"/>
          <w:highlight w:val="none"/>
        </w:rPr>
        <w:t>Coi—环境空气质量标准，mg/m</w:t>
      </w:r>
      <w:r>
        <w:rPr>
          <w:rFonts w:hint="default" w:ascii="Times New Roman" w:hAnsi="Times New Roman" w:cs="Times New Roman"/>
          <w:color w:val="auto"/>
          <w:kern w:val="0"/>
          <w:highlight w:val="none"/>
          <w:vertAlign w:val="superscript"/>
        </w:rPr>
        <w:t>3</w:t>
      </w:r>
      <w:r>
        <w:rPr>
          <w:rFonts w:hint="default" w:ascii="Times New Roman" w:hAnsi="Times New Roman" w:cs="Times New Roman"/>
          <w:color w:val="auto"/>
          <w:kern w:val="0"/>
          <w:highlight w:val="none"/>
        </w:rPr>
        <w:t>。</w:t>
      </w:r>
    </w:p>
    <w:p>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本项目场址所在地位于农村地区，估算模型计算参数表见表2.</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rPr>
        <w:t>-2。源强参数见表2.</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2.</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。估算模式计算结果见表2.</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w:t>
      </w:r>
    </w:p>
    <w:p>
      <w:pPr>
        <w:pStyle w:val="50"/>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表2.</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-2     估算模型计算参数表</w:t>
      </w:r>
    </w:p>
    <w:tbl>
      <w:tblPr>
        <w:tblStyle w:val="39"/>
        <w:tblpPr w:leftFromText="180" w:rightFromText="180" w:vertAnchor="text" w:tblpXSpec="left" w:tblpY="1"/>
        <w:tblOverlap w:val="never"/>
        <w:tblW w:w="497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93"/>
        <w:gridCol w:w="2894"/>
        <w:gridCol w:w="28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5787" w:type="dxa"/>
            <w:gridSpan w:val="2"/>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参数</w:t>
            </w:r>
          </w:p>
        </w:tc>
        <w:tc>
          <w:tcPr>
            <w:tcW w:w="2892" w:type="dxa"/>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取值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2893" w:type="dxa"/>
            <w:vMerge w:val="restart"/>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城市/农村选项</w:t>
            </w:r>
          </w:p>
        </w:tc>
        <w:tc>
          <w:tcPr>
            <w:tcW w:w="2894" w:type="dxa"/>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城市/农村</w:t>
            </w:r>
          </w:p>
        </w:tc>
        <w:tc>
          <w:tcPr>
            <w:tcW w:w="2892" w:type="dxa"/>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农村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2893" w:type="dxa"/>
            <w:vMerge w:val="continue"/>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p>
        </w:tc>
        <w:tc>
          <w:tcPr>
            <w:tcW w:w="2894" w:type="dxa"/>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人口数（城市选项时）</w:t>
            </w:r>
          </w:p>
        </w:tc>
        <w:tc>
          <w:tcPr>
            <w:tcW w:w="2892" w:type="dxa"/>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5787" w:type="dxa"/>
            <w:gridSpan w:val="2"/>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最高环境温度/℃</w:t>
            </w:r>
          </w:p>
        </w:tc>
        <w:tc>
          <w:tcPr>
            <w:tcW w:w="2892" w:type="dxa"/>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5787" w:type="dxa"/>
            <w:gridSpan w:val="2"/>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最低环境温度/℃</w:t>
            </w:r>
          </w:p>
        </w:tc>
        <w:tc>
          <w:tcPr>
            <w:tcW w:w="2892" w:type="dxa"/>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5787" w:type="dxa"/>
            <w:gridSpan w:val="2"/>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土地利用类型</w:t>
            </w:r>
          </w:p>
        </w:tc>
        <w:tc>
          <w:tcPr>
            <w:tcW w:w="2892" w:type="dxa"/>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5787" w:type="dxa"/>
            <w:gridSpan w:val="2"/>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区域湿度条件</w:t>
            </w:r>
          </w:p>
        </w:tc>
        <w:tc>
          <w:tcPr>
            <w:tcW w:w="2892" w:type="dxa"/>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干旱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2893" w:type="dxa"/>
            <w:vMerge w:val="restar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是否考虑地形</w:t>
            </w:r>
          </w:p>
        </w:tc>
        <w:tc>
          <w:tcPr>
            <w:tcW w:w="2894"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考虑地形</w:t>
            </w:r>
          </w:p>
        </w:tc>
        <w:tc>
          <w:tcPr>
            <w:tcW w:w="2892" w:type="dxa"/>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2893" w:type="dxa"/>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p>
        </w:tc>
        <w:tc>
          <w:tcPr>
            <w:tcW w:w="2894"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地形数据分辨率</w:t>
            </w:r>
            <w:r>
              <w:rPr>
                <w:rFonts w:hint="default" w:ascii="Times New Roman" w:hAnsi="Times New Roman" w:cs="Times New Roman"/>
                <w:color w:val="auto"/>
                <w:sz w:val="21"/>
                <w:szCs w:val="21"/>
                <w:highlight w:val="none"/>
                <w:lang w:val="en-US" w:eastAsia="zh-CN"/>
              </w:rPr>
              <w:t xml:space="preserve">/m </w:t>
            </w:r>
          </w:p>
        </w:tc>
        <w:tc>
          <w:tcPr>
            <w:tcW w:w="2892" w:type="dxa"/>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2893" w:type="dxa"/>
            <w:vMerge w:val="restar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是否考虑岸线熏烟</w:t>
            </w:r>
          </w:p>
        </w:tc>
        <w:tc>
          <w:tcPr>
            <w:tcW w:w="2894"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考虑岸线熏烟</w:t>
            </w:r>
          </w:p>
        </w:tc>
        <w:tc>
          <w:tcPr>
            <w:tcW w:w="2892" w:type="dxa"/>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2893" w:type="dxa"/>
            <w:vMerge w:val="continue"/>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p>
        </w:tc>
        <w:tc>
          <w:tcPr>
            <w:tcW w:w="2894" w:type="dxa"/>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岸线距离/km</w:t>
            </w:r>
          </w:p>
        </w:tc>
        <w:tc>
          <w:tcPr>
            <w:tcW w:w="2892"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893" w:type="dxa"/>
            <w:vMerge w:val="continue"/>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p>
        </w:tc>
        <w:tc>
          <w:tcPr>
            <w:tcW w:w="2894" w:type="dxa"/>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岸线方向/</w:t>
            </w:r>
            <w:r>
              <w:rPr>
                <w:rFonts w:hint="default" w:ascii="Times New Roman" w:hAnsi="Times New Roman" w:cs="Times New Roman"/>
                <w:color w:val="auto"/>
                <w:sz w:val="21"/>
                <w:szCs w:val="21"/>
                <w:highlight w:val="none"/>
                <w:rtl/>
              </w:rPr>
              <w:t>ﹾ</w:t>
            </w:r>
          </w:p>
        </w:tc>
        <w:tc>
          <w:tcPr>
            <w:tcW w:w="2892"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bl>
    <w:p>
      <w:pPr>
        <w:pStyle w:val="56"/>
        <w:pageBreakBefore w:val="0"/>
        <w:wordWrap/>
        <w:bidi w:val="0"/>
        <w:adjustRightInd w:val="0"/>
        <w:ind w:left="0" w:leftChars="0" w:right="0" w:rightChars="0"/>
        <w:rPr>
          <w:rStyle w:val="46"/>
          <w:rFonts w:hint="default" w:ascii="Times New Roman" w:hAnsi="Times New Roman" w:cs="Times New Roman"/>
          <w:b w:val="0"/>
          <w:color w:val="auto"/>
          <w:sz w:val="21"/>
          <w:szCs w:val="21"/>
          <w:highlight w:val="none"/>
        </w:rPr>
      </w:pPr>
      <w:r>
        <w:rPr>
          <w:rFonts w:hint="default" w:ascii="Times New Roman" w:hAnsi="Times New Roman" w:cs="Times New Roman"/>
          <w:color w:val="auto"/>
          <w:sz w:val="21"/>
          <w:szCs w:val="21"/>
          <w:highlight w:val="none"/>
          <w:lang w:val="en-US" w:eastAsia="zh-CN"/>
        </w:rPr>
        <w:t>表2.</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 xml:space="preserve">      </w:t>
      </w:r>
      <w:r>
        <w:rPr>
          <w:rFonts w:hint="default" w:ascii="Times New Roman" w:hAnsi="Times New Roman" w:cs="Times New Roman"/>
          <w:color w:val="auto"/>
          <w:sz w:val="21"/>
          <w:szCs w:val="21"/>
          <w:highlight w:val="none"/>
          <w:lang w:val="en-US" w:eastAsia="zh-CN"/>
        </w:rPr>
        <w:t>点</w:t>
      </w:r>
      <w:r>
        <w:rPr>
          <w:rFonts w:hint="default" w:ascii="Times New Roman" w:hAnsi="Times New Roman" w:cs="Times New Roman"/>
          <w:color w:val="auto"/>
          <w:sz w:val="21"/>
          <w:szCs w:val="21"/>
          <w:highlight w:val="none"/>
        </w:rPr>
        <w:t>源源强参数表</w:t>
      </w:r>
    </w:p>
    <w:tbl>
      <w:tblPr>
        <w:tblStyle w:val="4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395"/>
        <w:gridCol w:w="1202"/>
        <w:gridCol w:w="574"/>
        <w:gridCol w:w="612"/>
        <w:gridCol w:w="823"/>
        <w:gridCol w:w="691"/>
        <w:gridCol w:w="705"/>
        <w:gridCol w:w="880"/>
        <w:gridCol w:w="691"/>
        <w:gridCol w:w="645"/>
        <w:gridCol w:w="13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29" w:hRule="atLeast"/>
        </w:trPr>
        <w:tc>
          <w:tcPr>
            <w:tcW w:w="230" w:type="pct"/>
            <w:vMerge w:val="restar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编号</w:t>
            </w:r>
          </w:p>
        </w:tc>
        <w:tc>
          <w:tcPr>
            <w:tcW w:w="698" w:type="pct"/>
            <w:vMerge w:val="restar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名称</w:t>
            </w:r>
          </w:p>
        </w:tc>
        <w:tc>
          <w:tcPr>
            <w:tcW w:w="688" w:type="pct"/>
            <w:gridSpan w:val="2"/>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排气筒底部中心坐标</w:t>
            </w:r>
          </w:p>
        </w:tc>
        <w:tc>
          <w:tcPr>
            <w:tcW w:w="478" w:type="pct"/>
            <w:vMerge w:val="restar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排气筒底部海拔高度/m</w:t>
            </w:r>
          </w:p>
        </w:tc>
        <w:tc>
          <w:tcPr>
            <w:tcW w:w="401" w:type="pct"/>
            <w:vMerge w:val="restar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排气筒高度/m</w:t>
            </w:r>
          </w:p>
        </w:tc>
        <w:tc>
          <w:tcPr>
            <w:tcW w:w="409" w:type="pct"/>
            <w:vMerge w:val="restar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排气筒内径/m</w:t>
            </w:r>
          </w:p>
        </w:tc>
        <w:tc>
          <w:tcPr>
            <w:tcW w:w="511" w:type="pct"/>
            <w:vMerge w:val="restart"/>
            <w:tcBorders>
              <w:tl2br w:val="nil"/>
              <w:tr2bl w:val="nil"/>
            </w:tcBorders>
            <w:noWrap w:val="0"/>
            <w:vAlign w:val="center"/>
          </w:tcPr>
          <w:p>
            <w:pPr>
              <w:pStyle w:val="55"/>
              <w:pageBreakBefore w:val="0"/>
              <w:wordWrap/>
              <w:bidi w:val="0"/>
              <w:adjustRightInd w:val="0"/>
              <w:ind w:left="0" w:leftChars="0" w:right="0" w:rightChars="0"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废气量（m³/h）</w:t>
            </w:r>
          </w:p>
        </w:tc>
        <w:tc>
          <w:tcPr>
            <w:tcW w:w="401" w:type="pct"/>
            <w:vMerge w:val="restar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年排放小时数/h</w:t>
            </w:r>
          </w:p>
        </w:tc>
        <w:tc>
          <w:tcPr>
            <w:tcW w:w="374" w:type="pct"/>
            <w:vMerge w:val="restar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排放工况</w:t>
            </w:r>
          </w:p>
        </w:tc>
        <w:tc>
          <w:tcPr>
            <w:tcW w:w="806"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污染物排放速率（kg/h）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12" w:hRule="atLeast"/>
        </w:trPr>
        <w:tc>
          <w:tcPr>
            <w:tcW w:w="230" w:type="pct"/>
            <w:vMerge w:val="continue"/>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cs="Times New Roman"/>
                <w:color w:val="auto"/>
                <w:sz w:val="21"/>
                <w:szCs w:val="21"/>
                <w:highlight w:val="none"/>
              </w:rPr>
            </w:pPr>
          </w:p>
        </w:tc>
        <w:tc>
          <w:tcPr>
            <w:tcW w:w="698" w:type="pct"/>
            <w:vMerge w:val="continue"/>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cs="Times New Roman"/>
                <w:color w:val="auto"/>
                <w:sz w:val="21"/>
                <w:szCs w:val="21"/>
                <w:highlight w:val="none"/>
              </w:rPr>
            </w:pPr>
          </w:p>
        </w:tc>
        <w:tc>
          <w:tcPr>
            <w:tcW w:w="333" w:type="pct"/>
            <w:tcBorders>
              <w:tl2br w:val="nil"/>
              <w:tr2bl w:val="nil"/>
            </w:tcBorders>
            <w:noWrap w:val="0"/>
            <w:vAlign w:val="center"/>
          </w:tcPr>
          <w:p>
            <w:pPr>
              <w:pStyle w:val="84"/>
              <w:pageBreakBefore w:val="0"/>
              <w:wordWrap/>
              <w:bidi w:val="0"/>
              <w:adjustRightInd w:val="0"/>
              <w:ind w:left="0" w:leftChars="0" w:right="0" w:rightChars="0" w:firstLine="0" w:firstLineChars="0"/>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X</w:t>
            </w:r>
          </w:p>
        </w:tc>
        <w:tc>
          <w:tcPr>
            <w:tcW w:w="354" w:type="pct"/>
            <w:tcBorders>
              <w:tl2br w:val="nil"/>
              <w:tr2bl w:val="nil"/>
            </w:tcBorders>
            <w:noWrap w:val="0"/>
            <w:vAlign w:val="center"/>
          </w:tcPr>
          <w:p>
            <w:pPr>
              <w:pStyle w:val="84"/>
              <w:pageBreakBefore w:val="0"/>
              <w:wordWrap/>
              <w:bidi w:val="0"/>
              <w:adjustRightInd w:val="0"/>
              <w:ind w:left="0" w:leftChars="0" w:right="0" w:rightChars="0" w:firstLine="0" w:firstLineChars="0"/>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Y</w:t>
            </w:r>
          </w:p>
        </w:tc>
        <w:tc>
          <w:tcPr>
            <w:tcW w:w="478" w:type="pct"/>
            <w:vMerge w:val="continue"/>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cs="Times New Roman"/>
                <w:color w:val="auto"/>
                <w:sz w:val="21"/>
                <w:szCs w:val="21"/>
                <w:highlight w:val="yellow"/>
              </w:rPr>
            </w:pPr>
          </w:p>
        </w:tc>
        <w:tc>
          <w:tcPr>
            <w:tcW w:w="401" w:type="pct"/>
            <w:vMerge w:val="continue"/>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cs="Times New Roman"/>
                <w:color w:val="auto"/>
                <w:sz w:val="21"/>
                <w:szCs w:val="21"/>
                <w:highlight w:val="none"/>
              </w:rPr>
            </w:pPr>
          </w:p>
        </w:tc>
        <w:tc>
          <w:tcPr>
            <w:tcW w:w="409" w:type="pct"/>
            <w:vMerge w:val="continue"/>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cs="Times New Roman"/>
                <w:color w:val="auto"/>
                <w:sz w:val="21"/>
                <w:szCs w:val="21"/>
                <w:highlight w:val="none"/>
              </w:rPr>
            </w:pPr>
          </w:p>
        </w:tc>
        <w:tc>
          <w:tcPr>
            <w:tcW w:w="511" w:type="pct"/>
            <w:vMerge w:val="continue"/>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cs="Times New Roman"/>
                <w:color w:val="auto"/>
                <w:sz w:val="21"/>
                <w:szCs w:val="21"/>
                <w:highlight w:val="none"/>
              </w:rPr>
            </w:pPr>
          </w:p>
        </w:tc>
        <w:tc>
          <w:tcPr>
            <w:tcW w:w="401" w:type="pct"/>
            <w:vMerge w:val="continue"/>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cs="Times New Roman"/>
                <w:color w:val="auto"/>
                <w:sz w:val="21"/>
                <w:szCs w:val="21"/>
                <w:highlight w:val="none"/>
              </w:rPr>
            </w:pPr>
          </w:p>
        </w:tc>
        <w:tc>
          <w:tcPr>
            <w:tcW w:w="374" w:type="pct"/>
            <w:vMerge w:val="continue"/>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cs="Times New Roman"/>
                <w:color w:val="auto"/>
                <w:sz w:val="21"/>
                <w:szCs w:val="21"/>
                <w:highlight w:val="none"/>
              </w:rPr>
            </w:pPr>
          </w:p>
        </w:tc>
        <w:tc>
          <w:tcPr>
            <w:tcW w:w="806"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33" w:hRule="atLeast"/>
        </w:trPr>
        <w:tc>
          <w:tcPr>
            <w:tcW w:w="230"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698"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布袋除尘排气筒</w:t>
            </w:r>
          </w:p>
        </w:tc>
        <w:tc>
          <w:tcPr>
            <w:tcW w:w="333"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10669</w:t>
            </w:r>
          </w:p>
        </w:tc>
        <w:tc>
          <w:tcPr>
            <w:tcW w:w="354"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11467</w:t>
            </w:r>
          </w:p>
        </w:tc>
        <w:tc>
          <w:tcPr>
            <w:tcW w:w="478"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494</w:t>
            </w:r>
          </w:p>
        </w:tc>
        <w:tc>
          <w:tcPr>
            <w:tcW w:w="401"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w:t>
            </w:r>
          </w:p>
        </w:tc>
        <w:tc>
          <w:tcPr>
            <w:tcW w:w="409"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w:t>
            </w:r>
          </w:p>
        </w:tc>
        <w:tc>
          <w:tcPr>
            <w:tcW w:w="511" w:type="pct"/>
            <w:tcBorders>
              <w:tl2br w:val="nil"/>
              <w:tr2bl w:val="nil"/>
            </w:tcBorders>
            <w:noWrap w:val="0"/>
            <w:vAlign w:val="center"/>
          </w:tcPr>
          <w:p>
            <w:pPr>
              <w:pStyle w:val="55"/>
              <w:pageBreakBefore w:val="0"/>
              <w:wordWrap/>
              <w:bidi w:val="0"/>
              <w:adjustRightInd w:val="0"/>
              <w:ind w:left="0" w:leftChars="0" w:right="0" w:rightChars="0"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2000</w:t>
            </w:r>
          </w:p>
        </w:tc>
        <w:tc>
          <w:tcPr>
            <w:tcW w:w="401"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730</w:t>
            </w:r>
          </w:p>
        </w:tc>
        <w:tc>
          <w:tcPr>
            <w:tcW w:w="374"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正常</w:t>
            </w:r>
          </w:p>
        </w:tc>
        <w:tc>
          <w:tcPr>
            <w:tcW w:w="806"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0.015</w:t>
            </w:r>
          </w:p>
        </w:tc>
      </w:tr>
    </w:tbl>
    <w:p>
      <w:pPr>
        <w:pStyle w:val="56"/>
        <w:keepNext w:val="0"/>
        <w:keepLines w:val="0"/>
        <w:pageBreakBefore w:val="0"/>
        <w:widowControl w:val="0"/>
        <w:kinsoku/>
        <w:wordWrap/>
        <w:overflowPunct/>
        <w:topLinePunct w:val="0"/>
        <w:autoSpaceDE/>
        <w:autoSpaceDN/>
        <w:bidi w:val="0"/>
        <w:adjustRightInd w:val="0"/>
        <w:snapToGrid w:val="0"/>
        <w:spacing w:before="157" w:beforeLines="50"/>
        <w:ind w:left="0" w:leftChars="0" w:right="0" w:rightChars="0"/>
        <w:textAlignment w:val="auto"/>
        <w:rPr>
          <w:rStyle w:val="46"/>
          <w:rFonts w:hint="default" w:ascii="Times New Roman" w:hAnsi="Times New Roman" w:cs="Times New Roman"/>
          <w:b w:val="0"/>
          <w:color w:val="auto"/>
          <w:sz w:val="21"/>
          <w:szCs w:val="21"/>
          <w:highlight w:val="none"/>
        </w:rPr>
      </w:pPr>
      <w:r>
        <w:rPr>
          <w:rFonts w:hint="default" w:ascii="Times New Roman" w:hAnsi="Times New Roman" w:cs="Times New Roman"/>
          <w:color w:val="auto"/>
          <w:sz w:val="21"/>
          <w:szCs w:val="21"/>
          <w:highlight w:val="none"/>
        </w:rPr>
        <w:t>表</w:t>
      </w:r>
      <w:r>
        <w:rPr>
          <w:rFonts w:hint="default" w:ascii="Times New Roman" w:hAnsi="Times New Roman" w:cs="Times New Roman"/>
          <w:color w:val="auto"/>
          <w:sz w:val="21"/>
          <w:szCs w:val="21"/>
          <w:highlight w:val="none"/>
          <w:lang w:val="en-US" w:eastAsia="zh-CN"/>
        </w:rPr>
        <w:t>2.</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 xml:space="preserve">      面源源强参数表</w:t>
      </w:r>
    </w:p>
    <w:tbl>
      <w:tblPr>
        <w:tblStyle w:val="39"/>
        <w:tblW w:w="865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301"/>
        <w:gridCol w:w="798"/>
        <w:gridCol w:w="675"/>
        <w:gridCol w:w="750"/>
        <w:gridCol w:w="570"/>
        <w:gridCol w:w="420"/>
        <w:gridCol w:w="504"/>
        <w:gridCol w:w="456"/>
        <w:gridCol w:w="570"/>
        <w:gridCol w:w="540"/>
        <w:gridCol w:w="540"/>
        <w:gridCol w:w="750"/>
        <w:gridCol w:w="945"/>
        <w:gridCol w:w="8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07" w:hRule="atLeast"/>
        </w:trPr>
        <w:tc>
          <w:tcPr>
            <w:tcW w:w="301" w:type="dxa"/>
            <w:vMerge w:val="restart"/>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编号</w:t>
            </w:r>
          </w:p>
        </w:tc>
        <w:tc>
          <w:tcPr>
            <w:tcW w:w="798" w:type="dxa"/>
            <w:vMerge w:val="restart"/>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名称</w:t>
            </w:r>
          </w:p>
        </w:tc>
        <w:tc>
          <w:tcPr>
            <w:tcW w:w="1425" w:type="dxa"/>
            <w:gridSpan w:val="2"/>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面源起点坐标</w:t>
            </w:r>
          </w:p>
        </w:tc>
        <w:tc>
          <w:tcPr>
            <w:tcW w:w="570" w:type="dxa"/>
            <w:vMerge w:val="restart"/>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面源海拔高度/m</w:t>
            </w:r>
          </w:p>
        </w:tc>
        <w:tc>
          <w:tcPr>
            <w:tcW w:w="420" w:type="dxa"/>
            <w:vMerge w:val="restart"/>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面源长度/m</w:t>
            </w:r>
          </w:p>
        </w:tc>
        <w:tc>
          <w:tcPr>
            <w:tcW w:w="504" w:type="dxa"/>
            <w:vMerge w:val="restart"/>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面源宽度/m</w:t>
            </w:r>
          </w:p>
        </w:tc>
        <w:tc>
          <w:tcPr>
            <w:tcW w:w="456" w:type="dxa"/>
            <w:vMerge w:val="restart"/>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rPr>
              <w:t>与正北向夹角/</w:t>
            </w:r>
            <w:r>
              <w:rPr>
                <w:rFonts w:hint="default" w:ascii="Times New Roman" w:hAnsi="Times New Roman" w:eastAsia="宋体" w:cs="Times New Roman"/>
                <w:color w:val="auto"/>
                <w:sz w:val="21"/>
                <w:szCs w:val="21"/>
                <w:highlight w:val="none"/>
                <w:lang w:val="en-US" w:eastAsia="zh-CN"/>
              </w:rPr>
              <w:t>°</w:t>
            </w:r>
          </w:p>
        </w:tc>
        <w:tc>
          <w:tcPr>
            <w:tcW w:w="570" w:type="dxa"/>
            <w:vMerge w:val="restart"/>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面源有效排放高度/m</w:t>
            </w:r>
          </w:p>
        </w:tc>
        <w:tc>
          <w:tcPr>
            <w:tcW w:w="540" w:type="dxa"/>
            <w:vMerge w:val="restart"/>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年排放小时数/h</w:t>
            </w:r>
          </w:p>
        </w:tc>
        <w:tc>
          <w:tcPr>
            <w:tcW w:w="540" w:type="dxa"/>
            <w:vMerge w:val="restart"/>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排放工况</w:t>
            </w:r>
          </w:p>
        </w:tc>
        <w:tc>
          <w:tcPr>
            <w:tcW w:w="2528" w:type="dxa"/>
            <w:gridSpan w:val="3"/>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rPr>
              <w:t>污染物排放</w:t>
            </w:r>
            <w:r>
              <w:rPr>
                <w:rFonts w:hint="default" w:ascii="Times New Roman" w:hAnsi="Times New Roman" w:eastAsia="宋体" w:cs="Times New Roman"/>
                <w:color w:val="auto"/>
                <w:sz w:val="21"/>
                <w:szCs w:val="21"/>
                <w:highlight w:val="none"/>
                <w:lang w:val="en-US" w:eastAsia="zh-CN"/>
              </w:rPr>
              <w:t>量</w:t>
            </w:r>
            <w:r>
              <w:rPr>
                <w:rFonts w:hint="default" w:ascii="Times New Roman" w:hAnsi="Times New Roman" w:eastAsia="宋体" w:cs="Times New Roman"/>
                <w:color w:val="auto"/>
                <w:sz w:val="21"/>
                <w:szCs w:val="21"/>
                <w:highlight w:val="none"/>
                <w:lang w:val="en-US"/>
              </w:rPr>
              <w:t>/</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lang w:val="en-US"/>
              </w:rPr>
              <w:t>/</w:t>
            </w:r>
            <w:r>
              <w:rPr>
                <w:rFonts w:hint="default" w:ascii="Times New Roman" w:hAnsi="Times New Roman" w:eastAsia="宋体" w:cs="Times New Roman"/>
                <w:color w:val="auto"/>
                <w:sz w:val="21"/>
                <w:szCs w:val="21"/>
                <w:highlight w:val="none"/>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410" w:hRule="atLeast"/>
        </w:trPr>
        <w:tc>
          <w:tcPr>
            <w:tcW w:w="301" w:type="dxa"/>
            <w:vMerge w:val="continue"/>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rPr>
            </w:pPr>
          </w:p>
        </w:tc>
        <w:tc>
          <w:tcPr>
            <w:tcW w:w="798" w:type="dxa"/>
            <w:vMerge w:val="continue"/>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rPr>
            </w:pPr>
          </w:p>
        </w:tc>
        <w:tc>
          <w:tcPr>
            <w:tcW w:w="675" w:type="dxa"/>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X</w:t>
            </w:r>
          </w:p>
        </w:tc>
        <w:tc>
          <w:tcPr>
            <w:tcW w:w="750" w:type="dxa"/>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Y</w:t>
            </w:r>
          </w:p>
        </w:tc>
        <w:tc>
          <w:tcPr>
            <w:tcW w:w="570" w:type="dxa"/>
            <w:vMerge w:val="continue"/>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rPr>
            </w:pPr>
          </w:p>
        </w:tc>
        <w:tc>
          <w:tcPr>
            <w:tcW w:w="420" w:type="dxa"/>
            <w:vMerge w:val="continue"/>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rPr>
            </w:pPr>
          </w:p>
        </w:tc>
        <w:tc>
          <w:tcPr>
            <w:tcW w:w="504" w:type="dxa"/>
            <w:vMerge w:val="continue"/>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rPr>
            </w:pPr>
          </w:p>
        </w:tc>
        <w:tc>
          <w:tcPr>
            <w:tcW w:w="456" w:type="dxa"/>
            <w:vMerge w:val="continue"/>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rPr>
            </w:pPr>
          </w:p>
        </w:tc>
        <w:tc>
          <w:tcPr>
            <w:tcW w:w="570" w:type="dxa"/>
            <w:vMerge w:val="continue"/>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rPr>
            </w:pPr>
          </w:p>
        </w:tc>
        <w:tc>
          <w:tcPr>
            <w:tcW w:w="540" w:type="dxa"/>
            <w:vMerge w:val="continue"/>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rPr>
            </w:pPr>
          </w:p>
        </w:tc>
        <w:tc>
          <w:tcPr>
            <w:tcW w:w="540" w:type="dxa"/>
            <w:vMerge w:val="continue"/>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rPr>
            </w:pPr>
          </w:p>
        </w:tc>
        <w:tc>
          <w:tcPr>
            <w:tcW w:w="750" w:type="dxa"/>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NH</w:t>
            </w:r>
            <w:r>
              <w:rPr>
                <w:rFonts w:hint="default" w:ascii="Times New Roman" w:hAnsi="Times New Roman" w:eastAsia="宋体" w:cs="Times New Roman"/>
                <w:color w:val="auto"/>
                <w:sz w:val="21"/>
                <w:szCs w:val="21"/>
                <w:highlight w:val="none"/>
                <w:vertAlign w:val="subscript"/>
                <w:lang w:val="en-US"/>
              </w:rPr>
              <w:t>3</w:t>
            </w:r>
          </w:p>
        </w:tc>
        <w:tc>
          <w:tcPr>
            <w:tcW w:w="945" w:type="dxa"/>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H</w:t>
            </w:r>
            <w:r>
              <w:rPr>
                <w:rFonts w:hint="default" w:ascii="Times New Roman" w:hAnsi="Times New Roman" w:eastAsia="宋体" w:cs="Times New Roman"/>
                <w:color w:val="auto"/>
                <w:sz w:val="21"/>
                <w:szCs w:val="21"/>
                <w:highlight w:val="none"/>
                <w:vertAlign w:val="subscript"/>
                <w:lang w:val="en-US"/>
              </w:rPr>
              <w:t>2</w:t>
            </w:r>
            <w:r>
              <w:rPr>
                <w:rFonts w:hint="default" w:ascii="Times New Roman" w:hAnsi="Times New Roman" w:eastAsia="宋体" w:cs="Times New Roman"/>
                <w:color w:val="auto"/>
                <w:sz w:val="21"/>
                <w:szCs w:val="21"/>
                <w:highlight w:val="none"/>
                <w:lang w:val="en-US"/>
              </w:rPr>
              <w:t>S</w:t>
            </w:r>
          </w:p>
        </w:tc>
        <w:tc>
          <w:tcPr>
            <w:tcW w:w="833" w:type="dxa"/>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760" w:hRule="atLeast"/>
        </w:trPr>
        <w:tc>
          <w:tcPr>
            <w:tcW w:w="301" w:type="dxa"/>
            <w:tcBorders>
              <w:tl2br w:val="nil"/>
              <w:tr2bl w:val="nil"/>
            </w:tcBorders>
            <w:noWrap w:val="0"/>
            <w:vAlign w:val="center"/>
          </w:tcPr>
          <w:p>
            <w:pPr>
              <w:pStyle w:val="84"/>
              <w:pageBreakBefore w:val="0"/>
              <w:wordWrap/>
              <w:bidi w:val="0"/>
              <w:adjustRightInd w:val="0"/>
              <w:ind w:left="0" w:leftChars="0"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rPr>
              <w:t>1</w:t>
            </w:r>
          </w:p>
        </w:tc>
        <w:tc>
          <w:tcPr>
            <w:tcW w:w="798" w:type="dxa"/>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饲料加工间</w:t>
            </w:r>
          </w:p>
        </w:tc>
        <w:tc>
          <w:tcPr>
            <w:tcW w:w="675" w:type="dxa"/>
            <w:tcBorders>
              <w:tl2br w:val="nil"/>
              <w:tr2bl w:val="nil"/>
            </w:tcBorders>
            <w:noWrap w:val="0"/>
            <w:vAlign w:val="center"/>
          </w:tcPr>
          <w:p>
            <w:pPr>
              <w:pStyle w:val="124"/>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10811</w:t>
            </w:r>
          </w:p>
        </w:tc>
        <w:tc>
          <w:tcPr>
            <w:tcW w:w="750" w:type="dxa"/>
            <w:tcBorders>
              <w:tl2br w:val="nil"/>
              <w:tr2bl w:val="nil"/>
            </w:tcBorders>
            <w:noWrap w:val="0"/>
            <w:vAlign w:val="center"/>
          </w:tcPr>
          <w:p>
            <w:pPr>
              <w:pStyle w:val="124"/>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11444</w:t>
            </w:r>
          </w:p>
        </w:tc>
        <w:tc>
          <w:tcPr>
            <w:tcW w:w="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494</w:t>
            </w:r>
          </w:p>
        </w:tc>
        <w:tc>
          <w:tcPr>
            <w:tcW w:w="420" w:type="dxa"/>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w:t>
            </w:r>
          </w:p>
        </w:tc>
        <w:tc>
          <w:tcPr>
            <w:tcW w:w="504" w:type="dxa"/>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25</w:t>
            </w:r>
          </w:p>
        </w:tc>
        <w:tc>
          <w:tcPr>
            <w:tcW w:w="456" w:type="dxa"/>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570" w:type="dxa"/>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540" w:type="dxa"/>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730</w:t>
            </w:r>
          </w:p>
        </w:tc>
        <w:tc>
          <w:tcPr>
            <w:tcW w:w="540" w:type="dxa"/>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rPr>
              <w:t>正常</w:t>
            </w:r>
          </w:p>
        </w:tc>
        <w:tc>
          <w:tcPr>
            <w:tcW w:w="750" w:type="dxa"/>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45" w:type="dxa"/>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33" w:type="dxa"/>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07" w:hRule="atLeast"/>
        </w:trPr>
        <w:tc>
          <w:tcPr>
            <w:tcW w:w="301" w:type="dxa"/>
            <w:tcBorders>
              <w:tl2br w:val="nil"/>
              <w:tr2bl w:val="nil"/>
            </w:tcBorders>
            <w:noWrap w:val="0"/>
            <w:vAlign w:val="center"/>
          </w:tcPr>
          <w:p>
            <w:pPr>
              <w:pStyle w:val="84"/>
              <w:pageBreakBefore w:val="0"/>
              <w:wordWrap/>
              <w:bidi w:val="0"/>
              <w:adjustRightInd w:val="0"/>
              <w:ind w:left="0" w:leftChars="0"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rPr>
              <w:t>2</w:t>
            </w:r>
          </w:p>
        </w:tc>
        <w:tc>
          <w:tcPr>
            <w:tcW w:w="798" w:type="dxa"/>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养殖区</w:t>
            </w:r>
          </w:p>
        </w:tc>
        <w:tc>
          <w:tcPr>
            <w:tcW w:w="675" w:type="dxa"/>
            <w:tcBorders>
              <w:tl2br w:val="nil"/>
              <w:tr2bl w:val="nil"/>
            </w:tcBorders>
            <w:noWrap w:val="0"/>
            <w:vAlign w:val="center"/>
          </w:tcPr>
          <w:p>
            <w:pPr>
              <w:pStyle w:val="124"/>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10823</w:t>
            </w:r>
          </w:p>
        </w:tc>
        <w:tc>
          <w:tcPr>
            <w:tcW w:w="750" w:type="dxa"/>
            <w:tcBorders>
              <w:tl2br w:val="nil"/>
              <w:tr2bl w:val="nil"/>
            </w:tcBorders>
            <w:noWrap w:val="0"/>
            <w:vAlign w:val="center"/>
          </w:tcPr>
          <w:p>
            <w:pPr>
              <w:pStyle w:val="124"/>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10948</w:t>
            </w:r>
          </w:p>
        </w:tc>
        <w:tc>
          <w:tcPr>
            <w:tcW w:w="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492</w:t>
            </w:r>
          </w:p>
        </w:tc>
        <w:tc>
          <w:tcPr>
            <w:tcW w:w="420" w:type="dxa"/>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905</w:t>
            </w:r>
          </w:p>
        </w:tc>
        <w:tc>
          <w:tcPr>
            <w:tcW w:w="504" w:type="dxa"/>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555</w:t>
            </w:r>
          </w:p>
        </w:tc>
        <w:tc>
          <w:tcPr>
            <w:tcW w:w="456" w:type="dxa"/>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c>
          <w:tcPr>
            <w:tcW w:w="570" w:type="dxa"/>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c>
          <w:tcPr>
            <w:tcW w:w="540" w:type="dxa"/>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8760</w:t>
            </w:r>
          </w:p>
        </w:tc>
        <w:tc>
          <w:tcPr>
            <w:tcW w:w="540" w:type="dxa"/>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正常</w:t>
            </w:r>
          </w:p>
        </w:tc>
        <w:tc>
          <w:tcPr>
            <w:tcW w:w="750" w:type="dxa"/>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0.022</w:t>
            </w:r>
          </w:p>
        </w:tc>
        <w:tc>
          <w:tcPr>
            <w:tcW w:w="945" w:type="dxa"/>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0.011</w:t>
            </w:r>
          </w:p>
        </w:tc>
        <w:tc>
          <w:tcPr>
            <w:tcW w:w="833" w:type="dxa"/>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18" w:hRule="atLeast"/>
        </w:trPr>
        <w:tc>
          <w:tcPr>
            <w:tcW w:w="301" w:type="dxa"/>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798" w:type="dxa"/>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堆粪场</w:t>
            </w:r>
          </w:p>
        </w:tc>
        <w:tc>
          <w:tcPr>
            <w:tcW w:w="675" w:type="dxa"/>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11206</w:t>
            </w:r>
          </w:p>
        </w:tc>
        <w:tc>
          <w:tcPr>
            <w:tcW w:w="750" w:type="dxa"/>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10747</w:t>
            </w:r>
          </w:p>
        </w:tc>
        <w:tc>
          <w:tcPr>
            <w:tcW w:w="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487</w:t>
            </w:r>
          </w:p>
        </w:tc>
        <w:tc>
          <w:tcPr>
            <w:tcW w:w="420" w:type="dxa"/>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w:t>
            </w:r>
          </w:p>
        </w:tc>
        <w:tc>
          <w:tcPr>
            <w:tcW w:w="504" w:type="dxa"/>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60</w:t>
            </w:r>
          </w:p>
        </w:tc>
        <w:tc>
          <w:tcPr>
            <w:tcW w:w="456" w:type="dxa"/>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c>
          <w:tcPr>
            <w:tcW w:w="570" w:type="dxa"/>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540" w:type="dxa"/>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8760</w:t>
            </w:r>
          </w:p>
        </w:tc>
        <w:tc>
          <w:tcPr>
            <w:tcW w:w="540" w:type="dxa"/>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正常</w:t>
            </w:r>
          </w:p>
        </w:tc>
        <w:tc>
          <w:tcPr>
            <w:tcW w:w="750" w:type="dxa"/>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0.0028</w:t>
            </w:r>
          </w:p>
        </w:tc>
        <w:tc>
          <w:tcPr>
            <w:tcW w:w="945" w:type="dxa"/>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0.00022</w:t>
            </w:r>
          </w:p>
        </w:tc>
        <w:tc>
          <w:tcPr>
            <w:tcW w:w="833" w:type="dxa"/>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bl>
    <w:p>
      <w:pPr>
        <w:pStyle w:val="56"/>
        <w:keepNext w:val="0"/>
        <w:keepLines w:val="0"/>
        <w:pageBreakBefore w:val="0"/>
        <w:widowControl w:val="0"/>
        <w:kinsoku/>
        <w:wordWrap/>
        <w:overflowPunct/>
        <w:topLinePunct w:val="0"/>
        <w:autoSpaceDE/>
        <w:autoSpaceDN/>
        <w:bidi w:val="0"/>
        <w:adjustRightInd w:val="0"/>
        <w:snapToGrid w:val="0"/>
        <w:spacing w:before="157" w:beforeLines="50"/>
        <w:ind w:left="0" w:leftChars="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w:t>
      </w:r>
      <w:r>
        <w:rPr>
          <w:rFonts w:hint="default" w:ascii="Times New Roman" w:hAnsi="Times New Roman" w:cs="Times New Roman"/>
          <w:color w:val="auto"/>
          <w:sz w:val="21"/>
          <w:szCs w:val="21"/>
          <w:highlight w:val="none"/>
          <w:lang w:val="en-US" w:eastAsia="zh-CN"/>
        </w:rPr>
        <w:t>2.</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 xml:space="preserve">     污染物</w:t>
      </w:r>
      <w:r>
        <w:rPr>
          <w:rFonts w:hint="default" w:ascii="Times New Roman" w:hAnsi="Times New Roman" w:cs="Times New Roman"/>
          <w:color w:val="auto"/>
          <w:sz w:val="21"/>
          <w:szCs w:val="21"/>
          <w:highlight w:val="none"/>
          <w:lang w:val="en-US" w:eastAsia="zh-CN"/>
        </w:rPr>
        <w:t>估算</w:t>
      </w:r>
      <w:r>
        <w:rPr>
          <w:rFonts w:hint="default" w:ascii="Times New Roman" w:hAnsi="Times New Roman" w:cs="Times New Roman"/>
          <w:color w:val="auto"/>
          <w:sz w:val="21"/>
          <w:szCs w:val="21"/>
          <w:highlight w:val="none"/>
        </w:rPr>
        <w:t>结果</w:t>
      </w:r>
    </w:p>
    <w:tbl>
      <w:tblPr>
        <w:tblStyle w:val="3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5"/>
        <w:gridCol w:w="512"/>
        <w:gridCol w:w="1433"/>
        <w:gridCol w:w="800"/>
        <w:gridCol w:w="1332"/>
        <w:gridCol w:w="1976"/>
        <w:gridCol w:w="1830"/>
        <w:gridCol w:w="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127" w:hRule="atLeast"/>
          <w:jc w:val="center"/>
        </w:trPr>
        <w:tc>
          <w:tcPr>
            <w:tcW w:w="685"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序号</w:t>
            </w:r>
          </w:p>
        </w:tc>
        <w:tc>
          <w:tcPr>
            <w:tcW w:w="2745" w:type="dxa"/>
            <w:gridSpan w:val="3"/>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污染物</w:t>
            </w:r>
          </w:p>
        </w:tc>
        <w:tc>
          <w:tcPr>
            <w:tcW w:w="1332"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D(m)</w:t>
            </w:r>
          </w:p>
        </w:tc>
        <w:tc>
          <w:tcPr>
            <w:tcW w:w="1976"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Ci（</w:t>
            </w:r>
            <w:r>
              <w:rPr>
                <w:rFonts w:hint="default" w:ascii="Times New Roman" w:hAnsi="Times New Roman" w:eastAsia="宋体" w:cs="Times New Roman"/>
                <w:color w:val="auto"/>
                <w:sz w:val="21"/>
                <w:szCs w:val="21"/>
                <w:highlight w:val="none"/>
              </w:rPr>
              <w:t>mg / m³</w:t>
            </w:r>
            <w:r>
              <w:rPr>
                <w:rFonts w:hint="default" w:ascii="Times New Roman" w:hAnsi="Times New Roman" w:eastAsia="宋体" w:cs="Times New Roman"/>
                <w:color w:val="auto"/>
                <w:sz w:val="21"/>
                <w:szCs w:val="21"/>
                <w:highlight w:val="none"/>
                <w:lang w:val="en-US"/>
              </w:rPr>
              <w:t>）</w:t>
            </w:r>
          </w:p>
        </w:tc>
        <w:tc>
          <w:tcPr>
            <w:tcW w:w="1830"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Pi（%）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120" w:hRule="atLeast"/>
          <w:jc w:val="center"/>
        </w:trPr>
        <w:tc>
          <w:tcPr>
            <w:tcW w:w="685"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rPr>
              <w:t>1</w:t>
            </w:r>
          </w:p>
        </w:tc>
        <w:tc>
          <w:tcPr>
            <w:tcW w:w="2745" w:type="dxa"/>
            <w:gridSpan w:val="3"/>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有组织</w:t>
            </w:r>
            <w:r>
              <w:rPr>
                <w:rFonts w:hint="default" w:ascii="Times New Roman" w:hAnsi="Times New Roman" w:cs="Times New Roman"/>
                <w:color w:val="auto"/>
                <w:sz w:val="21"/>
                <w:szCs w:val="21"/>
                <w:highlight w:val="none"/>
                <w:lang w:val="en-US" w:eastAsia="zh-CN" w:bidi="ar"/>
              </w:rPr>
              <w:t>颗粒物</w:t>
            </w:r>
          </w:p>
        </w:tc>
        <w:tc>
          <w:tcPr>
            <w:tcW w:w="1332"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75</w:t>
            </w:r>
          </w:p>
        </w:tc>
        <w:tc>
          <w:tcPr>
            <w:tcW w:w="1976"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0.000583</w:t>
            </w:r>
          </w:p>
        </w:tc>
        <w:tc>
          <w:tcPr>
            <w:tcW w:w="1830"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685" w:type="dxa"/>
            <w:vMerge w:val="restar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512" w:type="dxa"/>
            <w:vMerge w:val="restar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无组织</w:t>
            </w:r>
          </w:p>
        </w:tc>
        <w:tc>
          <w:tcPr>
            <w:tcW w:w="1433" w:type="dxa"/>
            <w:vMerge w:val="restar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养殖区</w:t>
            </w:r>
          </w:p>
        </w:tc>
        <w:tc>
          <w:tcPr>
            <w:tcW w:w="800"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rPr>
              <w:t>NH</w:t>
            </w:r>
            <w:r>
              <w:rPr>
                <w:rFonts w:hint="default" w:ascii="Times New Roman" w:hAnsi="Times New Roman" w:eastAsia="宋体" w:cs="Times New Roman"/>
                <w:color w:val="auto"/>
                <w:sz w:val="21"/>
                <w:szCs w:val="21"/>
                <w:highlight w:val="none"/>
                <w:vertAlign w:val="subscript"/>
                <w:lang w:val="en-US"/>
              </w:rPr>
              <w:t>3</w:t>
            </w:r>
          </w:p>
        </w:tc>
        <w:tc>
          <w:tcPr>
            <w:tcW w:w="1332"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625</w:t>
            </w:r>
          </w:p>
        </w:tc>
        <w:tc>
          <w:tcPr>
            <w:tcW w:w="1976"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0.000433</w:t>
            </w:r>
          </w:p>
        </w:tc>
        <w:tc>
          <w:tcPr>
            <w:tcW w:w="1840" w:type="dxa"/>
            <w:gridSpan w:val="2"/>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685" w:type="dxa"/>
            <w:vMerge w:val="continue"/>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p>
        </w:tc>
        <w:tc>
          <w:tcPr>
            <w:tcW w:w="512" w:type="dxa"/>
            <w:vMerge w:val="continue"/>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rPr>
            </w:pPr>
          </w:p>
        </w:tc>
        <w:tc>
          <w:tcPr>
            <w:tcW w:w="1433" w:type="dxa"/>
            <w:vMerge w:val="continue"/>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rPr>
            </w:pPr>
          </w:p>
        </w:tc>
        <w:tc>
          <w:tcPr>
            <w:tcW w:w="800"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rPr>
              <w:t>H</w:t>
            </w:r>
            <w:r>
              <w:rPr>
                <w:rFonts w:hint="default" w:ascii="Times New Roman" w:hAnsi="Times New Roman" w:eastAsia="宋体" w:cs="Times New Roman"/>
                <w:color w:val="auto"/>
                <w:sz w:val="21"/>
                <w:szCs w:val="21"/>
                <w:highlight w:val="none"/>
                <w:vertAlign w:val="subscript"/>
                <w:lang w:val="en-US"/>
              </w:rPr>
              <w:t>2</w:t>
            </w:r>
            <w:r>
              <w:rPr>
                <w:rFonts w:hint="default" w:ascii="Times New Roman" w:hAnsi="Times New Roman" w:eastAsia="宋体" w:cs="Times New Roman"/>
                <w:color w:val="auto"/>
                <w:sz w:val="21"/>
                <w:szCs w:val="21"/>
                <w:highlight w:val="none"/>
                <w:lang w:val="en-US"/>
              </w:rPr>
              <w:t>S</w:t>
            </w:r>
          </w:p>
        </w:tc>
        <w:tc>
          <w:tcPr>
            <w:tcW w:w="1332"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650</w:t>
            </w:r>
          </w:p>
        </w:tc>
        <w:tc>
          <w:tcPr>
            <w:tcW w:w="1976"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0.000217</w:t>
            </w:r>
          </w:p>
        </w:tc>
        <w:tc>
          <w:tcPr>
            <w:tcW w:w="1840" w:type="dxa"/>
            <w:gridSpan w:val="2"/>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685" w:type="dxa"/>
            <w:vMerge w:val="continue"/>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p>
        </w:tc>
        <w:tc>
          <w:tcPr>
            <w:tcW w:w="512" w:type="dxa"/>
            <w:vMerge w:val="continue"/>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rPr>
            </w:pPr>
          </w:p>
        </w:tc>
        <w:tc>
          <w:tcPr>
            <w:tcW w:w="1433" w:type="dxa"/>
            <w:vMerge w:val="restar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堆粪场</w:t>
            </w:r>
          </w:p>
        </w:tc>
        <w:tc>
          <w:tcPr>
            <w:tcW w:w="800"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NH</w:t>
            </w:r>
            <w:r>
              <w:rPr>
                <w:rFonts w:hint="default" w:ascii="Times New Roman" w:hAnsi="Times New Roman" w:eastAsia="宋体" w:cs="Times New Roman"/>
                <w:color w:val="auto"/>
                <w:sz w:val="21"/>
                <w:szCs w:val="21"/>
                <w:highlight w:val="none"/>
                <w:vertAlign w:val="subscript"/>
                <w:lang w:val="en-US"/>
              </w:rPr>
              <w:t>3</w:t>
            </w:r>
          </w:p>
        </w:tc>
        <w:tc>
          <w:tcPr>
            <w:tcW w:w="1332"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40</w:t>
            </w:r>
          </w:p>
        </w:tc>
        <w:tc>
          <w:tcPr>
            <w:tcW w:w="1976"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0.000168</w:t>
            </w:r>
          </w:p>
        </w:tc>
        <w:tc>
          <w:tcPr>
            <w:tcW w:w="1840" w:type="dxa"/>
            <w:gridSpan w:val="2"/>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685" w:type="dxa"/>
            <w:vMerge w:val="continue"/>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p>
        </w:tc>
        <w:tc>
          <w:tcPr>
            <w:tcW w:w="512" w:type="dxa"/>
            <w:vMerge w:val="continue"/>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rPr>
            </w:pPr>
          </w:p>
        </w:tc>
        <w:tc>
          <w:tcPr>
            <w:tcW w:w="1433" w:type="dxa"/>
            <w:vMerge w:val="continue"/>
            <w:tcBorders>
              <w:tl2br w:val="nil"/>
              <w:tr2bl w:val="nil"/>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rPr>
            </w:pPr>
          </w:p>
        </w:tc>
        <w:tc>
          <w:tcPr>
            <w:tcW w:w="800"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H</w:t>
            </w:r>
            <w:r>
              <w:rPr>
                <w:rFonts w:hint="default" w:ascii="Times New Roman" w:hAnsi="Times New Roman" w:eastAsia="宋体" w:cs="Times New Roman"/>
                <w:color w:val="auto"/>
                <w:sz w:val="21"/>
                <w:szCs w:val="21"/>
                <w:highlight w:val="none"/>
                <w:vertAlign w:val="subscript"/>
                <w:lang w:val="en-US"/>
              </w:rPr>
              <w:t>2</w:t>
            </w:r>
            <w:r>
              <w:rPr>
                <w:rFonts w:hint="default" w:ascii="Times New Roman" w:hAnsi="Times New Roman" w:eastAsia="宋体" w:cs="Times New Roman"/>
                <w:color w:val="auto"/>
                <w:sz w:val="21"/>
                <w:szCs w:val="21"/>
                <w:highlight w:val="none"/>
                <w:lang w:val="en-US"/>
              </w:rPr>
              <w:t>S</w:t>
            </w:r>
          </w:p>
        </w:tc>
        <w:tc>
          <w:tcPr>
            <w:tcW w:w="1332"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40</w:t>
            </w:r>
          </w:p>
        </w:tc>
        <w:tc>
          <w:tcPr>
            <w:tcW w:w="1976"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0.000013</w:t>
            </w:r>
          </w:p>
        </w:tc>
        <w:tc>
          <w:tcPr>
            <w:tcW w:w="1840" w:type="dxa"/>
            <w:gridSpan w:val="2"/>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685" w:type="dxa"/>
            <w:vMerge w:val="continue"/>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cs="Times New Roman"/>
                <w:color w:val="auto"/>
                <w:highlight w:val="none"/>
              </w:rPr>
            </w:pPr>
          </w:p>
        </w:tc>
        <w:tc>
          <w:tcPr>
            <w:tcW w:w="512" w:type="dxa"/>
            <w:vMerge w:val="continue"/>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cs="Times New Roman"/>
                <w:color w:val="auto"/>
                <w:highlight w:val="none"/>
              </w:rPr>
            </w:pPr>
          </w:p>
        </w:tc>
        <w:tc>
          <w:tcPr>
            <w:tcW w:w="1433"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饲料加工间</w:t>
            </w:r>
          </w:p>
        </w:tc>
        <w:tc>
          <w:tcPr>
            <w:tcW w:w="800"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TSP</w:t>
            </w:r>
          </w:p>
        </w:tc>
        <w:tc>
          <w:tcPr>
            <w:tcW w:w="1332"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21</w:t>
            </w:r>
          </w:p>
        </w:tc>
        <w:tc>
          <w:tcPr>
            <w:tcW w:w="1976"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0.012019</w:t>
            </w:r>
          </w:p>
        </w:tc>
        <w:tc>
          <w:tcPr>
            <w:tcW w:w="1840" w:type="dxa"/>
            <w:gridSpan w:val="2"/>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1.34</w:t>
            </w:r>
          </w:p>
        </w:tc>
      </w:tr>
    </w:tbl>
    <w:p>
      <w:pPr>
        <w:keepNext w:val="0"/>
        <w:keepLines w:val="0"/>
        <w:pageBreakBefore w:val="0"/>
        <w:widowControl w:val="0"/>
        <w:kinsoku/>
        <w:wordWrap/>
        <w:overflowPunct/>
        <w:topLinePunct w:val="0"/>
        <w:autoSpaceDE/>
        <w:autoSpaceDN/>
        <w:bidi w:val="0"/>
        <w:adjustRightInd w:val="0"/>
        <w:snapToGrid w:val="0"/>
        <w:spacing w:before="157" w:beforeLines="50"/>
        <w:ind w:left="0" w:leftChars="0" w:right="0" w:rightChars="0" w:firstLine="480"/>
        <w:textAlignment w:val="auto"/>
        <w:rPr>
          <w:rFonts w:hint="default" w:ascii="Times New Roman" w:hAnsi="Times New Roman" w:cs="Times New Roman"/>
          <w:color w:val="auto"/>
          <w:highlight w:val="yellow"/>
        </w:rPr>
      </w:pPr>
      <w:r>
        <w:rPr>
          <w:rFonts w:hint="default" w:ascii="Times New Roman" w:hAnsi="Times New Roman" w:cs="Times New Roman"/>
          <w:color w:val="auto"/>
          <w:sz w:val="24"/>
          <w:szCs w:val="22"/>
          <w:highlight w:val="none"/>
        </w:rPr>
        <w:t>有组织污染源饲料粉尘最大落地浓度为</w:t>
      </w:r>
      <w:r>
        <w:rPr>
          <w:rFonts w:hint="eastAsia" w:cs="Times New Roman"/>
          <w:color w:val="auto"/>
          <w:sz w:val="24"/>
          <w:szCs w:val="22"/>
          <w:highlight w:val="none"/>
          <w:lang w:eastAsia="zh-CN"/>
        </w:rPr>
        <w:t>0.000583</w:t>
      </w:r>
      <w:r>
        <w:rPr>
          <w:rFonts w:hint="default" w:ascii="Times New Roman" w:hAnsi="Times New Roman" w:cs="Times New Roman"/>
          <w:color w:val="auto"/>
          <w:sz w:val="24"/>
          <w:szCs w:val="22"/>
          <w:highlight w:val="none"/>
        </w:rPr>
        <w:t>mg/m</w:t>
      </w:r>
      <w:r>
        <w:rPr>
          <w:rFonts w:hint="default" w:ascii="Times New Roman" w:hAnsi="Times New Roman" w:cs="Times New Roman"/>
          <w:color w:val="auto"/>
          <w:sz w:val="24"/>
          <w:szCs w:val="22"/>
          <w:highlight w:val="none"/>
          <w:vertAlign w:val="superscript"/>
          <w:lang w:val="en-US" w:eastAsia="zh-CN"/>
        </w:rPr>
        <w:t>3</w:t>
      </w:r>
      <w:r>
        <w:rPr>
          <w:rFonts w:hint="default" w:ascii="Times New Roman" w:hAnsi="Times New Roman" w:cs="Times New Roman"/>
          <w:color w:val="auto"/>
          <w:sz w:val="24"/>
          <w:szCs w:val="22"/>
          <w:highlight w:val="none"/>
        </w:rPr>
        <w:t>，最大占标率0.</w:t>
      </w:r>
      <w:r>
        <w:rPr>
          <w:rFonts w:hint="default" w:ascii="Times New Roman" w:hAnsi="Times New Roman" w:cs="Times New Roman"/>
          <w:color w:val="auto"/>
          <w:sz w:val="24"/>
          <w:szCs w:val="22"/>
          <w:highlight w:val="none"/>
          <w:lang w:val="en-US" w:eastAsia="zh-CN"/>
        </w:rPr>
        <w:t>00</w:t>
      </w:r>
      <w:r>
        <w:rPr>
          <w:rFonts w:hint="default" w:ascii="Times New Roman" w:hAnsi="Times New Roman" w:cs="Times New Roman"/>
          <w:color w:val="auto"/>
          <w:sz w:val="24"/>
          <w:szCs w:val="22"/>
          <w:highlight w:val="none"/>
        </w:rPr>
        <w:t>%，出现于</w:t>
      </w:r>
      <w:r>
        <w:rPr>
          <w:rFonts w:hint="default" w:ascii="Times New Roman" w:hAnsi="Times New Roman" w:cs="Times New Roman"/>
          <w:color w:val="auto"/>
          <w:sz w:val="24"/>
          <w:szCs w:val="22"/>
          <w:highlight w:val="none"/>
          <w:lang w:val="en-US" w:eastAsia="zh-CN"/>
        </w:rPr>
        <w:t>75</w:t>
      </w:r>
      <w:r>
        <w:rPr>
          <w:rFonts w:hint="default" w:ascii="Times New Roman" w:hAnsi="Times New Roman" w:cs="Times New Roman"/>
          <w:color w:val="auto"/>
          <w:sz w:val="24"/>
          <w:szCs w:val="22"/>
          <w:highlight w:val="none"/>
        </w:rPr>
        <w:t>m处</w:t>
      </w:r>
      <w:r>
        <w:rPr>
          <w:rFonts w:hint="default" w:ascii="Times New Roman" w:hAnsi="Times New Roman" w:cs="Times New Roman"/>
          <w:color w:val="auto"/>
          <w:sz w:val="24"/>
          <w:szCs w:val="22"/>
          <w:highlight w:val="none"/>
          <w:lang w:eastAsia="zh-CN"/>
        </w:rPr>
        <w:t>。</w:t>
      </w:r>
      <w:r>
        <w:rPr>
          <w:rFonts w:hint="default" w:ascii="Times New Roman" w:hAnsi="Times New Roman" w:cs="Times New Roman"/>
          <w:color w:val="auto"/>
          <w:sz w:val="24"/>
          <w:szCs w:val="22"/>
          <w:highlight w:val="none"/>
        </w:rPr>
        <w:t>无组织污染源</w:t>
      </w:r>
      <w:r>
        <w:rPr>
          <w:rFonts w:hint="default" w:ascii="Times New Roman" w:hAnsi="Times New Roman" w:cs="Times New Roman"/>
          <w:color w:val="auto"/>
          <w:sz w:val="24"/>
          <w:szCs w:val="22"/>
          <w:highlight w:val="none"/>
          <w:lang w:val="en-US" w:eastAsia="zh-CN"/>
        </w:rPr>
        <w:t>养殖区</w:t>
      </w:r>
      <w:r>
        <w:rPr>
          <w:rFonts w:hint="default" w:ascii="Times New Roman" w:hAnsi="Times New Roman" w:cs="Times New Roman"/>
          <w:color w:val="auto"/>
          <w:sz w:val="24"/>
          <w:szCs w:val="22"/>
          <w:highlight w:val="none"/>
        </w:rPr>
        <w:t>NH</w:t>
      </w:r>
      <w:r>
        <w:rPr>
          <w:rFonts w:hint="default" w:ascii="Times New Roman" w:hAnsi="Times New Roman" w:cs="Times New Roman"/>
          <w:color w:val="auto"/>
          <w:sz w:val="24"/>
          <w:szCs w:val="22"/>
          <w:highlight w:val="none"/>
          <w:vertAlign w:val="subscript"/>
        </w:rPr>
        <w:t>3</w:t>
      </w:r>
      <w:r>
        <w:rPr>
          <w:rFonts w:hint="default" w:ascii="Times New Roman" w:hAnsi="Times New Roman" w:cs="Times New Roman"/>
          <w:color w:val="auto"/>
          <w:sz w:val="24"/>
          <w:szCs w:val="22"/>
          <w:highlight w:val="none"/>
        </w:rPr>
        <w:t>最大落地浓度为</w:t>
      </w:r>
      <w:r>
        <w:rPr>
          <w:rFonts w:hint="eastAsia" w:cs="Times New Roman"/>
          <w:color w:val="auto"/>
          <w:highlight w:val="none"/>
          <w:lang w:eastAsia="zh-CN"/>
        </w:rPr>
        <w:t>0.000433</w:t>
      </w:r>
      <w:r>
        <w:rPr>
          <w:rFonts w:hint="default" w:ascii="Times New Roman" w:hAnsi="Times New Roman" w:cs="Times New Roman"/>
          <w:color w:val="auto"/>
          <w:sz w:val="24"/>
          <w:szCs w:val="22"/>
          <w:highlight w:val="none"/>
        </w:rPr>
        <w:t>mg/m</w:t>
      </w:r>
      <w:r>
        <w:rPr>
          <w:rFonts w:hint="default" w:ascii="Times New Roman" w:hAnsi="Times New Roman" w:cs="Times New Roman"/>
          <w:color w:val="auto"/>
          <w:sz w:val="24"/>
          <w:szCs w:val="22"/>
          <w:highlight w:val="none"/>
          <w:vertAlign w:val="superscript"/>
          <w:lang w:val="en-US" w:eastAsia="zh-CN"/>
        </w:rPr>
        <w:t>3</w:t>
      </w:r>
      <w:r>
        <w:rPr>
          <w:rFonts w:hint="default" w:ascii="Times New Roman" w:hAnsi="Times New Roman" w:cs="Times New Roman"/>
          <w:color w:val="auto"/>
          <w:sz w:val="24"/>
          <w:szCs w:val="22"/>
          <w:highlight w:val="none"/>
        </w:rPr>
        <w:t>，最大占标率0.</w:t>
      </w:r>
      <w:r>
        <w:rPr>
          <w:rFonts w:hint="eastAsia" w:cs="Times New Roman"/>
          <w:color w:val="auto"/>
          <w:sz w:val="24"/>
          <w:szCs w:val="22"/>
          <w:highlight w:val="none"/>
          <w:lang w:val="en-US" w:eastAsia="zh-CN"/>
        </w:rPr>
        <w:t>22</w:t>
      </w:r>
      <w:r>
        <w:rPr>
          <w:rFonts w:hint="default" w:ascii="Times New Roman" w:hAnsi="Times New Roman" w:cs="Times New Roman"/>
          <w:color w:val="auto"/>
          <w:sz w:val="24"/>
          <w:szCs w:val="22"/>
          <w:highlight w:val="none"/>
        </w:rPr>
        <w:t>%，出现于</w:t>
      </w:r>
      <w:r>
        <w:rPr>
          <w:rFonts w:hint="default" w:ascii="Times New Roman" w:hAnsi="Times New Roman" w:cs="Times New Roman"/>
          <w:color w:val="auto"/>
          <w:sz w:val="24"/>
          <w:szCs w:val="22"/>
          <w:highlight w:val="none"/>
          <w:lang w:val="en-US" w:eastAsia="zh-CN"/>
        </w:rPr>
        <w:t>625</w:t>
      </w:r>
      <w:r>
        <w:rPr>
          <w:rFonts w:hint="default" w:ascii="Times New Roman" w:hAnsi="Times New Roman" w:cs="Times New Roman"/>
          <w:color w:val="auto"/>
          <w:sz w:val="24"/>
          <w:szCs w:val="22"/>
          <w:highlight w:val="none"/>
        </w:rPr>
        <w:t>m处，H</w:t>
      </w:r>
      <w:r>
        <w:rPr>
          <w:rFonts w:hint="default" w:ascii="Times New Roman" w:hAnsi="Times New Roman" w:cs="Times New Roman"/>
          <w:color w:val="auto"/>
          <w:sz w:val="24"/>
          <w:szCs w:val="22"/>
          <w:highlight w:val="none"/>
          <w:vertAlign w:val="subscript"/>
        </w:rPr>
        <w:t>2</w:t>
      </w:r>
      <w:r>
        <w:rPr>
          <w:rFonts w:hint="default" w:ascii="Times New Roman" w:hAnsi="Times New Roman" w:cs="Times New Roman"/>
          <w:color w:val="auto"/>
          <w:sz w:val="24"/>
          <w:szCs w:val="22"/>
          <w:highlight w:val="none"/>
        </w:rPr>
        <w:t>S最大落地浓度为</w:t>
      </w:r>
      <w:r>
        <w:rPr>
          <w:rFonts w:hint="eastAsia" w:cs="Times New Roman"/>
          <w:color w:val="auto"/>
          <w:highlight w:val="none"/>
          <w:lang w:eastAsia="zh-CN"/>
        </w:rPr>
        <w:t>0.000217</w:t>
      </w:r>
      <w:r>
        <w:rPr>
          <w:rFonts w:hint="default" w:ascii="Times New Roman" w:hAnsi="Times New Roman" w:cs="Times New Roman"/>
          <w:color w:val="auto"/>
          <w:sz w:val="24"/>
          <w:szCs w:val="22"/>
          <w:highlight w:val="none"/>
        </w:rPr>
        <w:t>mg/m</w:t>
      </w:r>
      <w:r>
        <w:rPr>
          <w:rFonts w:hint="default" w:ascii="Times New Roman" w:hAnsi="Times New Roman" w:cs="Times New Roman"/>
          <w:color w:val="auto"/>
          <w:sz w:val="24"/>
          <w:szCs w:val="22"/>
          <w:highlight w:val="none"/>
          <w:vertAlign w:val="superscript"/>
          <w:lang w:val="en-US" w:eastAsia="zh-CN"/>
        </w:rPr>
        <w:t>3</w:t>
      </w:r>
      <w:r>
        <w:rPr>
          <w:rFonts w:hint="default" w:ascii="Times New Roman" w:hAnsi="Times New Roman" w:cs="Times New Roman"/>
          <w:color w:val="auto"/>
          <w:sz w:val="24"/>
          <w:szCs w:val="22"/>
          <w:highlight w:val="none"/>
        </w:rPr>
        <w:t>，最大占标率</w:t>
      </w:r>
      <w:r>
        <w:rPr>
          <w:rFonts w:hint="eastAsia" w:cs="Times New Roman"/>
          <w:color w:val="auto"/>
          <w:sz w:val="24"/>
          <w:szCs w:val="22"/>
          <w:highlight w:val="none"/>
          <w:lang w:val="en-US" w:eastAsia="zh-CN"/>
        </w:rPr>
        <w:t>2.17</w:t>
      </w:r>
      <w:r>
        <w:rPr>
          <w:rFonts w:hint="default" w:ascii="Times New Roman" w:hAnsi="Times New Roman" w:cs="Times New Roman"/>
          <w:color w:val="auto"/>
          <w:sz w:val="24"/>
          <w:szCs w:val="22"/>
          <w:highlight w:val="none"/>
        </w:rPr>
        <w:t>%，出现于</w:t>
      </w:r>
      <w:r>
        <w:rPr>
          <w:rFonts w:hint="eastAsia" w:cs="Times New Roman"/>
          <w:color w:val="auto"/>
          <w:sz w:val="24"/>
          <w:szCs w:val="22"/>
          <w:highlight w:val="none"/>
          <w:lang w:val="en-US" w:eastAsia="zh-CN"/>
        </w:rPr>
        <w:t>650</w:t>
      </w:r>
      <w:r>
        <w:rPr>
          <w:rFonts w:hint="default" w:ascii="Times New Roman" w:hAnsi="Times New Roman" w:cs="Times New Roman"/>
          <w:color w:val="auto"/>
          <w:sz w:val="24"/>
          <w:szCs w:val="22"/>
          <w:highlight w:val="none"/>
        </w:rPr>
        <w:t>m处</w:t>
      </w:r>
      <w:r>
        <w:rPr>
          <w:rFonts w:hint="default" w:ascii="Times New Roman" w:hAnsi="Times New Roman" w:cs="Times New Roman"/>
          <w:color w:val="auto"/>
          <w:sz w:val="24"/>
          <w:szCs w:val="22"/>
          <w:highlight w:val="none"/>
          <w:lang w:eastAsia="zh-CN"/>
        </w:rPr>
        <w:t>；</w:t>
      </w:r>
      <w:r>
        <w:rPr>
          <w:rFonts w:hint="default" w:ascii="Times New Roman" w:hAnsi="Times New Roman" w:cs="Times New Roman"/>
          <w:color w:val="auto"/>
          <w:sz w:val="24"/>
          <w:szCs w:val="22"/>
          <w:highlight w:val="none"/>
          <w:lang w:val="en-US" w:eastAsia="zh-CN"/>
        </w:rPr>
        <w:t>堆粪场</w:t>
      </w:r>
      <w:r>
        <w:rPr>
          <w:rFonts w:hint="default" w:ascii="Times New Roman" w:hAnsi="Times New Roman" w:cs="Times New Roman"/>
          <w:color w:val="auto"/>
          <w:sz w:val="24"/>
          <w:szCs w:val="22"/>
          <w:highlight w:val="none"/>
        </w:rPr>
        <w:t>NH</w:t>
      </w:r>
      <w:r>
        <w:rPr>
          <w:rFonts w:hint="default" w:ascii="Times New Roman" w:hAnsi="Times New Roman" w:cs="Times New Roman"/>
          <w:color w:val="auto"/>
          <w:sz w:val="24"/>
          <w:szCs w:val="22"/>
          <w:highlight w:val="none"/>
          <w:vertAlign w:val="subscript"/>
        </w:rPr>
        <w:t>3</w:t>
      </w:r>
      <w:r>
        <w:rPr>
          <w:rFonts w:hint="default" w:ascii="Times New Roman" w:hAnsi="Times New Roman" w:cs="Times New Roman"/>
          <w:color w:val="auto"/>
          <w:sz w:val="24"/>
          <w:szCs w:val="22"/>
          <w:highlight w:val="none"/>
        </w:rPr>
        <w:t>最大落地浓度为</w:t>
      </w:r>
      <w:r>
        <w:rPr>
          <w:rFonts w:hint="eastAsia" w:cs="Times New Roman"/>
          <w:color w:val="auto"/>
          <w:sz w:val="24"/>
          <w:szCs w:val="22"/>
          <w:highlight w:val="none"/>
          <w:lang w:val="en-US" w:eastAsia="zh-CN"/>
        </w:rPr>
        <w:t>0.000168</w:t>
      </w:r>
      <w:r>
        <w:rPr>
          <w:rFonts w:hint="default" w:ascii="Times New Roman" w:hAnsi="Times New Roman" w:cs="Times New Roman"/>
          <w:color w:val="auto"/>
          <w:sz w:val="24"/>
          <w:szCs w:val="22"/>
          <w:highlight w:val="none"/>
        </w:rPr>
        <w:t>mg/m</w:t>
      </w:r>
      <w:r>
        <w:rPr>
          <w:rFonts w:hint="default" w:ascii="Times New Roman" w:hAnsi="Times New Roman" w:cs="Times New Roman"/>
          <w:color w:val="auto"/>
          <w:sz w:val="24"/>
          <w:szCs w:val="22"/>
          <w:highlight w:val="none"/>
          <w:vertAlign w:val="superscript"/>
          <w:lang w:val="en-US" w:eastAsia="zh-CN"/>
        </w:rPr>
        <w:t>3</w:t>
      </w:r>
      <w:r>
        <w:rPr>
          <w:rFonts w:hint="default" w:ascii="Times New Roman" w:hAnsi="Times New Roman" w:cs="Times New Roman"/>
          <w:color w:val="auto"/>
          <w:sz w:val="24"/>
          <w:szCs w:val="22"/>
          <w:highlight w:val="none"/>
        </w:rPr>
        <w:t>，最大占标率0.</w:t>
      </w:r>
      <w:r>
        <w:rPr>
          <w:rFonts w:hint="eastAsia" w:cs="Times New Roman"/>
          <w:color w:val="auto"/>
          <w:sz w:val="24"/>
          <w:szCs w:val="22"/>
          <w:highlight w:val="none"/>
          <w:lang w:val="en-US" w:eastAsia="zh-CN"/>
        </w:rPr>
        <w:t>08</w:t>
      </w:r>
      <w:r>
        <w:rPr>
          <w:rFonts w:hint="default" w:ascii="Times New Roman" w:hAnsi="Times New Roman" w:cs="Times New Roman"/>
          <w:color w:val="auto"/>
          <w:sz w:val="24"/>
          <w:szCs w:val="22"/>
          <w:highlight w:val="none"/>
        </w:rPr>
        <w:t>%，出现于</w:t>
      </w:r>
      <w:r>
        <w:rPr>
          <w:rFonts w:hint="default" w:ascii="Times New Roman" w:hAnsi="Times New Roman" w:cs="Times New Roman"/>
          <w:color w:val="auto"/>
          <w:sz w:val="24"/>
          <w:szCs w:val="22"/>
          <w:highlight w:val="none"/>
          <w:lang w:val="en-US" w:eastAsia="zh-CN"/>
        </w:rPr>
        <w:t>40</w:t>
      </w:r>
      <w:r>
        <w:rPr>
          <w:rFonts w:hint="default" w:ascii="Times New Roman" w:hAnsi="Times New Roman" w:cs="Times New Roman"/>
          <w:color w:val="auto"/>
          <w:sz w:val="24"/>
          <w:szCs w:val="22"/>
          <w:highlight w:val="none"/>
        </w:rPr>
        <w:t>m处，H</w:t>
      </w:r>
      <w:r>
        <w:rPr>
          <w:rFonts w:hint="default" w:ascii="Times New Roman" w:hAnsi="Times New Roman" w:cs="Times New Roman"/>
          <w:color w:val="auto"/>
          <w:sz w:val="24"/>
          <w:szCs w:val="22"/>
          <w:highlight w:val="none"/>
          <w:vertAlign w:val="subscript"/>
        </w:rPr>
        <w:t>2</w:t>
      </w:r>
      <w:r>
        <w:rPr>
          <w:rFonts w:hint="default" w:ascii="Times New Roman" w:hAnsi="Times New Roman" w:cs="Times New Roman"/>
          <w:color w:val="auto"/>
          <w:sz w:val="24"/>
          <w:szCs w:val="22"/>
          <w:highlight w:val="none"/>
        </w:rPr>
        <w:t>S最大落地浓度为</w:t>
      </w:r>
      <w:r>
        <w:rPr>
          <w:rFonts w:hint="eastAsia" w:cs="Times New Roman"/>
          <w:color w:val="auto"/>
          <w:sz w:val="24"/>
          <w:szCs w:val="22"/>
          <w:highlight w:val="none"/>
          <w:lang w:val="en-US" w:eastAsia="zh-CN"/>
        </w:rPr>
        <w:t>0.000013</w:t>
      </w:r>
      <w:r>
        <w:rPr>
          <w:rFonts w:hint="default" w:ascii="Times New Roman" w:hAnsi="Times New Roman" w:cs="Times New Roman"/>
          <w:color w:val="auto"/>
          <w:sz w:val="24"/>
          <w:szCs w:val="22"/>
          <w:highlight w:val="none"/>
        </w:rPr>
        <w:t>mg/m</w:t>
      </w:r>
      <w:r>
        <w:rPr>
          <w:rFonts w:hint="default" w:ascii="Times New Roman" w:hAnsi="Times New Roman" w:cs="Times New Roman"/>
          <w:color w:val="auto"/>
          <w:sz w:val="24"/>
          <w:szCs w:val="22"/>
          <w:highlight w:val="none"/>
          <w:vertAlign w:val="superscript"/>
          <w:lang w:val="en-US" w:eastAsia="zh-CN"/>
        </w:rPr>
        <w:t>3</w:t>
      </w:r>
      <w:r>
        <w:rPr>
          <w:rFonts w:hint="default" w:ascii="Times New Roman" w:hAnsi="Times New Roman" w:cs="Times New Roman"/>
          <w:color w:val="auto"/>
          <w:sz w:val="24"/>
          <w:szCs w:val="22"/>
          <w:highlight w:val="none"/>
        </w:rPr>
        <w:t>，最大占标率</w:t>
      </w:r>
      <w:r>
        <w:rPr>
          <w:rFonts w:hint="eastAsia" w:cs="Times New Roman"/>
          <w:color w:val="auto"/>
          <w:sz w:val="24"/>
          <w:szCs w:val="22"/>
          <w:highlight w:val="none"/>
          <w:lang w:val="en-US" w:eastAsia="zh-CN"/>
        </w:rPr>
        <w:t>0.13</w:t>
      </w:r>
      <w:r>
        <w:rPr>
          <w:rFonts w:hint="default" w:ascii="Times New Roman" w:hAnsi="Times New Roman" w:cs="Times New Roman"/>
          <w:color w:val="auto"/>
          <w:sz w:val="24"/>
          <w:szCs w:val="22"/>
          <w:highlight w:val="none"/>
        </w:rPr>
        <w:t>%，出现于</w:t>
      </w:r>
      <w:r>
        <w:rPr>
          <w:rFonts w:hint="default" w:ascii="Times New Roman" w:hAnsi="Times New Roman" w:cs="Times New Roman"/>
          <w:color w:val="auto"/>
          <w:sz w:val="24"/>
          <w:szCs w:val="22"/>
          <w:highlight w:val="none"/>
          <w:lang w:val="en-US" w:eastAsia="zh-CN"/>
        </w:rPr>
        <w:t>40</w:t>
      </w:r>
      <w:r>
        <w:rPr>
          <w:rFonts w:hint="default" w:ascii="Times New Roman" w:hAnsi="Times New Roman" w:cs="Times New Roman"/>
          <w:color w:val="auto"/>
          <w:sz w:val="24"/>
          <w:szCs w:val="22"/>
          <w:highlight w:val="none"/>
        </w:rPr>
        <w:t>m处</w:t>
      </w:r>
      <w:r>
        <w:rPr>
          <w:rFonts w:hint="default" w:ascii="Times New Roman" w:hAnsi="Times New Roman" w:cs="Times New Roman"/>
          <w:color w:val="auto"/>
          <w:sz w:val="24"/>
          <w:szCs w:val="22"/>
          <w:highlight w:val="none"/>
          <w:lang w:eastAsia="zh-CN"/>
        </w:rPr>
        <w:t>；</w:t>
      </w:r>
      <w:r>
        <w:rPr>
          <w:rFonts w:hint="default" w:ascii="Times New Roman" w:hAnsi="Times New Roman" w:cs="Times New Roman"/>
          <w:color w:val="auto"/>
          <w:sz w:val="24"/>
          <w:szCs w:val="22"/>
          <w:highlight w:val="none"/>
          <w:lang w:val="en-US" w:eastAsia="zh-CN"/>
        </w:rPr>
        <w:t>饲料加工间TSP最大落地浓度</w:t>
      </w:r>
      <w:r>
        <w:rPr>
          <w:rFonts w:hint="eastAsia" w:cs="Times New Roman"/>
          <w:color w:val="auto"/>
          <w:sz w:val="24"/>
          <w:szCs w:val="22"/>
          <w:highlight w:val="none"/>
          <w:lang w:val="en-US" w:eastAsia="zh-CN"/>
        </w:rPr>
        <w:t>0.012019</w:t>
      </w:r>
      <w:r>
        <w:rPr>
          <w:rFonts w:hint="default" w:ascii="Times New Roman" w:hAnsi="Times New Roman" w:cs="Times New Roman"/>
          <w:color w:val="auto"/>
          <w:sz w:val="24"/>
          <w:szCs w:val="22"/>
          <w:highlight w:val="none"/>
        </w:rPr>
        <w:t>mg/m</w:t>
      </w:r>
      <w:r>
        <w:rPr>
          <w:rFonts w:hint="default" w:ascii="Times New Roman" w:hAnsi="Times New Roman" w:cs="Times New Roman"/>
          <w:color w:val="auto"/>
          <w:sz w:val="24"/>
          <w:szCs w:val="22"/>
          <w:highlight w:val="none"/>
          <w:vertAlign w:val="superscript"/>
          <w:lang w:val="en-US" w:eastAsia="zh-CN"/>
        </w:rPr>
        <w:t>3</w:t>
      </w:r>
      <w:r>
        <w:rPr>
          <w:rFonts w:hint="default" w:ascii="Times New Roman" w:hAnsi="Times New Roman" w:cs="Times New Roman"/>
          <w:color w:val="auto"/>
          <w:sz w:val="24"/>
          <w:szCs w:val="22"/>
          <w:highlight w:val="none"/>
          <w:vertAlign w:val="baseline"/>
          <w:lang w:val="en-US" w:eastAsia="zh-CN"/>
        </w:rPr>
        <w:t>，最大占标率</w:t>
      </w:r>
      <w:r>
        <w:rPr>
          <w:rFonts w:hint="eastAsia" w:cs="Times New Roman"/>
          <w:color w:val="auto"/>
          <w:sz w:val="24"/>
          <w:szCs w:val="22"/>
          <w:highlight w:val="none"/>
          <w:vertAlign w:val="baseline"/>
          <w:lang w:val="en-US" w:eastAsia="zh-CN"/>
        </w:rPr>
        <w:t>1.34</w:t>
      </w:r>
      <w:r>
        <w:rPr>
          <w:rFonts w:hint="default" w:ascii="Times New Roman" w:hAnsi="Times New Roman" w:cs="Times New Roman"/>
          <w:color w:val="auto"/>
          <w:sz w:val="24"/>
          <w:szCs w:val="22"/>
          <w:highlight w:val="none"/>
          <w:vertAlign w:val="baseline"/>
          <w:lang w:val="en-US" w:eastAsia="zh-CN"/>
        </w:rPr>
        <w:t>%，出现在21m处</w:t>
      </w:r>
      <w:r>
        <w:rPr>
          <w:rFonts w:hint="default" w:ascii="Times New Roman" w:hAnsi="Times New Roman" w:cs="Times New Roman"/>
          <w:color w:val="auto"/>
          <w:sz w:val="24"/>
          <w:szCs w:val="22"/>
          <w:highlight w:val="none"/>
        </w:rPr>
        <w:t>，</w:t>
      </w:r>
      <w:r>
        <w:rPr>
          <w:rFonts w:hint="default" w:ascii="Times New Roman" w:hAnsi="Times New Roman" w:cs="Times New Roman"/>
          <w:color w:val="auto"/>
          <w:highlight w:val="none"/>
        </w:rPr>
        <w:t>根据《环境影响评价技术导则</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大气环境》（HJ2.2-2018）的规定，确定本次大气影响评价工作等级为二级。</w:t>
      </w:r>
    </w:p>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98" w:name="_Toc25597"/>
      <w:r>
        <w:rPr>
          <w:rFonts w:hint="default" w:ascii="Times New Roman" w:hAnsi="Times New Roman" w:cs="Times New Roman"/>
          <w:color w:val="auto"/>
          <w:highlight w:val="none"/>
        </w:rPr>
        <w:t>水环境</w:t>
      </w:r>
      <w:bookmarkEnd w:id="98"/>
    </w:p>
    <w:p>
      <w:pPr>
        <w:pStyle w:val="6"/>
        <w:pageBreakBefore w:val="0"/>
        <w:wordWrap/>
        <w:bidi w:val="0"/>
        <w:adjustRightInd w:val="0"/>
        <w:ind w:left="0" w:leftChars="0"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地表水</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Style w:val="62"/>
          <w:rFonts w:hint="default" w:ascii="Times New Roman" w:hAnsi="Times New Roman" w:cs="Times New Roman"/>
          <w:color w:val="auto"/>
          <w:highlight w:val="none"/>
        </w:rPr>
        <w:t>本项目采用干清粪工艺，</w:t>
      </w:r>
      <w:r>
        <w:rPr>
          <w:rStyle w:val="62"/>
          <w:rFonts w:hint="default" w:ascii="Times New Roman" w:hAnsi="Times New Roman" w:cs="Times New Roman"/>
          <w:color w:val="auto"/>
          <w:highlight w:val="none"/>
          <w:lang w:eastAsia="zh-CN"/>
        </w:rPr>
        <w:t>粪污</w:t>
      </w:r>
      <w:r>
        <w:rPr>
          <w:rStyle w:val="62"/>
          <w:rFonts w:hint="default" w:ascii="Times New Roman" w:hAnsi="Times New Roman" w:cs="Times New Roman"/>
          <w:color w:val="auto"/>
          <w:highlight w:val="none"/>
        </w:rPr>
        <w:t>经清粪车收集至</w:t>
      </w:r>
      <w:r>
        <w:rPr>
          <w:rStyle w:val="62"/>
          <w:rFonts w:hint="default" w:ascii="Times New Roman" w:hAnsi="Times New Roman" w:cs="Times New Roman"/>
          <w:color w:val="auto"/>
          <w:highlight w:val="none"/>
          <w:lang w:eastAsia="zh-CN"/>
        </w:rPr>
        <w:t>堆粪场</w:t>
      </w:r>
      <w:r>
        <w:rPr>
          <w:rStyle w:val="62"/>
          <w:rFonts w:hint="eastAsia" w:cs="Times New Roman"/>
          <w:color w:val="auto"/>
          <w:highlight w:val="none"/>
          <w:lang w:val="en-US" w:eastAsia="zh-CN"/>
        </w:rPr>
        <w:t>堆肥后</w:t>
      </w:r>
      <w:r>
        <w:rPr>
          <w:rFonts w:hint="eastAsia" w:cs="Times New Roman"/>
          <w:color w:val="auto"/>
          <w:highlight w:val="none"/>
          <w:lang w:eastAsia="zh-CN"/>
        </w:rPr>
        <w:t>用于垫料及还田利用</w:t>
      </w:r>
      <w:r>
        <w:rPr>
          <w:rStyle w:val="62"/>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废水主要为</w:t>
      </w:r>
      <w:r>
        <w:rPr>
          <w:rFonts w:hint="eastAsia" w:cs="Times New Roman"/>
          <w:color w:val="auto"/>
          <w:highlight w:val="none"/>
          <w:lang w:eastAsia="zh-CN"/>
        </w:rPr>
        <w:t>挤奶厅设备和地面清洗废水</w:t>
      </w:r>
      <w:r>
        <w:rPr>
          <w:rFonts w:hint="default" w:ascii="Times New Roman" w:hAnsi="Times New Roman" w:cs="Times New Roman"/>
          <w:color w:val="auto"/>
          <w:highlight w:val="none"/>
        </w:rPr>
        <w:t>及少量生活污水，</w:t>
      </w:r>
      <w:r>
        <w:rPr>
          <w:rFonts w:hint="default" w:ascii="Times New Roman" w:hAnsi="Times New Roman" w:cs="Times New Roman"/>
          <w:color w:val="auto"/>
          <w:highlight w:val="none"/>
          <w:lang w:eastAsia="zh-CN"/>
        </w:rPr>
        <w:t>进入集污池收集后</w:t>
      </w:r>
      <w:r>
        <w:rPr>
          <w:rFonts w:hint="default" w:ascii="Times New Roman" w:hAnsi="Times New Roman" w:cs="Times New Roman"/>
          <w:color w:val="auto"/>
          <w:highlight w:val="none"/>
          <w:lang w:val="en-US" w:eastAsia="zh-CN"/>
        </w:rPr>
        <w:t>定期</w:t>
      </w:r>
      <w:r>
        <w:rPr>
          <w:rFonts w:hint="eastAsia" w:cs="Times New Roman"/>
          <w:color w:val="auto"/>
          <w:highlight w:val="none"/>
          <w:lang w:val="en-US" w:eastAsia="zh-CN"/>
        </w:rPr>
        <w:t>清掏拉运至塔城市污水厂</w:t>
      </w:r>
      <w:r>
        <w:rPr>
          <w:rFonts w:hint="default" w:ascii="Times New Roman" w:hAnsi="Times New Roman" w:cs="Times New Roman"/>
          <w:color w:val="auto"/>
          <w:highlight w:val="none"/>
        </w:rPr>
        <w:t>，不排入地表水体。根据《环境影响评价技术导则 地表水环境》（HJ 2.3-2018）中“表1 水污染影响型建设项目评价等级判定表”可知，本项目</w:t>
      </w:r>
      <w:r>
        <w:rPr>
          <w:rFonts w:hint="default" w:ascii="Times New Roman" w:hAnsi="Times New Roman" w:cs="Times New Roman"/>
          <w:color w:val="auto"/>
          <w:highlight w:val="none"/>
          <w:lang w:val="en-US" w:eastAsia="zh-CN"/>
        </w:rPr>
        <w:t>地表</w:t>
      </w:r>
      <w:r>
        <w:rPr>
          <w:rFonts w:hint="default" w:ascii="Times New Roman" w:hAnsi="Times New Roman" w:cs="Times New Roman"/>
          <w:color w:val="auto"/>
          <w:highlight w:val="none"/>
        </w:rPr>
        <w:t>水环境评价工作等级为三级B。</w:t>
      </w:r>
    </w:p>
    <w:p>
      <w:pPr>
        <w:pStyle w:val="6"/>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地下水</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根据《环境影响评价技术导则 地下水环境》（HJ610-2016），地下水环境影响工作等级按表2.</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确定划分。</w:t>
      </w:r>
      <w:r>
        <w:rPr>
          <w:rFonts w:hint="eastAsia" w:cs="Times New Roman"/>
          <w:color w:val="auto"/>
          <w:highlight w:val="none"/>
          <w:lang w:val="en-US" w:eastAsia="zh-CN"/>
        </w:rPr>
        <w:t>本</w:t>
      </w:r>
      <w:r>
        <w:rPr>
          <w:rFonts w:hint="default" w:ascii="Times New Roman" w:hAnsi="Times New Roman" w:cs="Times New Roman"/>
          <w:color w:val="auto"/>
          <w:highlight w:val="none"/>
        </w:rPr>
        <w:t>项目</w:t>
      </w:r>
      <w:r>
        <w:rPr>
          <w:rFonts w:hint="eastAsia"/>
          <w:color w:val="auto"/>
          <w:lang w:val="en-US" w:eastAsia="zh-CN"/>
        </w:rPr>
        <w:t>为奶牛养殖基地建设项目，</w:t>
      </w:r>
      <w:r>
        <w:rPr>
          <w:rFonts w:hint="default" w:ascii="Times New Roman" w:hAnsi="Times New Roman" w:cs="Times New Roman"/>
          <w:color w:val="auto"/>
          <w:highlight w:val="none"/>
        </w:rPr>
        <w:t>属于《环境影响评价技术导则 地下水环境》（HJ610-2016）中的附录A中的Ⅲ类项目。环境敏感程度按该导则中规定的内容判别，具体见2.</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，经调查项目区及周边无集中式水源地分布，无特殊地下水资源分布，</w:t>
      </w:r>
      <w:r>
        <w:rPr>
          <w:rFonts w:hint="eastAsia" w:cs="Times New Roman"/>
          <w:color w:val="auto"/>
          <w:highlight w:val="none"/>
          <w:lang w:val="en-US" w:eastAsia="zh-CN"/>
        </w:rPr>
        <w:t>没有</w:t>
      </w:r>
      <w:r>
        <w:rPr>
          <w:rFonts w:hint="eastAsia"/>
          <w:color w:val="auto"/>
          <w:lang w:val="en-US" w:eastAsia="zh-CN"/>
        </w:rPr>
        <w:t>分散式饮用水水源地，</w:t>
      </w:r>
      <w:r>
        <w:rPr>
          <w:rFonts w:hint="default" w:ascii="Times New Roman" w:hAnsi="Times New Roman" w:cs="Times New Roman"/>
          <w:color w:val="auto"/>
          <w:highlight w:val="none"/>
        </w:rPr>
        <w:t>因此，地下水属</w:t>
      </w:r>
      <w:r>
        <w:rPr>
          <w:rFonts w:hint="eastAsia" w:cs="Times New Roman"/>
          <w:color w:val="auto"/>
          <w:highlight w:val="none"/>
          <w:lang w:val="en-US" w:eastAsia="zh-CN"/>
        </w:rPr>
        <w:t>不</w:t>
      </w:r>
      <w:r>
        <w:rPr>
          <w:rFonts w:hint="default" w:ascii="Times New Roman" w:hAnsi="Times New Roman" w:cs="Times New Roman"/>
          <w:color w:val="auto"/>
          <w:highlight w:val="none"/>
        </w:rPr>
        <w:t>敏感区，据此确定本项目地下水评价等级为三级。</w:t>
      </w:r>
    </w:p>
    <w:p>
      <w:pPr>
        <w:pStyle w:val="50"/>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表2.</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6</w:t>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 xml:space="preserve">  </w:t>
      </w:r>
      <w:r>
        <w:rPr>
          <w:rFonts w:hint="default" w:ascii="Times New Roman" w:hAnsi="Times New Roman"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 xml:space="preserve"> 评价工作等级分级表</w:t>
      </w:r>
    </w:p>
    <w:tbl>
      <w:tblPr>
        <w:tblStyle w:val="39"/>
        <w:tblpPr w:leftFromText="180" w:rightFromText="180" w:vertAnchor="text" w:tblpXSpec="left" w:tblpY="1"/>
        <w:tblOverlap w:val="never"/>
        <w:tblW w:w="4975"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897"/>
        <w:gridCol w:w="1797"/>
        <w:gridCol w:w="1927"/>
        <w:gridCol w:w="205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44" w:hRule="exact"/>
        </w:trPr>
        <w:tc>
          <w:tcPr>
            <w:tcW w:w="1669"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项目类别</w:t>
            </w:r>
          </w:p>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环境敏感程度</w:t>
            </w:r>
          </w:p>
        </w:tc>
        <w:tc>
          <w:tcPr>
            <w:tcW w:w="1035"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Ⅰ类项目</w:t>
            </w:r>
          </w:p>
        </w:tc>
        <w:tc>
          <w:tcPr>
            <w:tcW w:w="1110"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Ⅱ类项目</w:t>
            </w:r>
          </w:p>
        </w:tc>
        <w:tc>
          <w:tcPr>
            <w:tcW w:w="1184"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Ⅲ类项目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3" w:hRule="exact"/>
        </w:trPr>
        <w:tc>
          <w:tcPr>
            <w:tcW w:w="1669"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敏感</w:t>
            </w:r>
          </w:p>
        </w:tc>
        <w:tc>
          <w:tcPr>
            <w:tcW w:w="1035"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w:t>
            </w:r>
          </w:p>
        </w:tc>
        <w:tc>
          <w:tcPr>
            <w:tcW w:w="1110"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w:t>
            </w:r>
          </w:p>
        </w:tc>
        <w:tc>
          <w:tcPr>
            <w:tcW w:w="1184"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6" w:hRule="exact"/>
        </w:trPr>
        <w:tc>
          <w:tcPr>
            <w:tcW w:w="1669"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较敏感</w:t>
            </w:r>
          </w:p>
        </w:tc>
        <w:tc>
          <w:tcPr>
            <w:tcW w:w="1035"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w:t>
            </w:r>
          </w:p>
        </w:tc>
        <w:tc>
          <w:tcPr>
            <w:tcW w:w="1110"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w:t>
            </w:r>
          </w:p>
        </w:tc>
        <w:tc>
          <w:tcPr>
            <w:tcW w:w="1184"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0" w:hRule="exact"/>
        </w:trPr>
        <w:tc>
          <w:tcPr>
            <w:tcW w:w="1669"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不敏感</w:t>
            </w:r>
          </w:p>
        </w:tc>
        <w:tc>
          <w:tcPr>
            <w:tcW w:w="1035"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w:t>
            </w:r>
          </w:p>
        </w:tc>
        <w:tc>
          <w:tcPr>
            <w:tcW w:w="1110"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w:t>
            </w:r>
          </w:p>
        </w:tc>
        <w:tc>
          <w:tcPr>
            <w:tcW w:w="1184"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w:t>
            </w:r>
          </w:p>
        </w:tc>
      </w:tr>
    </w:tbl>
    <w:p>
      <w:pPr>
        <w:pStyle w:val="50"/>
        <w:keepNext w:val="0"/>
        <w:keepLines w:val="0"/>
        <w:pageBreakBefore w:val="0"/>
        <w:widowControl w:val="0"/>
        <w:kinsoku/>
        <w:wordWrap/>
        <w:overflowPunct/>
        <w:topLinePunct w:val="0"/>
        <w:autoSpaceDE/>
        <w:autoSpaceDN/>
        <w:bidi w:val="0"/>
        <w:adjustRightInd w:val="0"/>
        <w:snapToGrid w:val="0"/>
        <w:spacing w:before="157" w:beforeLines="50"/>
        <w:ind w:left="0" w:leftChars="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表2.</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7</w:t>
      </w:r>
      <w:r>
        <w:rPr>
          <w:rFonts w:hint="default" w:ascii="Times New Roman" w:hAnsi="Times New Roman" w:cs="Times New Roman"/>
          <w:color w:val="auto"/>
          <w:sz w:val="21"/>
          <w:szCs w:val="21"/>
          <w:highlight w:val="none"/>
        </w:rPr>
        <w:t xml:space="preserve">  </w:t>
      </w:r>
      <w:r>
        <w:rPr>
          <w:rFonts w:hint="default" w:ascii="Times New Roman" w:hAnsi="Times New Roman"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地下水环境敏感程度分级</w:t>
      </w:r>
    </w:p>
    <w:tbl>
      <w:tblPr>
        <w:tblStyle w:val="39"/>
        <w:tblW w:w="4976"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076"/>
        <w:gridCol w:w="760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3" w:hRule="exact"/>
        </w:trPr>
        <w:tc>
          <w:tcPr>
            <w:tcW w:w="620" w:type="pct"/>
            <w:tcBorders>
              <w:tl2br w:val="nil"/>
              <w:tr2bl w:val="nil"/>
            </w:tcBorders>
            <w:noWrap w:val="0"/>
            <w:vAlign w:val="center"/>
          </w:tcPr>
          <w:p>
            <w:pPr>
              <w:pStyle w:val="49"/>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敏感程度</w:t>
            </w:r>
          </w:p>
        </w:tc>
        <w:tc>
          <w:tcPr>
            <w:tcW w:w="4379" w:type="pct"/>
            <w:tcBorders>
              <w:tl2br w:val="nil"/>
              <w:tr2bl w:val="nil"/>
            </w:tcBorders>
            <w:noWrap w:val="0"/>
            <w:vAlign w:val="center"/>
          </w:tcPr>
          <w:p>
            <w:pPr>
              <w:pStyle w:val="49"/>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地下水环境敏感特征</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33" w:hRule="exact"/>
        </w:trPr>
        <w:tc>
          <w:tcPr>
            <w:tcW w:w="620" w:type="pct"/>
            <w:tcBorders>
              <w:tl2br w:val="nil"/>
              <w:tr2bl w:val="nil"/>
            </w:tcBorders>
            <w:noWrap w:val="0"/>
            <w:vAlign w:val="center"/>
          </w:tcPr>
          <w:p>
            <w:pPr>
              <w:pStyle w:val="49"/>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敏感</w:t>
            </w:r>
          </w:p>
        </w:tc>
        <w:tc>
          <w:tcPr>
            <w:tcW w:w="4379" w:type="pct"/>
            <w:tcBorders>
              <w:tl2br w:val="nil"/>
              <w:tr2bl w:val="nil"/>
            </w:tcBorders>
            <w:noWrap w:val="0"/>
            <w:vAlign w:val="center"/>
          </w:tcPr>
          <w:p>
            <w:pPr>
              <w:pStyle w:val="49"/>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集中式饮用水水源地（包括已建成的在用、备用、应急水源地，在建和规划的水源地）准保护区；除集中式饮用水水源以外的国家或地方政府设定的与地下水环境相关的其它保护区，如热水、矿泉水、温泉等特殊地下水资源保护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61" w:hRule="exact"/>
        </w:trPr>
        <w:tc>
          <w:tcPr>
            <w:tcW w:w="620" w:type="pct"/>
            <w:tcBorders>
              <w:tl2br w:val="nil"/>
              <w:tr2bl w:val="nil"/>
            </w:tcBorders>
            <w:noWrap w:val="0"/>
            <w:vAlign w:val="center"/>
          </w:tcPr>
          <w:p>
            <w:pPr>
              <w:pStyle w:val="49"/>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较敏感</w:t>
            </w:r>
          </w:p>
        </w:tc>
        <w:tc>
          <w:tcPr>
            <w:tcW w:w="4379" w:type="pct"/>
            <w:tcBorders>
              <w:tl2br w:val="nil"/>
              <w:tr2bl w:val="nil"/>
            </w:tcBorders>
            <w:noWrap w:val="0"/>
            <w:vAlign w:val="center"/>
          </w:tcPr>
          <w:p>
            <w:pPr>
              <w:pStyle w:val="49"/>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集中式饮用水水源地（包括已建成的在用、备用、应急水源，在建和规划的水源地）准保护区以外的补给径流区；未划定准保护区的集中式饮用水水源，其保护区以外的补给径流区；分散式饮用水水源地；特殊地下水资源（如矿泉水、温泉等）保护区以外的分布区等其它未列入上述敏感分级的环境敏感区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3" w:hRule="exact"/>
        </w:trPr>
        <w:tc>
          <w:tcPr>
            <w:tcW w:w="620" w:type="pct"/>
            <w:tcBorders>
              <w:tl2br w:val="nil"/>
              <w:tr2bl w:val="nil"/>
            </w:tcBorders>
            <w:noWrap w:val="0"/>
            <w:vAlign w:val="center"/>
          </w:tcPr>
          <w:p>
            <w:pPr>
              <w:pStyle w:val="49"/>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不敏感</w:t>
            </w:r>
          </w:p>
        </w:tc>
        <w:tc>
          <w:tcPr>
            <w:tcW w:w="4379" w:type="pct"/>
            <w:tcBorders>
              <w:tl2br w:val="nil"/>
              <w:tr2bl w:val="nil"/>
            </w:tcBorders>
            <w:noWrap w:val="0"/>
            <w:vAlign w:val="center"/>
          </w:tcPr>
          <w:p>
            <w:pPr>
              <w:pStyle w:val="49"/>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上述地区之外的其它地区。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97" w:hRule="exact"/>
        </w:trPr>
        <w:tc>
          <w:tcPr>
            <w:tcW w:w="5000" w:type="pct"/>
            <w:gridSpan w:val="2"/>
            <w:tcBorders>
              <w:tl2br w:val="nil"/>
              <w:tr2bl w:val="nil"/>
            </w:tcBorders>
            <w:noWrap w:val="0"/>
            <w:vAlign w:val="center"/>
          </w:tcPr>
          <w:p>
            <w:pPr>
              <w:pStyle w:val="49"/>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18"/>
                <w:szCs w:val="18"/>
                <w:highlight w:val="none"/>
              </w:rPr>
              <w:t>注：a“环境敏感区”是指《建设项目环境影响评价分类管理名录》中所界定的涉及地下水的环境敏感区</w:t>
            </w:r>
          </w:p>
        </w:tc>
      </w:tr>
    </w:tbl>
    <w:p>
      <w:pPr>
        <w:pStyle w:val="5"/>
        <w:keepNext/>
        <w:keepLines/>
        <w:pageBreakBefore w:val="0"/>
        <w:widowControl w:val="0"/>
        <w:kinsoku/>
        <w:wordWrap/>
        <w:overflowPunct/>
        <w:topLinePunct w:val="0"/>
        <w:autoSpaceDE/>
        <w:autoSpaceDN/>
        <w:bidi w:val="0"/>
        <w:adjustRightInd w:val="0"/>
        <w:snapToGrid w:val="0"/>
        <w:spacing w:before="157" w:beforeLines="50"/>
        <w:ind w:left="0" w:leftChars="0" w:right="0" w:rightChars="0" w:firstLine="0" w:firstLineChars="0"/>
        <w:textAlignment w:val="auto"/>
        <w:rPr>
          <w:rFonts w:hint="default" w:ascii="Times New Roman" w:hAnsi="Times New Roman" w:cs="Times New Roman"/>
          <w:color w:val="auto"/>
          <w:highlight w:val="none"/>
        </w:rPr>
      </w:pPr>
      <w:bookmarkStart w:id="99" w:name="_Toc28161"/>
      <w:r>
        <w:rPr>
          <w:rFonts w:hint="default" w:ascii="Times New Roman" w:hAnsi="Times New Roman" w:cs="Times New Roman"/>
          <w:color w:val="auto"/>
          <w:highlight w:val="none"/>
        </w:rPr>
        <w:t>声环境</w:t>
      </w:r>
      <w:bookmarkEnd w:id="99"/>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本项目拟建场址属于《声环境质量标准》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GB3096-2008</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中的2类声功能区，项目声环境评价范围内无声环境敏感目标。因此，根据《环境影响评价技术导则 声环境》（</w:t>
      </w:r>
      <w:r>
        <w:rPr>
          <w:rFonts w:hint="default" w:ascii="Times New Roman" w:hAnsi="Times New Roman" w:cs="Times New Roman"/>
          <w:color w:val="auto"/>
          <w:highlight w:val="none"/>
          <w:lang w:eastAsia="zh-CN"/>
        </w:rPr>
        <w:t>HJ 2.4-2021</w:t>
      </w:r>
      <w:r>
        <w:rPr>
          <w:rFonts w:hint="default" w:ascii="Times New Roman" w:hAnsi="Times New Roman" w:cs="Times New Roman"/>
          <w:color w:val="auto"/>
          <w:highlight w:val="none"/>
        </w:rPr>
        <w:t>）中有关规定，确定本项目声环境影响评价工作等级为二级。</w:t>
      </w:r>
    </w:p>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100" w:name="_Toc1536"/>
      <w:r>
        <w:rPr>
          <w:rFonts w:hint="default" w:ascii="Times New Roman" w:hAnsi="Times New Roman" w:cs="Times New Roman"/>
          <w:color w:val="auto"/>
          <w:highlight w:val="none"/>
        </w:rPr>
        <w:t>土壤环境</w:t>
      </w:r>
      <w:bookmarkEnd w:id="100"/>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根据《环境影响评价技术导则 土壤环境（试行）》（HJ964-2018），根据建设项目对土壤环境可能产生的影响，将土壤环境影响类别划分为生态影响型和污染影响型，其中导则所指的土壤环境生态影响重点指土壤环境的酸化、盐化和碱化等，本项目属于污染影响型。</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污染影响型建设项目占地规模分为大型（≥50hm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）、中型（5-50hm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）、小型（≤5hm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），建设项目占地主要为永久占地。建设项目所在地周边的土壤环境敏感程度分为敏感、较敏感、不敏感，判别依据见表2.</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w:t>
      </w:r>
    </w:p>
    <w:p>
      <w:pPr>
        <w:pStyle w:val="50"/>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表2.</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8</w:t>
      </w:r>
      <w:r>
        <w:rPr>
          <w:rFonts w:hint="default" w:ascii="Times New Roman" w:hAnsi="Times New Roman" w:cs="Times New Roman"/>
          <w:color w:val="auto"/>
          <w:sz w:val="21"/>
          <w:szCs w:val="21"/>
          <w:highlight w:val="none"/>
        </w:rPr>
        <w:t xml:space="preserve">    污染影响型敏感程度分级表</w:t>
      </w:r>
    </w:p>
    <w:tbl>
      <w:tblPr>
        <w:tblStyle w:val="39"/>
        <w:tblW w:w="877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50"/>
        <w:gridCol w:w="62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550"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敏感程度</w:t>
            </w:r>
          </w:p>
        </w:tc>
        <w:tc>
          <w:tcPr>
            <w:tcW w:w="6229"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判别依据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2550"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敏感</w:t>
            </w:r>
          </w:p>
        </w:tc>
        <w:tc>
          <w:tcPr>
            <w:tcW w:w="6229"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建设项目周边存在耕地、园地、牧草地、饮用水源地或居民区、学校、医院、疗养院、养老院等土壤环境敏感目标的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550"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较敏感</w:t>
            </w:r>
          </w:p>
        </w:tc>
        <w:tc>
          <w:tcPr>
            <w:tcW w:w="6229"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建设项目周边存在其他土壤环境敏感目标的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550"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不敏感</w:t>
            </w:r>
          </w:p>
        </w:tc>
        <w:tc>
          <w:tcPr>
            <w:tcW w:w="6229"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其他情况</w:t>
            </w:r>
          </w:p>
        </w:tc>
      </w:tr>
    </w:tbl>
    <w:p>
      <w:pPr>
        <w:keepNext w:val="0"/>
        <w:keepLines w:val="0"/>
        <w:pageBreakBefore w:val="0"/>
        <w:widowControl w:val="0"/>
        <w:kinsoku/>
        <w:wordWrap/>
        <w:overflowPunct/>
        <w:topLinePunct w:val="0"/>
        <w:autoSpaceDE/>
        <w:autoSpaceDN/>
        <w:bidi w:val="0"/>
        <w:adjustRightInd w:val="0"/>
        <w:snapToGrid w:val="0"/>
        <w:ind w:left="0" w:leftChars="0" w:right="0" w:rightChars="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污染影响型建设项目土壤环境影响评价按照项目类别、占地规模与敏感程度划分评价工作等级，评价工作等级划分表见表2.</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9</w:t>
      </w:r>
      <w:r>
        <w:rPr>
          <w:rFonts w:hint="default" w:ascii="Times New Roman" w:hAnsi="Times New Roman" w:cs="Times New Roman"/>
          <w:color w:val="auto"/>
          <w:highlight w:val="none"/>
        </w:rPr>
        <w:t>。</w:t>
      </w:r>
    </w:p>
    <w:p>
      <w:pPr>
        <w:pStyle w:val="50"/>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 2.</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rPr>
        <w:t xml:space="preserve">    污染影响型评价工作等级划分表</w:t>
      </w:r>
    </w:p>
    <w:tbl>
      <w:tblPr>
        <w:tblStyle w:val="39"/>
        <w:tblpPr w:leftFromText="180" w:rightFromText="180" w:vertAnchor="text" w:tblpY="1"/>
        <w:tblOverlap w:val="never"/>
        <w:tblW w:w="879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72"/>
        <w:gridCol w:w="736"/>
        <w:gridCol w:w="736"/>
        <w:gridCol w:w="665"/>
        <w:gridCol w:w="737"/>
        <w:gridCol w:w="737"/>
        <w:gridCol w:w="725"/>
        <w:gridCol w:w="781"/>
        <w:gridCol w:w="691"/>
        <w:gridCol w:w="7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2272" w:type="dxa"/>
            <w:vMerge w:val="restar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敏感程度</w:t>
            </w:r>
          </w:p>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评价工作等级</w:t>
            </w:r>
          </w:p>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占地规模</w:t>
            </w:r>
          </w:p>
        </w:tc>
        <w:tc>
          <w:tcPr>
            <w:tcW w:w="2137" w:type="dxa"/>
            <w:gridSpan w:val="3"/>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Ⅰ类</w:t>
            </w:r>
          </w:p>
        </w:tc>
        <w:tc>
          <w:tcPr>
            <w:tcW w:w="2199" w:type="dxa"/>
            <w:gridSpan w:val="3"/>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Ⅱ类</w:t>
            </w:r>
          </w:p>
        </w:tc>
        <w:tc>
          <w:tcPr>
            <w:tcW w:w="2190" w:type="dxa"/>
            <w:gridSpan w:val="3"/>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Ⅲ类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2272" w:type="dxa"/>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p>
        </w:tc>
        <w:tc>
          <w:tcPr>
            <w:tcW w:w="736"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w:t>
            </w:r>
          </w:p>
        </w:tc>
        <w:tc>
          <w:tcPr>
            <w:tcW w:w="736"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中</w:t>
            </w:r>
          </w:p>
        </w:tc>
        <w:tc>
          <w:tcPr>
            <w:tcW w:w="665"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小</w:t>
            </w:r>
          </w:p>
        </w:tc>
        <w:tc>
          <w:tcPr>
            <w:tcW w:w="737"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w:t>
            </w:r>
          </w:p>
        </w:tc>
        <w:tc>
          <w:tcPr>
            <w:tcW w:w="737"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中</w:t>
            </w:r>
          </w:p>
        </w:tc>
        <w:tc>
          <w:tcPr>
            <w:tcW w:w="725"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小</w:t>
            </w:r>
          </w:p>
        </w:tc>
        <w:tc>
          <w:tcPr>
            <w:tcW w:w="781"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w:t>
            </w:r>
          </w:p>
        </w:tc>
        <w:tc>
          <w:tcPr>
            <w:tcW w:w="691"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中</w:t>
            </w:r>
          </w:p>
        </w:tc>
        <w:tc>
          <w:tcPr>
            <w:tcW w:w="718"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2272"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敏感</w:t>
            </w:r>
          </w:p>
        </w:tc>
        <w:tc>
          <w:tcPr>
            <w:tcW w:w="736"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一级</w:t>
            </w:r>
          </w:p>
        </w:tc>
        <w:tc>
          <w:tcPr>
            <w:tcW w:w="736"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一级</w:t>
            </w:r>
          </w:p>
        </w:tc>
        <w:tc>
          <w:tcPr>
            <w:tcW w:w="665"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一级</w:t>
            </w:r>
          </w:p>
        </w:tc>
        <w:tc>
          <w:tcPr>
            <w:tcW w:w="737"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二级</w:t>
            </w:r>
          </w:p>
        </w:tc>
        <w:tc>
          <w:tcPr>
            <w:tcW w:w="737"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二级</w:t>
            </w:r>
          </w:p>
        </w:tc>
        <w:tc>
          <w:tcPr>
            <w:tcW w:w="725"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二级</w:t>
            </w:r>
          </w:p>
        </w:tc>
        <w:tc>
          <w:tcPr>
            <w:tcW w:w="781"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三级</w:t>
            </w:r>
          </w:p>
        </w:tc>
        <w:tc>
          <w:tcPr>
            <w:tcW w:w="691"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三级</w:t>
            </w:r>
          </w:p>
        </w:tc>
        <w:tc>
          <w:tcPr>
            <w:tcW w:w="718"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2272"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较敏感</w:t>
            </w:r>
          </w:p>
        </w:tc>
        <w:tc>
          <w:tcPr>
            <w:tcW w:w="736"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一级</w:t>
            </w:r>
          </w:p>
        </w:tc>
        <w:tc>
          <w:tcPr>
            <w:tcW w:w="736"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一级</w:t>
            </w:r>
          </w:p>
        </w:tc>
        <w:tc>
          <w:tcPr>
            <w:tcW w:w="665"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二级</w:t>
            </w:r>
          </w:p>
        </w:tc>
        <w:tc>
          <w:tcPr>
            <w:tcW w:w="737"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二级</w:t>
            </w:r>
          </w:p>
        </w:tc>
        <w:tc>
          <w:tcPr>
            <w:tcW w:w="737"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二级</w:t>
            </w:r>
          </w:p>
        </w:tc>
        <w:tc>
          <w:tcPr>
            <w:tcW w:w="725"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三级</w:t>
            </w:r>
          </w:p>
        </w:tc>
        <w:tc>
          <w:tcPr>
            <w:tcW w:w="781"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三级</w:t>
            </w:r>
          </w:p>
        </w:tc>
        <w:tc>
          <w:tcPr>
            <w:tcW w:w="691"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三级</w:t>
            </w:r>
          </w:p>
        </w:tc>
        <w:tc>
          <w:tcPr>
            <w:tcW w:w="718"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2272"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不敏感</w:t>
            </w:r>
          </w:p>
        </w:tc>
        <w:tc>
          <w:tcPr>
            <w:tcW w:w="736"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一级</w:t>
            </w:r>
          </w:p>
        </w:tc>
        <w:tc>
          <w:tcPr>
            <w:tcW w:w="736"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二级</w:t>
            </w:r>
          </w:p>
        </w:tc>
        <w:tc>
          <w:tcPr>
            <w:tcW w:w="665"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二级</w:t>
            </w:r>
          </w:p>
        </w:tc>
        <w:tc>
          <w:tcPr>
            <w:tcW w:w="737"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二级</w:t>
            </w:r>
          </w:p>
        </w:tc>
        <w:tc>
          <w:tcPr>
            <w:tcW w:w="737"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三级</w:t>
            </w:r>
          </w:p>
        </w:tc>
        <w:tc>
          <w:tcPr>
            <w:tcW w:w="725"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三级</w:t>
            </w:r>
          </w:p>
        </w:tc>
        <w:tc>
          <w:tcPr>
            <w:tcW w:w="781"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三级</w:t>
            </w:r>
          </w:p>
        </w:tc>
        <w:tc>
          <w:tcPr>
            <w:tcW w:w="691"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718"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798" w:type="dxa"/>
            <w:gridSpan w:val="10"/>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注：“-”表示可不开展土壤环境影响评价工作。</w:t>
            </w:r>
          </w:p>
        </w:tc>
      </w:tr>
    </w:tbl>
    <w:p>
      <w:pPr>
        <w:keepNext w:val="0"/>
        <w:keepLines w:val="0"/>
        <w:pageBreakBefore w:val="0"/>
        <w:widowControl w:val="0"/>
        <w:kinsoku/>
        <w:wordWrap/>
        <w:overflowPunct/>
        <w:topLinePunct w:val="0"/>
        <w:autoSpaceDE/>
        <w:autoSpaceDN/>
        <w:bidi w:val="0"/>
        <w:adjustRightInd w:val="0"/>
        <w:snapToGrid w:val="0"/>
        <w:ind w:left="0" w:leftChars="0" w:right="0" w:rightChars="0" w:firstLine="480"/>
        <w:textAlignment w:val="auto"/>
        <w:rPr>
          <w:rFonts w:hint="default" w:ascii="Times New Roman" w:hAnsi="Times New Roman" w:cs="Times New Roman"/>
          <w:color w:val="auto"/>
          <w:highlight w:val="yellow"/>
        </w:rPr>
      </w:pPr>
      <w:r>
        <w:rPr>
          <w:rFonts w:hint="default" w:ascii="Times New Roman" w:hAnsi="Times New Roman" w:cs="Times New Roman"/>
          <w:color w:val="auto"/>
          <w:highlight w:val="none"/>
        </w:rPr>
        <w:t>本项目为畜禽规模化养殖项目，对照《环境影响评价技术导则 土壤环境（试行）》（HJ964-2018）附录A中表A.1土壤环境影响评价类别，本项目属于“农林牧渔业”中“年出栏</w:t>
      </w:r>
      <w:r>
        <w:rPr>
          <w:rFonts w:hint="default" w:ascii="Times New Roman" w:hAnsi="Times New Roman" w:cs="Times New Roman"/>
          <w:color w:val="auto"/>
          <w:highlight w:val="none"/>
          <w:lang w:val="en-US" w:eastAsia="zh-CN"/>
        </w:rPr>
        <w:t>生猪</w:t>
      </w:r>
      <w:r>
        <w:rPr>
          <w:rFonts w:hint="default" w:ascii="Times New Roman" w:hAnsi="Times New Roman" w:cs="Times New Roman"/>
          <w:color w:val="auto"/>
          <w:highlight w:val="none"/>
        </w:rPr>
        <w:t>5000头（其他畜禽种类折合猪的养殖规模）及以上的畜禽养殖场或养殖小区”，为Ⅲ类项目，本项目永久占地面积为</w:t>
      </w:r>
      <w:r>
        <w:rPr>
          <w:rFonts w:hint="default" w:ascii="Times New Roman" w:hAnsi="Times New Roman" w:cs="Times New Roman"/>
          <w:color w:val="auto"/>
          <w:highlight w:val="none"/>
          <w:lang w:val="en-US" w:eastAsia="zh-CN"/>
        </w:rPr>
        <w:t>667030.39</w:t>
      </w:r>
      <w:r>
        <w:rPr>
          <w:rFonts w:hint="eastAsia" w:cs="Times New Roman"/>
          <w:color w:val="auto"/>
          <w:highlight w:val="none"/>
          <w:lang w:val="en-US" w:eastAsia="zh-CN"/>
        </w:rPr>
        <w:t>m</w:t>
      </w:r>
      <w:r>
        <w:rPr>
          <w:rFonts w:hint="eastAsia" w:cs="Times New Roman"/>
          <w:color w:val="auto"/>
          <w:highlight w:val="none"/>
          <w:vertAlign w:val="superscript"/>
          <w:lang w:val="en-US" w:eastAsia="zh-CN"/>
        </w:rPr>
        <w:t>2</w:t>
      </w:r>
      <w:r>
        <w:rPr>
          <w:rFonts w:hint="default" w:ascii="Times New Roman" w:hAnsi="Times New Roman" w:cs="Times New Roman"/>
          <w:color w:val="auto"/>
          <w:highlight w:val="none"/>
          <w:lang w:val="en-US" w:eastAsia="zh-CN"/>
        </w:rPr>
        <w:t>（约66.7</w:t>
      </w:r>
      <w:r>
        <w:rPr>
          <w:rFonts w:hint="default" w:ascii="Times New Roman" w:hAnsi="Times New Roman" w:cs="Times New Roman"/>
          <w:color w:val="auto"/>
          <w:highlight w:val="none"/>
        </w:rPr>
        <w:t>hm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w:t>
      </w:r>
      <w:r>
        <w:rPr>
          <w:rFonts w:hint="eastAsia" w:cs="Times New Roman"/>
          <w:color w:val="auto"/>
          <w:highlight w:val="none"/>
          <w:lang w:val="en-US" w:eastAsia="zh-CN"/>
        </w:rPr>
        <w:t>占地为牧草地，</w:t>
      </w:r>
      <w:r>
        <w:rPr>
          <w:rFonts w:hint="default" w:ascii="Times New Roman" w:hAnsi="Times New Roman" w:cs="Times New Roman"/>
          <w:color w:val="auto"/>
          <w:highlight w:val="none"/>
        </w:rPr>
        <w:t>规模为</w:t>
      </w:r>
      <w:r>
        <w:rPr>
          <w:rFonts w:hint="default" w:ascii="Times New Roman" w:hAnsi="Times New Roman" w:cs="Times New Roman"/>
          <w:color w:val="auto"/>
          <w:highlight w:val="none"/>
          <w:lang w:val="en-US" w:eastAsia="zh-CN"/>
        </w:rPr>
        <w:t>大型</w:t>
      </w:r>
      <w:r>
        <w:rPr>
          <w:rFonts w:hint="default" w:ascii="Times New Roman" w:hAnsi="Times New Roman" w:cs="Times New Roman"/>
          <w:color w:val="auto"/>
          <w:highlight w:val="none"/>
        </w:rPr>
        <w:t>，场地周围</w:t>
      </w:r>
      <w:r>
        <w:rPr>
          <w:rFonts w:hint="eastAsia" w:cs="Times New Roman"/>
          <w:color w:val="auto"/>
          <w:highlight w:val="none"/>
          <w:lang w:val="en-US" w:eastAsia="zh-CN"/>
        </w:rPr>
        <w:t>存在牧</w:t>
      </w:r>
      <w:r>
        <w:rPr>
          <w:rFonts w:hint="default" w:ascii="Times New Roman" w:hAnsi="Times New Roman" w:cs="Times New Roman"/>
          <w:color w:val="auto"/>
          <w:highlight w:val="none"/>
          <w:lang w:val="en-US" w:eastAsia="zh-CN"/>
        </w:rPr>
        <w:t>草地</w:t>
      </w:r>
      <w:r>
        <w:rPr>
          <w:rFonts w:hint="default" w:ascii="Times New Roman" w:hAnsi="Times New Roman" w:cs="Times New Roman"/>
          <w:color w:val="auto"/>
          <w:highlight w:val="none"/>
        </w:rPr>
        <w:t>，敏感程度为敏感，土壤评价等级为“三级”。</w:t>
      </w:r>
    </w:p>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101" w:name="_Toc2703"/>
      <w:r>
        <w:rPr>
          <w:rFonts w:hint="default" w:ascii="Times New Roman" w:hAnsi="Times New Roman" w:cs="Times New Roman"/>
          <w:color w:val="auto"/>
          <w:highlight w:val="none"/>
        </w:rPr>
        <w:t>生态</w:t>
      </w:r>
      <w:bookmarkEnd w:id="101"/>
    </w:p>
    <w:p>
      <w:pPr>
        <w:keepNext w:val="0"/>
        <w:keepLines w:val="0"/>
        <w:widowControl/>
        <w:suppressLineNumbers w:val="0"/>
        <w:jc w:val="both"/>
        <w:rPr>
          <w:rFonts w:hint="default" w:ascii="Times New Roman" w:hAnsi="Times New Roman" w:cs="Times New Roman"/>
          <w:color w:val="auto"/>
          <w:highlight w:val="yellow"/>
        </w:rPr>
      </w:pPr>
      <w:r>
        <w:rPr>
          <w:rFonts w:hint="default" w:ascii="Times New Roman" w:hAnsi="Times New Roman" w:cs="Times New Roman"/>
          <w:color w:val="auto"/>
          <w:highlight w:val="none"/>
        </w:rPr>
        <w:t>按照《环境影响评价技术导则 生态影响》（HJ19-20</w:t>
      </w:r>
      <w:r>
        <w:rPr>
          <w:rFonts w:hint="default" w:ascii="Times New Roman" w:hAnsi="Times New Roman" w:cs="Times New Roman"/>
          <w:color w:val="auto"/>
          <w:highlight w:val="none"/>
          <w:lang w:val="en-US" w:eastAsia="zh-CN"/>
        </w:rPr>
        <w:t>22</w:t>
      </w:r>
      <w:r>
        <w:rPr>
          <w:rFonts w:hint="default" w:ascii="Times New Roman" w:hAnsi="Times New Roman" w:cs="Times New Roman"/>
          <w:color w:val="auto"/>
          <w:highlight w:val="none"/>
        </w:rPr>
        <w:t>）中的相关规定，</w:t>
      </w:r>
      <w:r>
        <w:rPr>
          <w:rFonts w:hint="default" w:ascii="Times New Roman" w:hAnsi="Times New Roman" w:cs="Times New Roman"/>
          <w:color w:val="auto"/>
          <w:highlight w:val="none"/>
          <w:lang w:eastAsia="zh-CN"/>
        </w:rPr>
        <w:t>本项目不</w:t>
      </w:r>
      <w:r>
        <w:rPr>
          <w:rFonts w:hint="default" w:ascii="Times New Roman" w:hAnsi="Times New Roman" w:cs="Times New Roman"/>
          <w:color w:val="auto"/>
          <w:highlight w:val="none"/>
        </w:rPr>
        <w:t>涉及国家公园、自然保护区、世界自然遗产、重要生境及自然公园</w:t>
      </w:r>
      <w:r>
        <w:rPr>
          <w:rFonts w:hint="default" w:ascii="Times New Roman" w:hAnsi="Times New Roman" w:cs="Times New Roman"/>
          <w:color w:val="auto"/>
          <w:highlight w:val="none"/>
          <w:lang w:eastAsia="zh-CN"/>
        </w:rPr>
        <w:t>也不</w:t>
      </w:r>
      <w:r>
        <w:rPr>
          <w:rFonts w:hint="default" w:ascii="Times New Roman" w:hAnsi="Times New Roman" w:cs="Times New Roman"/>
          <w:color w:val="auto"/>
          <w:highlight w:val="none"/>
        </w:rPr>
        <w:t>涉及生态保护红线</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本项目</w:t>
      </w:r>
      <w:r>
        <w:rPr>
          <w:rFonts w:hint="default" w:ascii="Times New Roman" w:hAnsi="Times New Roman" w:cs="Times New Roman"/>
          <w:color w:val="auto"/>
          <w:highlight w:val="none"/>
          <w:lang w:val="en-US" w:eastAsia="zh-CN"/>
        </w:rPr>
        <w:t>地表</w:t>
      </w:r>
      <w:r>
        <w:rPr>
          <w:rFonts w:hint="default" w:ascii="Times New Roman" w:hAnsi="Times New Roman" w:cs="Times New Roman"/>
          <w:color w:val="auto"/>
          <w:highlight w:val="none"/>
        </w:rPr>
        <w:t>水环境评价工作等级为三级B</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土壤影响范围内</w:t>
      </w:r>
      <w:r>
        <w:rPr>
          <w:rFonts w:hint="default" w:ascii="Times New Roman" w:hAnsi="Times New Roman" w:cs="Times New Roman"/>
          <w:color w:val="auto"/>
          <w:highlight w:val="none"/>
          <w:lang w:eastAsia="zh-CN"/>
        </w:rPr>
        <w:t>无天然林、公益林、湿地等生态保护目标；</w:t>
      </w:r>
      <w:r>
        <w:rPr>
          <w:rFonts w:hint="default" w:ascii="Times New Roman" w:hAnsi="Times New Roman" w:cs="Times New Roman"/>
          <w:color w:val="auto"/>
          <w:highlight w:val="none"/>
        </w:rPr>
        <w:t>本项目占地面积为</w:t>
      </w:r>
      <w:r>
        <w:rPr>
          <w:rFonts w:hint="default" w:ascii="Times New Roman" w:hAnsi="Times New Roman" w:cs="Times New Roman"/>
          <w:color w:val="auto"/>
          <w:highlight w:val="none"/>
          <w:lang w:val="en-US" w:eastAsia="zh-CN"/>
        </w:rPr>
        <w:t>667030.39平方米（约</w:t>
      </w:r>
      <w:r>
        <w:rPr>
          <w:rFonts w:hint="default" w:ascii="Times New Roman" w:hAnsi="Times New Roman" w:cs="Times New Roman"/>
          <w:color w:val="auto"/>
          <w:kern w:val="0"/>
          <w:highlight w:val="none"/>
          <w:lang w:val="en-US" w:eastAsia="zh-CN"/>
        </w:rPr>
        <w:t>0.667km</w:t>
      </w:r>
      <w:r>
        <w:rPr>
          <w:rFonts w:hint="default" w:ascii="Times New Roman" w:hAnsi="Times New Roman" w:cs="Times New Roman"/>
          <w:color w:val="auto"/>
          <w:kern w:val="0"/>
          <w:highlight w:val="none"/>
          <w:vertAlign w:val="superscript"/>
          <w:lang w:val="en-US" w:eastAsia="zh-CN"/>
        </w:rPr>
        <w:t>2</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，小于2km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本项目生态影响评价等级为三级。</w:t>
      </w:r>
    </w:p>
    <w:p>
      <w:pPr>
        <w:pStyle w:val="5"/>
        <w:keepNext/>
        <w:keepLines/>
        <w:pageBreakBefore w:val="0"/>
        <w:widowControl w:val="0"/>
        <w:kinsoku/>
        <w:wordWrap/>
        <w:overflowPunct/>
        <w:topLinePunct w:val="0"/>
        <w:autoSpaceDE/>
        <w:autoSpaceDN/>
        <w:bidi w:val="0"/>
        <w:adjustRightInd w:val="0"/>
        <w:snapToGrid w:val="0"/>
        <w:spacing w:before="157" w:beforeLines="50"/>
        <w:ind w:left="0" w:leftChars="0" w:right="0" w:rightChars="0" w:firstLine="0" w:firstLineChars="0"/>
        <w:textAlignment w:val="auto"/>
        <w:rPr>
          <w:rFonts w:hint="default" w:ascii="Times New Roman" w:hAnsi="Times New Roman" w:cs="Times New Roman"/>
          <w:color w:val="auto"/>
          <w:highlight w:val="none"/>
        </w:rPr>
      </w:pPr>
      <w:bookmarkStart w:id="102" w:name="_Toc17061"/>
      <w:r>
        <w:rPr>
          <w:rFonts w:hint="default" w:ascii="Times New Roman" w:hAnsi="Times New Roman" w:cs="Times New Roman"/>
          <w:color w:val="auto"/>
          <w:highlight w:val="none"/>
        </w:rPr>
        <w:t>风险评价</w:t>
      </w:r>
      <w:bookmarkEnd w:id="102"/>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依据《建设项目环境风险评价技术导则》（HJ 169-2018）的有关规定，建设项目环境风险评价工作等级按表2.</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0</w:t>
      </w:r>
      <w:r>
        <w:rPr>
          <w:rFonts w:hint="default" w:ascii="Times New Roman" w:hAnsi="Times New Roman" w:cs="Times New Roman"/>
          <w:color w:val="auto"/>
          <w:highlight w:val="none"/>
        </w:rPr>
        <w:t>划定。</w:t>
      </w:r>
    </w:p>
    <w:p>
      <w:pPr>
        <w:pStyle w:val="50"/>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表2.</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-1</w:t>
      </w:r>
      <w:r>
        <w:rPr>
          <w:rFonts w:hint="default"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rPr>
        <w:t xml:space="preserve">   风险评级等级</w:t>
      </w:r>
    </w:p>
    <w:tbl>
      <w:tblPr>
        <w:tblStyle w:val="3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752"/>
        <w:gridCol w:w="1753"/>
        <w:gridCol w:w="1746"/>
        <w:gridCol w:w="1753"/>
        <w:gridCol w:w="1711"/>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38" w:hRule="atLeast"/>
          <w:jc w:val="center"/>
        </w:trPr>
        <w:tc>
          <w:tcPr>
            <w:tcW w:w="1005"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环境风险潜势</w:t>
            </w:r>
          </w:p>
        </w:tc>
        <w:tc>
          <w:tcPr>
            <w:tcW w:w="1006"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Ⅳ、Ⅳ+</w:t>
            </w:r>
          </w:p>
        </w:tc>
        <w:tc>
          <w:tcPr>
            <w:tcW w:w="1002"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Ⅲ</w:t>
            </w:r>
          </w:p>
        </w:tc>
        <w:tc>
          <w:tcPr>
            <w:tcW w:w="1006"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Ⅱ</w:t>
            </w:r>
          </w:p>
        </w:tc>
        <w:tc>
          <w:tcPr>
            <w:tcW w:w="979"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9" w:hRule="atLeast"/>
          <w:jc w:val="center"/>
        </w:trPr>
        <w:tc>
          <w:tcPr>
            <w:tcW w:w="1005"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评价工作等级</w:t>
            </w:r>
          </w:p>
        </w:tc>
        <w:tc>
          <w:tcPr>
            <w:tcW w:w="1006"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w:t>
            </w:r>
          </w:p>
        </w:tc>
        <w:tc>
          <w:tcPr>
            <w:tcW w:w="1002"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w:t>
            </w:r>
          </w:p>
        </w:tc>
        <w:tc>
          <w:tcPr>
            <w:tcW w:w="1006"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w:t>
            </w:r>
          </w:p>
        </w:tc>
        <w:tc>
          <w:tcPr>
            <w:tcW w:w="979"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简单分析</w:t>
            </w:r>
            <w:r>
              <w:rPr>
                <w:rFonts w:hint="default" w:ascii="Times New Roman" w:hAnsi="Times New Roman" w:cs="Times New Roman"/>
                <w:color w:val="auto"/>
                <w:sz w:val="21"/>
                <w:szCs w:val="21"/>
                <w:highlight w:val="none"/>
                <w:vertAlign w:val="superscript"/>
              </w:rPr>
              <w:t>a</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040" w:hRule="atLeast"/>
          <w:jc w:val="center"/>
        </w:trPr>
        <w:tc>
          <w:tcPr>
            <w:tcW w:w="5000" w:type="pct"/>
            <w:gridSpan w:val="5"/>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a是相对于详细评价工作而言，在描述危险物质、环境影响途径、环境危害后果、风险防范措施等方面给出定性的说明，见附录A。</w:t>
            </w:r>
          </w:p>
        </w:tc>
      </w:tr>
    </w:tbl>
    <w:p>
      <w:pPr>
        <w:keepNext w:val="0"/>
        <w:keepLines w:val="0"/>
        <w:pageBreakBefore w:val="0"/>
        <w:widowControl w:val="0"/>
        <w:kinsoku/>
        <w:wordWrap/>
        <w:overflowPunct/>
        <w:topLinePunct w:val="0"/>
        <w:autoSpaceDE/>
        <w:autoSpaceDN/>
        <w:bidi w:val="0"/>
        <w:adjustRightInd w:val="0"/>
        <w:snapToGrid w:val="0"/>
        <w:spacing w:before="157" w:beforeLines="50"/>
        <w:ind w:left="0" w:leftChars="0" w:right="0" w:rightChars="0" w:firstLine="480"/>
        <w:textAlignment w:val="auto"/>
        <w:rPr>
          <w:rFonts w:hint="default" w:ascii="Times New Roman" w:hAnsi="Times New Roman" w:cs="Times New Roman"/>
          <w:color w:val="auto"/>
          <w:highlight w:val="yellow"/>
        </w:rPr>
      </w:pPr>
      <w:r>
        <w:rPr>
          <w:rFonts w:hint="default" w:ascii="Times New Roman" w:hAnsi="Times New Roman" w:cs="Times New Roman"/>
          <w:color w:val="auto"/>
          <w:highlight w:val="none"/>
        </w:rPr>
        <w:t>建设项目环境风险潜势划分为Ⅰ、Ⅱ、Ⅲ、Ⅳ/Ⅳ+级。根据建设项目涉及的物质和工艺系统的危险性及其所在地的环境敏感程度，结合事故情形下环境影响途径，对建设项目潜在环境危害程度进行分析。本项目为</w:t>
      </w:r>
      <w:r>
        <w:rPr>
          <w:rFonts w:hint="default" w:ascii="Times New Roman" w:hAnsi="Times New Roman" w:cs="Times New Roman"/>
          <w:color w:val="auto"/>
          <w:highlight w:val="none"/>
          <w:lang w:val="en-US" w:eastAsia="zh-CN"/>
        </w:rPr>
        <w:t>畜禽</w:t>
      </w:r>
      <w:r>
        <w:rPr>
          <w:rFonts w:hint="default" w:ascii="Times New Roman" w:hAnsi="Times New Roman" w:cs="Times New Roman"/>
          <w:color w:val="auto"/>
          <w:highlight w:val="none"/>
          <w:lang w:eastAsia="zh-CN"/>
        </w:rPr>
        <w:t>养殖基地</w:t>
      </w:r>
      <w:r>
        <w:rPr>
          <w:rFonts w:hint="default" w:ascii="Times New Roman" w:hAnsi="Times New Roman" w:cs="Times New Roman"/>
          <w:color w:val="auto"/>
          <w:highlight w:val="none"/>
          <w:lang w:val="en-US" w:eastAsia="zh-CN"/>
        </w:rPr>
        <w:t>建设</w:t>
      </w:r>
      <w:r>
        <w:rPr>
          <w:rFonts w:hint="default" w:ascii="Times New Roman" w:hAnsi="Times New Roman" w:cs="Times New Roman"/>
          <w:color w:val="auto"/>
          <w:highlight w:val="none"/>
        </w:rPr>
        <w:t>项目，项目在运营过程中会产生H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等恶臭气体，但其属于无组织排放的气体，不进行储存</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本项目</w:t>
      </w:r>
      <w:r>
        <w:rPr>
          <w:rFonts w:hint="default" w:ascii="Times New Roman" w:hAnsi="Times New Roman" w:cs="Times New Roman"/>
          <w:color w:val="auto"/>
          <w:highlight w:val="none"/>
        </w:rPr>
        <w:t>Q＜1。因此，本项目环境风险潜势为Ⅰ，本次评价只对环境风险进行简单分析。</w:t>
      </w:r>
    </w:p>
    <w:p>
      <w:pPr>
        <w:pStyle w:val="4"/>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103" w:name="_Toc960"/>
      <w:bookmarkStart w:id="104" w:name="_Toc2587"/>
      <w:bookmarkStart w:id="105" w:name="_Toc1089"/>
      <w:r>
        <w:rPr>
          <w:rFonts w:hint="default" w:ascii="Times New Roman" w:hAnsi="Times New Roman" w:cs="Times New Roman"/>
          <w:color w:val="auto"/>
          <w:highlight w:val="none"/>
        </w:rPr>
        <w:t>评价范围</w:t>
      </w:r>
      <w:bookmarkEnd w:id="103"/>
      <w:bookmarkEnd w:id="104"/>
      <w:bookmarkEnd w:id="105"/>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根据本次评价工作等级，确定的各环境要素的评价范围如下：</w:t>
      </w:r>
    </w:p>
    <w:p>
      <w:pPr>
        <w:pageBreakBefore w:val="0"/>
        <w:numPr>
          <w:ilvl w:val="0"/>
          <w:numId w:val="13"/>
        </w:numPr>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大气环境：以</w:t>
      </w:r>
      <w:r>
        <w:rPr>
          <w:rFonts w:hint="default" w:ascii="Times New Roman" w:hAnsi="Times New Roman" w:cs="Times New Roman"/>
          <w:color w:val="auto"/>
          <w:highlight w:val="none"/>
          <w:lang w:eastAsia="zh-CN"/>
        </w:rPr>
        <w:t>场址</w:t>
      </w:r>
      <w:r>
        <w:rPr>
          <w:rFonts w:hint="default" w:ascii="Times New Roman" w:hAnsi="Times New Roman" w:cs="Times New Roman"/>
          <w:color w:val="auto"/>
          <w:highlight w:val="none"/>
        </w:rPr>
        <w:t>为中心，边长5km的矩形区域；</w:t>
      </w:r>
    </w:p>
    <w:p>
      <w:pPr>
        <w:pageBreakBefore w:val="0"/>
        <w:numPr>
          <w:ilvl w:val="0"/>
          <w:numId w:val="13"/>
        </w:numPr>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地表水环境：三级B，不设置评价范围。</w:t>
      </w:r>
    </w:p>
    <w:p>
      <w:pPr>
        <w:pageBreakBefore w:val="0"/>
        <w:numPr>
          <w:ilvl w:val="0"/>
          <w:numId w:val="13"/>
        </w:numPr>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rPr>
        <w:t>地下水</w:t>
      </w:r>
      <w:r>
        <w:rPr>
          <w:rFonts w:hint="default" w:ascii="Times New Roman" w:hAnsi="Times New Roman" w:cs="Times New Roman"/>
          <w:color w:val="auto"/>
          <w:highlight w:val="none"/>
        </w:rPr>
        <w:t>环境：</w:t>
      </w:r>
      <w:r>
        <w:rPr>
          <w:rFonts w:hint="default" w:ascii="Times New Roman" w:hAnsi="Times New Roman" w:cs="Times New Roman"/>
          <w:color w:val="auto"/>
          <w:spacing w:val="4"/>
          <w:highlight w:val="none"/>
        </w:rPr>
        <w:t>根据</w:t>
      </w:r>
      <w:r>
        <w:rPr>
          <w:rFonts w:hint="default" w:ascii="Times New Roman" w:hAnsi="Times New Roman" w:cs="Times New Roman"/>
          <w:color w:val="auto"/>
        </w:rPr>
        <w:t>《环境影响评价技术导则</w:t>
      </w:r>
      <w:r>
        <w:rPr>
          <w:rFonts w:hint="eastAsia" w:ascii="Times New Roman" w:hAnsi="Times New Roman" w:cs="Times New Roman"/>
          <w:color w:val="auto"/>
          <w:lang w:val="en-US" w:eastAsia="zh-CN"/>
        </w:rPr>
        <w:t xml:space="preserve"> </w:t>
      </w:r>
      <w:r>
        <w:rPr>
          <w:rFonts w:hint="default" w:ascii="Times New Roman" w:hAnsi="Times New Roman" w:cs="Times New Roman"/>
          <w:color w:val="auto"/>
        </w:rPr>
        <w:t>地下水环境》（HJ610</w:t>
      </w:r>
      <w:r>
        <w:rPr>
          <w:rFonts w:hint="eastAsia" w:ascii="Times New Roman" w:hAnsi="Times New Roman" w:cs="Times New Roman"/>
          <w:color w:val="auto"/>
          <w:lang w:val="en-US" w:eastAsia="zh-CN"/>
        </w:rPr>
        <w:t>-</w:t>
      </w:r>
      <w:r>
        <w:rPr>
          <w:rFonts w:hint="default" w:ascii="Times New Roman" w:hAnsi="Times New Roman" w:cs="Times New Roman"/>
          <w:color w:val="auto"/>
        </w:rPr>
        <w:t>2016）中评价范围确定的原则，采用查表法确定评价范围，</w:t>
      </w:r>
      <w:r>
        <w:rPr>
          <w:rFonts w:hint="eastAsia" w:cs="Times New Roman"/>
          <w:color w:val="auto"/>
          <w:lang w:val="en-US" w:eastAsia="zh-CN"/>
        </w:rPr>
        <w:t>本项目地下水评价等级为三级评价。</w:t>
      </w:r>
      <w:r>
        <w:rPr>
          <w:rFonts w:hint="default" w:ascii="Times New Roman" w:hAnsi="Times New Roman" w:cs="Times New Roman"/>
          <w:color w:val="auto"/>
          <w:lang w:val="en-US" w:eastAsia="zh-CN"/>
        </w:rPr>
        <w:t>见表2.</w:t>
      </w:r>
      <w:r>
        <w:rPr>
          <w:rFonts w:hint="eastAsia" w:cs="Times New Roman"/>
          <w:color w:val="auto"/>
          <w:lang w:val="en-US" w:eastAsia="zh-CN"/>
        </w:rPr>
        <w:t>6</w:t>
      </w:r>
      <w:r>
        <w:rPr>
          <w:rFonts w:hint="default" w:ascii="Times New Roman" w:hAnsi="Times New Roman" w:cs="Times New Roman"/>
          <w:color w:val="auto"/>
          <w:lang w:val="en-US" w:eastAsia="zh-CN"/>
        </w:rPr>
        <w:t>-1。</w:t>
      </w:r>
    </w:p>
    <w:p>
      <w:pPr>
        <w:pStyle w:val="50"/>
        <w:keepNext w:val="0"/>
        <w:keepLines w:val="0"/>
        <w:pageBreakBefore w:val="0"/>
        <w:widowControl w:val="0"/>
        <w:kinsoku/>
        <w:wordWrap/>
        <w:overflowPunct/>
        <w:topLinePunct w:val="0"/>
        <w:autoSpaceDE/>
        <w:bidi w:val="0"/>
        <w:adjustRightInd w:val="0"/>
        <w:snapToGrid/>
        <w:spacing w:after="0"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表2.</w:t>
      </w:r>
      <w:r>
        <w:rPr>
          <w:rFonts w:hint="eastAsia" w:ascii="Times New Roman" w:hAnsi="Times New Roman" w:cs="Times New Roman"/>
          <w:color w:val="auto"/>
          <w:sz w:val="21"/>
          <w:szCs w:val="21"/>
          <w:lang w:val="en-US" w:eastAsia="zh-CN"/>
        </w:rPr>
        <w:t>6</w:t>
      </w:r>
      <w:r>
        <w:rPr>
          <w:rFonts w:hint="default" w:ascii="Times New Roman" w:hAnsi="Times New Roman" w:cs="Times New Roman"/>
          <w:color w:val="auto"/>
          <w:sz w:val="21"/>
          <w:szCs w:val="21"/>
        </w:rPr>
        <w:t>-1          地下水环境现状调查评价范围参照表</w:t>
      </w:r>
    </w:p>
    <w:tbl>
      <w:tblPr>
        <w:tblStyle w:val="39"/>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429"/>
        <w:gridCol w:w="2522"/>
        <w:gridCol w:w="3769"/>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393" w:type="pct"/>
            <w:tcBorders>
              <w:tl2br w:val="nil"/>
              <w:tr2bl w:val="nil"/>
            </w:tcBorders>
            <w:vAlign w:val="center"/>
          </w:tcPr>
          <w:p>
            <w:pPr>
              <w:keepNext w:val="0"/>
              <w:keepLines w:val="0"/>
              <w:pageBreakBefore w:val="0"/>
              <w:widowControl w:val="0"/>
              <w:kinsoku/>
              <w:wordWrap/>
              <w:overflowPunct/>
              <w:topLinePunct w:val="0"/>
              <w:autoSpaceDE/>
              <w:autoSpaceDN w:val="0"/>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评价等级</w:t>
            </w:r>
          </w:p>
        </w:tc>
        <w:tc>
          <w:tcPr>
            <w:tcW w:w="1446" w:type="pct"/>
            <w:tcBorders>
              <w:tl2br w:val="nil"/>
              <w:tr2bl w:val="nil"/>
            </w:tcBorders>
            <w:vAlign w:val="center"/>
          </w:tcPr>
          <w:p>
            <w:pPr>
              <w:keepNext w:val="0"/>
              <w:keepLines w:val="0"/>
              <w:pageBreakBefore w:val="0"/>
              <w:widowControl w:val="0"/>
              <w:kinsoku/>
              <w:wordWrap/>
              <w:overflowPunct/>
              <w:topLinePunct w:val="0"/>
              <w:autoSpaceDE/>
              <w:autoSpaceDN w:val="0"/>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调查评价范围（</w:t>
            </w:r>
            <w:r>
              <w:rPr>
                <w:rFonts w:hint="default" w:ascii="Times New Roman" w:hAnsi="Times New Roman" w:cs="Times New Roman"/>
                <w:color w:val="auto"/>
                <w:sz w:val="21"/>
                <w:szCs w:val="21"/>
                <w:highlight w:val="none"/>
              </w:rPr>
              <w:t>km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rPr>
              <w:t>）</w:t>
            </w:r>
          </w:p>
        </w:tc>
        <w:tc>
          <w:tcPr>
            <w:tcW w:w="2161" w:type="pct"/>
            <w:tcBorders>
              <w:tl2br w:val="nil"/>
              <w:tr2bl w:val="nil"/>
            </w:tcBorders>
            <w:vAlign w:val="center"/>
          </w:tcPr>
          <w:p>
            <w:pPr>
              <w:keepNext w:val="0"/>
              <w:keepLines w:val="0"/>
              <w:pageBreakBefore w:val="0"/>
              <w:widowControl w:val="0"/>
              <w:kinsoku/>
              <w:wordWrap/>
              <w:overflowPunct/>
              <w:topLinePunct w:val="0"/>
              <w:autoSpaceDE/>
              <w:autoSpaceDN w:val="0"/>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393" w:type="pct"/>
            <w:tcBorders>
              <w:tl2br w:val="nil"/>
              <w:tr2bl w:val="nil"/>
            </w:tcBorders>
            <w:vAlign w:val="center"/>
          </w:tcPr>
          <w:p>
            <w:pPr>
              <w:keepNext w:val="0"/>
              <w:keepLines w:val="0"/>
              <w:pageBreakBefore w:val="0"/>
              <w:widowControl w:val="0"/>
              <w:kinsoku/>
              <w:wordWrap/>
              <w:overflowPunct/>
              <w:topLinePunct w:val="0"/>
              <w:autoSpaceDE/>
              <w:autoSpaceDN w:val="0"/>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一级</w:t>
            </w:r>
          </w:p>
        </w:tc>
        <w:tc>
          <w:tcPr>
            <w:tcW w:w="1446" w:type="pct"/>
            <w:tcBorders>
              <w:tl2br w:val="nil"/>
              <w:tr2bl w:val="nil"/>
            </w:tcBorders>
            <w:vAlign w:val="center"/>
          </w:tcPr>
          <w:p>
            <w:pPr>
              <w:keepNext w:val="0"/>
              <w:keepLines w:val="0"/>
              <w:pageBreakBefore w:val="0"/>
              <w:widowControl w:val="0"/>
              <w:kinsoku/>
              <w:wordWrap/>
              <w:overflowPunct/>
              <w:topLinePunct w:val="0"/>
              <w:autoSpaceDE/>
              <w:autoSpaceDN w:val="0"/>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2161" w:type="pct"/>
            <w:vMerge w:val="restart"/>
            <w:tcBorders>
              <w:tl2br w:val="nil"/>
              <w:tr2bl w:val="nil"/>
            </w:tcBorders>
            <w:vAlign w:val="center"/>
          </w:tcPr>
          <w:p>
            <w:pPr>
              <w:keepNext w:val="0"/>
              <w:keepLines w:val="0"/>
              <w:pageBreakBefore w:val="0"/>
              <w:widowControl w:val="0"/>
              <w:kinsoku/>
              <w:wordWrap/>
              <w:overflowPunct/>
              <w:topLinePunct w:val="0"/>
              <w:autoSpaceDE/>
              <w:autoSpaceDN w:val="0"/>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应包括重要的地下水环境保护目标，必要时适当扩大范围。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393" w:type="pct"/>
            <w:tcBorders>
              <w:tl2br w:val="nil"/>
              <w:tr2bl w:val="nil"/>
            </w:tcBorders>
            <w:vAlign w:val="center"/>
          </w:tcPr>
          <w:p>
            <w:pPr>
              <w:keepNext w:val="0"/>
              <w:keepLines w:val="0"/>
              <w:pageBreakBefore w:val="0"/>
              <w:widowControl w:val="0"/>
              <w:kinsoku/>
              <w:wordWrap/>
              <w:overflowPunct/>
              <w:topLinePunct w:val="0"/>
              <w:autoSpaceDE/>
              <w:autoSpaceDN w:val="0"/>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二级</w:t>
            </w:r>
          </w:p>
        </w:tc>
        <w:tc>
          <w:tcPr>
            <w:tcW w:w="1446" w:type="pct"/>
            <w:tcBorders>
              <w:tl2br w:val="nil"/>
              <w:tr2bl w:val="nil"/>
            </w:tcBorders>
            <w:vAlign w:val="center"/>
          </w:tcPr>
          <w:p>
            <w:pPr>
              <w:keepNext w:val="0"/>
              <w:keepLines w:val="0"/>
              <w:pageBreakBefore w:val="0"/>
              <w:widowControl w:val="0"/>
              <w:kinsoku/>
              <w:wordWrap/>
              <w:overflowPunct/>
              <w:topLinePunct w:val="0"/>
              <w:autoSpaceDE/>
              <w:autoSpaceDN w:val="0"/>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6～20</w:t>
            </w:r>
          </w:p>
        </w:tc>
        <w:tc>
          <w:tcPr>
            <w:tcW w:w="2161" w:type="pct"/>
            <w:vMerge w:val="continue"/>
            <w:tcBorders>
              <w:tl2br w:val="nil"/>
              <w:tr2bl w:val="nil"/>
            </w:tcBorders>
            <w:vAlign w:val="center"/>
          </w:tcPr>
          <w:p>
            <w:pPr>
              <w:keepNext w:val="0"/>
              <w:keepLines w:val="0"/>
              <w:pageBreakBefore w:val="0"/>
              <w:widowControl w:val="0"/>
              <w:kinsoku/>
              <w:wordWrap/>
              <w:overflowPunct/>
              <w:topLinePunct w:val="0"/>
              <w:autoSpaceDE/>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393" w:type="pct"/>
            <w:tcBorders>
              <w:tl2br w:val="nil"/>
              <w:tr2bl w:val="nil"/>
            </w:tcBorders>
            <w:shd w:val="clear" w:color="auto" w:fill="D7D7D7" w:themeFill="background1" w:themeFillShade="D8"/>
            <w:vAlign w:val="center"/>
          </w:tcPr>
          <w:p>
            <w:pPr>
              <w:keepNext w:val="0"/>
              <w:keepLines w:val="0"/>
              <w:pageBreakBefore w:val="0"/>
              <w:widowControl w:val="0"/>
              <w:kinsoku/>
              <w:wordWrap/>
              <w:overflowPunct/>
              <w:topLinePunct w:val="0"/>
              <w:autoSpaceDE/>
              <w:autoSpaceDN w:val="0"/>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三级</w:t>
            </w:r>
          </w:p>
        </w:tc>
        <w:tc>
          <w:tcPr>
            <w:tcW w:w="1446" w:type="pct"/>
            <w:tcBorders>
              <w:tl2br w:val="nil"/>
              <w:tr2bl w:val="nil"/>
            </w:tcBorders>
            <w:shd w:val="clear" w:color="auto" w:fill="D7D7D7" w:themeFill="background1" w:themeFillShade="D8"/>
            <w:vAlign w:val="center"/>
          </w:tcPr>
          <w:p>
            <w:pPr>
              <w:keepNext w:val="0"/>
              <w:keepLines w:val="0"/>
              <w:pageBreakBefore w:val="0"/>
              <w:widowControl w:val="0"/>
              <w:kinsoku/>
              <w:wordWrap/>
              <w:overflowPunct/>
              <w:topLinePunct w:val="0"/>
              <w:autoSpaceDE/>
              <w:autoSpaceDN w:val="0"/>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2161" w:type="pct"/>
            <w:vMerge w:val="continue"/>
            <w:tcBorders>
              <w:tl2br w:val="nil"/>
              <w:tr2bl w:val="nil"/>
            </w:tcBorders>
            <w:vAlign w:val="center"/>
          </w:tcPr>
          <w:p>
            <w:pPr>
              <w:keepNext w:val="0"/>
              <w:keepLines w:val="0"/>
              <w:pageBreakBefore w:val="0"/>
              <w:widowControl w:val="0"/>
              <w:kinsoku/>
              <w:wordWrap/>
              <w:overflowPunct/>
              <w:topLinePunct w:val="0"/>
              <w:autoSpaceDE/>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rPr>
            </w:pPr>
          </w:p>
        </w:tc>
      </w:tr>
    </w:tbl>
    <w:p>
      <w:pPr>
        <w:keepNext w:val="0"/>
        <w:keepLines w:val="0"/>
        <w:pageBreakBefore w:val="0"/>
        <w:widowControl w:val="0"/>
        <w:kinsoku/>
        <w:wordWrap/>
        <w:overflowPunct/>
        <w:topLinePunct w:val="0"/>
        <w:autoSpaceDE/>
        <w:autoSpaceDN/>
        <w:bidi w:val="0"/>
        <w:adjustRightInd w:val="0"/>
        <w:snapToGrid w:val="0"/>
        <w:spacing w:before="157" w:beforeLines="50"/>
        <w:ind w:left="0" w:leftChars="0" w:right="0" w:rightChars="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rPr>
        <w:t>根据《环境影响</w:t>
      </w:r>
      <w:r>
        <w:rPr>
          <w:rFonts w:hint="default" w:ascii="Times New Roman" w:hAnsi="Times New Roman" w:cs="Times New Roman"/>
          <w:color w:val="auto"/>
          <w:highlight w:val="none"/>
        </w:rPr>
        <w:t>评价</w:t>
      </w:r>
      <w:r>
        <w:rPr>
          <w:rFonts w:hint="default" w:ascii="Times New Roman" w:hAnsi="Times New Roman" w:cs="Times New Roman"/>
          <w:color w:val="auto"/>
        </w:rPr>
        <w:t>技术导则 地下水环境》（HJ610-2016），水文地质条件、地下水流动特征和周边敏感点位置，同时考虑便于开展调查评价工作，</w:t>
      </w:r>
      <w:r>
        <w:rPr>
          <w:rFonts w:hint="default" w:ascii="Times New Roman" w:hAnsi="Times New Roman" w:cs="Times New Roman"/>
          <w:color w:val="auto"/>
          <w:spacing w:val="4"/>
          <w:highlight w:val="none"/>
        </w:rPr>
        <w:t>以项目区为中心，上游1km，下游3km，侧向0.75km范围，</w:t>
      </w:r>
      <w:r>
        <w:rPr>
          <w:rFonts w:hint="default" w:ascii="Times New Roman" w:hAnsi="Times New Roman" w:cs="Times New Roman"/>
          <w:color w:val="auto"/>
        </w:rPr>
        <w:t>调查评价区的面积</w:t>
      </w:r>
      <w:r>
        <w:rPr>
          <w:rFonts w:hint="default" w:ascii="Times New Roman" w:hAnsi="Times New Roman" w:cs="Times New Roman"/>
          <w:color w:val="auto"/>
          <w:spacing w:val="4"/>
          <w:highlight w:val="none"/>
        </w:rPr>
        <w:t>约6km</w:t>
      </w:r>
      <w:r>
        <w:rPr>
          <w:rFonts w:hint="default" w:ascii="Times New Roman" w:hAnsi="Times New Roman" w:cs="Times New Roman"/>
          <w:color w:val="auto"/>
          <w:spacing w:val="4"/>
          <w:highlight w:val="none"/>
          <w:vertAlign w:val="superscript"/>
        </w:rPr>
        <w:t>2</w:t>
      </w:r>
      <w:r>
        <w:rPr>
          <w:rFonts w:hint="default" w:ascii="Times New Roman" w:hAnsi="Times New Roman" w:cs="Times New Roman"/>
          <w:color w:val="auto"/>
          <w:highlight w:val="none"/>
        </w:rPr>
        <w:t>。</w:t>
      </w:r>
    </w:p>
    <w:p>
      <w:pPr>
        <w:pageBreakBefore w:val="0"/>
        <w:numPr>
          <w:ilvl w:val="0"/>
          <w:numId w:val="13"/>
        </w:numPr>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声环境：东、南、西、北</w:t>
      </w:r>
      <w:r>
        <w:rPr>
          <w:rFonts w:hint="default" w:ascii="Times New Roman" w:hAnsi="Times New Roman" w:cs="Times New Roman"/>
          <w:color w:val="auto"/>
          <w:highlight w:val="none"/>
          <w:lang w:eastAsia="zh-CN"/>
        </w:rPr>
        <w:t>场界</w:t>
      </w:r>
      <w:r>
        <w:rPr>
          <w:rFonts w:hint="default" w:ascii="Times New Roman" w:hAnsi="Times New Roman" w:eastAsia="宋体" w:cs="Times New Roman"/>
          <w:color w:val="auto"/>
          <w:highlight w:val="none"/>
        </w:rPr>
        <w:t>外1m范围；</w:t>
      </w:r>
    </w:p>
    <w:p>
      <w:pPr>
        <w:pageBreakBefore w:val="0"/>
        <w:numPr>
          <w:ilvl w:val="0"/>
          <w:numId w:val="13"/>
        </w:numPr>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t>土壤</w:t>
      </w:r>
      <w:r>
        <w:rPr>
          <w:rFonts w:hint="default" w:ascii="Times New Roman" w:hAnsi="Times New Roman" w:eastAsia="宋体" w:cs="Times New Roman"/>
          <w:color w:val="auto"/>
          <w:highlight w:val="none"/>
        </w:rPr>
        <w:t>环境：项目占地</w:t>
      </w:r>
      <w:r>
        <w:rPr>
          <w:rFonts w:hint="default" w:ascii="Times New Roman" w:hAnsi="Times New Roman" w:eastAsia="宋体" w:cs="Times New Roman"/>
          <w:color w:val="auto"/>
          <w:highlight w:val="none"/>
          <w:lang w:val="en-US" w:eastAsia="zh-CN"/>
        </w:rPr>
        <w:t>及占地</w:t>
      </w:r>
      <w:r>
        <w:rPr>
          <w:rFonts w:hint="default" w:ascii="Times New Roman" w:hAnsi="Times New Roman" w:eastAsia="宋体" w:cs="Times New Roman"/>
          <w:color w:val="auto"/>
          <w:highlight w:val="none"/>
        </w:rPr>
        <w:t>范围外0.05km范围内的区域。</w:t>
      </w:r>
    </w:p>
    <w:p>
      <w:pPr>
        <w:pageBreakBefore w:val="0"/>
        <w:numPr>
          <w:ilvl w:val="0"/>
          <w:numId w:val="13"/>
        </w:numPr>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生态：项目占地区域及项目场界向外延</w:t>
      </w:r>
      <w:r>
        <w:rPr>
          <w:rFonts w:hint="default" w:ascii="Times New Roman" w:hAnsi="Times New Roman" w:cs="Times New Roman"/>
          <w:color w:val="auto"/>
          <w:highlight w:val="none"/>
          <w:lang w:val="en-US" w:eastAsia="zh-CN"/>
        </w:rPr>
        <w:t>0.05km</w:t>
      </w:r>
      <w:r>
        <w:rPr>
          <w:rFonts w:hint="default" w:ascii="Times New Roman" w:hAnsi="Times New Roman" w:eastAsia="宋体" w:cs="Times New Roman"/>
          <w:color w:val="auto"/>
          <w:highlight w:val="none"/>
        </w:rPr>
        <w:t>范围。</w:t>
      </w:r>
    </w:p>
    <w:p>
      <w:pPr>
        <w:pageBreakBefore w:val="0"/>
        <w:numPr>
          <w:ilvl w:val="0"/>
          <w:numId w:val="13"/>
        </w:numPr>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rPr>
        <w:t>环境</w:t>
      </w:r>
      <w:r>
        <w:rPr>
          <w:rFonts w:hint="default" w:ascii="Times New Roman" w:hAnsi="Times New Roman" w:cs="Times New Roman"/>
          <w:color w:val="auto"/>
          <w:spacing w:val="4"/>
          <w:highlight w:val="none"/>
        </w:rPr>
        <w:t>风险：仅进行简单分析，不设置评价范围。</w:t>
      </w:r>
    </w:p>
    <w:p>
      <w:pPr>
        <w:pStyle w:val="4"/>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106" w:name="_Toc20278"/>
      <w:bookmarkStart w:id="107" w:name="_Toc25857"/>
      <w:bookmarkStart w:id="108" w:name="_Toc25940"/>
      <w:bookmarkStart w:id="109" w:name="_Toc14773"/>
      <w:bookmarkStart w:id="110" w:name="_Toc19946"/>
      <w:bookmarkStart w:id="111" w:name="_Toc8537"/>
      <w:r>
        <w:rPr>
          <w:rFonts w:hint="default" w:ascii="Times New Roman" w:hAnsi="Times New Roman" w:cs="Times New Roman"/>
          <w:color w:val="auto"/>
          <w:highlight w:val="none"/>
        </w:rPr>
        <w:t xml:space="preserve"> </w:t>
      </w:r>
      <w:bookmarkEnd w:id="106"/>
      <w:bookmarkEnd w:id="107"/>
      <w:bookmarkEnd w:id="108"/>
      <w:bookmarkEnd w:id="109"/>
      <w:bookmarkEnd w:id="110"/>
      <w:bookmarkEnd w:id="111"/>
      <w:bookmarkStart w:id="112" w:name="_Toc11702"/>
      <w:bookmarkStart w:id="113" w:name="_Toc24661"/>
      <w:bookmarkStart w:id="114" w:name="_Toc1926"/>
      <w:r>
        <w:rPr>
          <w:rFonts w:hint="default" w:ascii="Times New Roman" w:hAnsi="Times New Roman" w:cs="Times New Roman"/>
          <w:color w:val="auto"/>
          <w:highlight w:val="none"/>
        </w:rPr>
        <w:t>主要环境保护目标</w:t>
      </w:r>
      <w:bookmarkEnd w:id="112"/>
      <w:bookmarkEnd w:id="113"/>
      <w:bookmarkEnd w:id="114"/>
    </w:p>
    <w:bookmarkEnd w:id="97"/>
    <w:p>
      <w:pPr>
        <w:pageBreakBefore w:val="0"/>
        <w:wordWrap/>
        <w:bidi w:val="0"/>
        <w:adjustRightInd w:val="0"/>
        <w:ind w:left="0" w:leftChars="0" w:right="0" w:rightChars="0" w:firstLine="480"/>
        <w:rPr>
          <w:rFonts w:hint="default" w:ascii="Times New Roman" w:hAnsi="Times New Roman" w:cs="Times New Roman"/>
          <w:color w:val="auto"/>
          <w:highlight w:val="yellow"/>
        </w:rPr>
      </w:pPr>
      <w:r>
        <w:rPr>
          <w:rFonts w:hint="default" w:ascii="Times New Roman" w:hAnsi="Times New Roman" w:cs="Times New Roman"/>
          <w:color w:val="auto"/>
          <w:kern w:val="0"/>
          <w:highlight w:val="none"/>
          <w:lang w:val="en-GB"/>
        </w:rPr>
        <w:t>本项目位于</w:t>
      </w:r>
      <w:r>
        <w:rPr>
          <w:rFonts w:hint="default" w:ascii="Times New Roman" w:hAnsi="Times New Roman" w:cs="Times New Roman"/>
          <w:color w:val="auto"/>
          <w:highlight w:val="none"/>
          <w:lang w:eastAsia="zh-CN"/>
        </w:rPr>
        <w:t>塔城市博孜达克镇三园子村</w:t>
      </w:r>
      <w:r>
        <w:rPr>
          <w:rFonts w:hint="default" w:ascii="Times New Roman" w:hAnsi="Times New Roman" w:cs="Times New Roman"/>
          <w:color w:val="auto"/>
          <w:kern w:val="0"/>
          <w:highlight w:val="none"/>
          <w:lang w:val="en-GB"/>
        </w:rPr>
        <w:t>，项目区</w:t>
      </w:r>
      <w:r>
        <w:rPr>
          <w:rFonts w:hint="default" w:ascii="Times New Roman" w:hAnsi="Times New Roman" w:cs="Times New Roman"/>
          <w:color w:val="auto"/>
          <w:kern w:val="0"/>
          <w:highlight w:val="none"/>
          <w:lang w:val="en-US" w:eastAsia="zh-CN"/>
        </w:rPr>
        <w:t>四周</w:t>
      </w:r>
      <w:r>
        <w:rPr>
          <w:rFonts w:hint="default" w:ascii="Times New Roman" w:hAnsi="Times New Roman" w:cs="Times New Roman"/>
          <w:color w:val="auto"/>
          <w:kern w:val="0"/>
          <w:highlight w:val="none"/>
        </w:rPr>
        <w:t>为</w:t>
      </w:r>
      <w:r>
        <w:rPr>
          <w:rFonts w:hint="default" w:ascii="Times New Roman" w:hAnsi="Times New Roman" w:cs="Times New Roman"/>
          <w:color w:val="auto"/>
          <w:kern w:val="0"/>
          <w:highlight w:val="none"/>
          <w:lang w:val="en-US" w:eastAsia="zh-CN"/>
        </w:rPr>
        <w:t>空地</w:t>
      </w:r>
      <w:r>
        <w:rPr>
          <w:rFonts w:hint="default" w:ascii="Times New Roman" w:hAnsi="Times New Roman" w:cs="Times New Roman"/>
          <w:color w:val="auto"/>
          <w:kern w:val="0"/>
          <w:highlight w:val="none"/>
        </w:rPr>
        <w:t>，</w:t>
      </w:r>
      <w:r>
        <w:rPr>
          <w:rFonts w:hint="default" w:ascii="Times New Roman" w:hAnsi="Times New Roman" w:cs="Times New Roman"/>
          <w:color w:val="auto"/>
          <w:kern w:val="0"/>
          <w:highlight w:val="none"/>
          <w:lang w:val="en-US" w:eastAsia="zh-CN"/>
        </w:rPr>
        <w:t>距离本项目最近的居民点为本项目东南</w:t>
      </w:r>
      <w:r>
        <w:rPr>
          <w:rFonts w:hint="default" w:ascii="Times New Roman" w:hAnsi="Times New Roman" w:cs="Times New Roman"/>
          <w:color w:val="auto"/>
          <w:kern w:val="0"/>
          <w:highlight w:val="none"/>
        </w:rPr>
        <w:t>侧</w:t>
      </w:r>
      <w:r>
        <w:rPr>
          <w:rFonts w:hint="default" w:ascii="Times New Roman" w:hAnsi="Times New Roman" w:cs="Times New Roman"/>
          <w:color w:val="auto"/>
          <w:kern w:val="0"/>
          <w:highlight w:val="none"/>
          <w:lang w:val="en-US" w:eastAsia="zh-CN"/>
        </w:rPr>
        <w:t>2.8</w:t>
      </w:r>
      <w:r>
        <w:rPr>
          <w:rFonts w:hint="default" w:ascii="Times New Roman" w:hAnsi="Times New Roman" w:cs="Times New Roman"/>
          <w:color w:val="auto"/>
          <w:kern w:val="0"/>
          <w:highlight w:val="none"/>
        </w:rPr>
        <w:t>km</w:t>
      </w:r>
      <w:r>
        <w:rPr>
          <w:rFonts w:hint="default" w:ascii="Times New Roman" w:hAnsi="Times New Roman" w:cs="Times New Roman"/>
          <w:color w:val="auto"/>
          <w:kern w:val="0"/>
          <w:highlight w:val="none"/>
          <w:lang w:val="en-US" w:eastAsia="zh-CN"/>
        </w:rPr>
        <w:t>的博孜达克农场育种队</w:t>
      </w:r>
      <w:r>
        <w:rPr>
          <w:rFonts w:hint="default" w:ascii="Times New Roman" w:hAnsi="Times New Roman" w:cs="Times New Roman"/>
          <w:color w:val="auto"/>
          <w:kern w:val="0"/>
          <w:highlight w:val="none"/>
        </w:rPr>
        <w:t>居民点。</w:t>
      </w:r>
    </w:p>
    <w:p>
      <w:pPr>
        <w:pageBreakBefore w:val="0"/>
        <w:wordWrap/>
        <w:bidi w:val="0"/>
        <w:adjustRightInd w:val="0"/>
        <w:ind w:left="0" w:leftChars="0" w:right="0" w:rightChars="0" w:firstLine="480"/>
        <w:rPr>
          <w:rFonts w:hint="default" w:ascii="Times New Roman" w:hAnsi="Times New Roman" w:eastAsia="宋体" w:cs="Times New Roman"/>
          <w:color w:val="auto"/>
          <w:kern w:val="0"/>
          <w:highlight w:val="none"/>
          <w:lang w:val="en-GB"/>
        </w:rPr>
      </w:pPr>
      <w:r>
        <w:rPr>
          <w:rFonts w:hint="default" w:ascii="Times New Roman" w:hAnsi="Times New Roman" w:eastAsia="宋体" w:cs="Times New Roman"/>
          <w:color w:val="auto"/>
          <w:kern w:val="0"/>
          <w:highlight w:val="none"/>
          <w:lang w:val="en-GB"/>
        </w:rPr>
        <w:t>（1）环境空气</w:t>
      </w:r>
    </w:p>
    <w:p>
      <w:pPr>
        <w:pageBreakBefore w:val="0"/>
        <w:wordWrap/>
        <w:bidi w:val="0"/>
        <w:adjustRightInd w:val="0"/>
        <w:ind w:left="0" w:leftChars="0" w:right="0" w:rightChars="0" w:firstLine="480"/>
        <w:rPr>
          <w:rFonts w:hint="default" w:ascii="Times New Roman" w:hAnsi="Times New Roman" w:eastAsia="宋体" w:cs="Times New Roman"/>
          <w:color w:val="auto"/>
          <w:kern w:val="0"/>
          <w:highlight w:val="none"/>
          <w:lang w:val="en-GB"/>
        </w:rPr>
      </w:pPr>
      <w:r>
        <w:rPr>
          <w:rFonts w:hint="default" w:ascii="Times New Roman" w:hAnsi="Times New Roman" w:eastAsia="宋体" w:cs="Times New Roman"/>
          <w:color w:val="auto"/>
          <w:kern w:val="0"/>
          <w:highlight w:val="none"/>
          <w:lang w:val="en-GB"/>
        </w:rPr>
        <w:t>控制项目大气污染物达标排放，确保本项目实施后评价区域的空气质量依然符合《环境空气质量标准》（GB3095-2012）二级标准要求。</w:t>
      </w:r>
    </w:p>
    <w:p>
      <w:pPr>
        <w:pageBreakBefore w:val="0"/>
        <w:wordWrap/>
        <w:bidi w:val="0"/>
        <w:adjustRightInd w:val="0"/>
        <w:ind w:left="0" w:leftChars="0" w:right="0" w:rightChars="0" w:firstLine="480"/>
        <w:rPr>
          <w:rFonts w:hint="default" w:ascii="Times New Roman" w:hAnsi="Times New Roman" w:eastAsia="宋体" w:cs="Times New Roman"/>
          <w:color w:val="auto"/>
          <w:kern w:val="0"/>
          <w:highlight w:val="none"/>
          <w:lang w:val="en-GB"/>
        </w:rPr>
      </w:pPr>
      <w:r>
        <w:rPr>
          <w:rFonts w:hint="default" w:ascii="Times New Roman" w:hAnsi="Times New Roman" w:eastAsia="宋体" w:cs="Times New Roman"/>
          <w:color w:val="auto"/>
          <w:kern w:val="0"/>
          <w:highlight w:val="none"/>
          <w:lang w:val="en-GB"/>
        </w:rPr>
        <w:t>（2）水环境</w:t>
      </w:r>
    </w:p>
    <w:p>
      <w:pPr>
        <w:pageBreakBefore w:val="0"/>
        <w:wordWrap/>
        <w:bidi w:val="0"/>
        <w:adjustRightInd w:val="0"/>
        <w:ind w:left="0" w:leftChars="0" w:right="0" w:rightChars="0" w:firstLine="480"/>
        <w:rPr>
          <w:rFonts w:hint="default" w:ascii="Times New Roman" w:hAnsi="Times New Roman" w:eastAsia="宋体" w:cs="Times New Roman"/>
          <w:color w:val="auto"/>
          <w:kern w:val="0"/>
          <w:highlight w:val="none"/>
          <w:lang w:val="en-GB"/>
        </w:rPr>
      </w:pPr>
      <w:r>
        <w:rPr>
          <w:rFonts w:hint="default" w:ascii="Times New Roman" w:hAnsi="Times New Roman" w:eastAsia="宋体" w:cs="Times New Roman"/>
          <w:color w:val="auto"/>
          <w:kern w:val="0"/>
          <w:highlight w:val="none"/>
          <w:lang w:val="en-GB"/>
        </w:rPr>
        <w:t>保护项目所在区域水环境不受本项目建设的影响，项目产生的废水不排入地表水体；本项目</w:t>
      </w:r>
      <w:r>
        <w:rPr>
          <w:rFonts w:hint="default" w:ascii="Times New Roman" w:hAnsi="Times New Roman" w:cs="Times New Roman"/>
          <w:color w:val="auto"/>
          <w:kern w:val="0"/>
          <w:highlight w:val="none"/>
          <w:lang w:val="en-GB" w:eastAsia="zh-CN"/>
        </w:rPr>
        <w:t>生产废水</w:t>
      </w:r>
      <w:r>
        <w:rPr>
          <w:rFonts w:hint="default" w:ascii="Times New Roman" w:hAnsi="Times New Roman" w:eastAsia="宋体" w:cs="Times New Roman"/>
          <w:color w:val="auto"/>
          <w:kern w:val="0"/>
          <w:highlight w:val="none"/>
          <w:lang w:val="en-GB"/>
        </w:rPr>
        <w:t>不对项目区地下水产生影响，水质满足《地下水质量标准》（GB/T14848-2017）中的Ⅲ类标准要求。</w:t>
      </w:r>
    </w:p>
    <w:p>
      <w:pPr>
        <w:pageBreakBefore w:val="0"/>
        <w:wordWrap/>
        <w:bidi w:val="0"/>
        <w:adjustRightInd w:val="0"/>
        <w:ind w:left="0" w:leftChars="0" w:right="0" w:rightChars="0" w:firstLine="480"/>
        <w:rPr>
          <w:rFonts w:hint="default" w:ascii="Times New Roman" w:hAnsi="Times New Roman" w:eastAsia="宋体" w:cs="Times New Roman"/>
          <w:color w:val="auto"/>
          <w:kern w:val="0"/>
          <w:highlight w:val="none"/>
          <w:lang w:val="en-GB"/>
        </w:rPr>
      </w:pPr>
      <w:r>
        <w:rPr>
          <w:rFonts w:hint="default" w:ascii="Times New Roman" w:hAnsi="Times New Roman" w:eastAsia="宋体" w:cs="Times New Roman"/>
          <w:color w:val="auto"/>
          <w:kern w:val="0"/>
          <w:highlight w:val="none"/>
          <w:lang w:val="en-GB"/>
        </w:rPr>
        <w:t>（3）声环境</w:t>
      </w:r>
    </w:p>
    <w:p>
      <w:pPr>
        <w:pageBreakBefore w:val="0"/>
        <w:wordWrap/>
        <w:bidi w:val="0"/>
        <w:adjustRightInd w:val="0"/>
        <w:ind w:left="0" w:leftChars="0" w:right="0" w:rightChars="0" w:firstLine="480"/>
        <w:rPr>
          <w:rFonts w:hint="default" w:ascii="Times New Roman" w:hAnsi="Times New Roman" w:eastAsia="宋体" w:cs="Times New Roman"/>
          <w:color w:val="auto"/>
          <w:kern w:val="0"/>
          <w:highlight w:val="none"/>
          <w:lang w:val="en-GB"/>
        </w:rPr>
      </w:pPr>
      <w:r>
        <w:rPr>
          <w:rFonts w:hint="default" w:ascii="Times New Roman" w:hAnsi="Times New Roman" w:eastAsia="宋体" w:cs="Times New Roman"/>
          <w:color w:val="auto"/>
          <w:kern w:val="0"/>
          <w:highlight w:val="none"/>
          <w:lang w:val="en-GB"/>
        </w:rPr>
        <w:t>项目区声环境满足《声环境质量标准》（GB3096-2008）中2类标准，避免对</w:t>
      </w:r>
      <w:r>
        <w:rPr>
          <w:rFonts w:hint="default" w:ascii="Times New Roman" w:hAnsi="Times New Roman" w:eastAsia="宋体" w:cs="Times New Roman"/>
          <w:color w:val="auto"/>
          <w:kern w:val="0"/>
          <w:highlight w:val="none"/>
          <w:lang w:val="en-US" w:eastAsia="zh-CN"/>
        </w:rPr>
        <w:t>场</w:t>
      </w:r>
      <w:r>
        <w:rPr>
          <w:rFonts w:hint="default" w:ascii="Times New Roman" w:hAnsi="Times New Roman" w:eastAsia="宋体" w:cs="Times New Roman"/>
          <w:color w:val="auto"/>
          <w:kern w:val="0"/>
          <w:highlight w:val="none"/>
          <w:lang w:val="en-GB"/>
        </w:rPr>
        <w:t>址区域造成噪声污染。</w:t>
      </w:r>
    </w:p>
    <w:p>
      <w:pPr>
        <w:pageBreakBefore w:val="0"/>
        <w:wordWrap/>
        <w:bidi w:val="0"/>
        <w:adjustRightInd w:val="0"/>
        <w:ind w:left="0" w:leftChars="0" w:right="0" w:rightChars="0" w:firstLine="480"/>
        <w:rPr>
          <w:rFonts w:hint="default" w:ascii="Times New Roman" w:hAnsi="Times New Roman" w:eastAsia="宋体" w:cs="Times New Roman"/>
          <w:color w:val="auto"/>
          <w:kern w:val="0"/>
          <w:highlight w:val="none"/>
          <w:lang w:val="en-GB"/>
        </w:rPr>
      </w:pPr>
      <w:r>
        <w:rPr>
          <w:rFonts w:hint="default" w:ascii="Times New Roman" w:hAnsi="Times New Roman" w:eastAsia="宋体" w:cs="Times New Roman"/>
          <w:color w:val="auto"/>
          <w:kern w:val="0"/>
          <w:highlight w:val="none"/>
          <w:lang w:val="en-GB"/>
        </w:rPr>
        <w:t>（4）土壤环境</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保护项目所在区域土壤环境不受本项目建设的影响，</w:t>
      </w:r>
      <w:r>
        <w:rPr>
          <w:rFonts w:hint="default" w:ascii="Times New Roman" w:hAnsi="Times New Roman" w:cs="Times New Roman"/>
          <w:color w:val="auto"/>
          <w:highlight w:val="none"/>
        </w:rPr>
        <w:t xml:space="preserve">土壤环境质量执行《土壤环境质量 </w:t>
      </w:r>
      <w:r>
        <w:rPr>
          <w:rFonts w:hint="default" w:ascii="Times New Roman" w:hAnsi="Times New Roman" w:cs="Times New Roman"/>
          <w:color w:val="auto"/>
          <w:highlight w:val="none"/>
          <w:lang w:eastAsia="zh-CN"/>
        </w:rPr>
        <w:t>农用地土壤污染风险管控标准（试行）</w:t>
      </w:r>
      <w:r>
        <w:rPr>
          <w:rFonts w:hint="default" w:ascii="Times New Roman" w:hAnsi="Times New Roman" w:cs="Times New Roman"/>
          <w:color w:val="auto"/>
          <w:highlight w:val="none"/>
        </w:rPr>
        <w:t>》（GB15618-2018）表1</w:t>
      </w:r>
      <w:r>
        <w:rPr>
          <w:rFonts w:hint="default" w:ascii="Times New Roman" w:hAnsi="Times New Roman" w:cs="Times New Roman"/>
          <w:color w:val="auto"/>
          <w:highlight w:val="none"/>
          <w:lang w:eastAsia="zh-CN"/>
        </w:rPr>
        <w:t>农用地土壤污染风险</w:t>
      </w:r>
      <w:r>
        <w:rPr>
          <w:rFonts w:hint="default" w:ascii="Times New Roman" w:hAnsi="Times New Roman" w:cs="Times New Roman"/>
          <w:color w:val="auto"/>
          <w:highlight w:val="none"/>
        </w:rPr>
        <w:t>筛选值，且镉、砷、铜、铅、铬、锌、汞、镍要满足</w:t>
      </w: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rPr>
        <w:t>畜禽场环境质量及卫生控制规范</w:t>
      </w: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rPr>
        <w:t>NY</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T 1167-2006）中“表1”和</w:t>
      </w: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rPr>
        <w:t>畜禽养殖产地环境评价规范</w:t>
      </w: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rPr>
        <w:t>HJ</w:t>
      </w:r>
      <w:r>
        <w:rPr>
          <w:rFonts w:hint="default" w:ascii="Times New Roman" w:hAnsi="Times New Roman" w:cs="Times New Roman"/>
          <w:color w:val="auto"/>
          <w:highlight w:val="none"/>
          <w:lang w:eastAsia="zh-CN"/>
        </w:rPr>
        <w:t>568-2010</w:t>
      </w:r>
      <w:r>
        <w:rPr>
          <w:rFonts w:hint="default" w:ascii="Times New Roman" w:hAnsi="Times New Roman" w:cs="Times New Roman"/>
          <w:color w:val="auto"/>
          <w:highlight w:val="none"/>
        </w:rPr>
        <w:t>）中“表4”（ 镉≤0.3mg/kg、砷≤25mg/kg、铜≤50mg/kg、铅≤250mg/kg、铬≤250mg/kg、锌≤200mg/kg、汞≤1.5mg/kg、镍≤200mg/kg）。</w:t>
      </w:r>
    </w:p>
    <w:p>
      <w:pPr>
        <w:pageBreakBefore w:val="0"/>
        <w:wordWrap/>
        <w:bidi w:val="0"/>
        <w:adjustRightInd w:val="0"/>
        <w:ind w:left="0" w:leftChars="0" w:right="0" w:rightChars="0"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经现场踏勘，确定本项目的主要环境保护目标如下表2.</w:t>
      </w:r>
      <w:r>
        <w:rPr>
          <w:rFonts w:hint="eastAsia" w:ascii="Times New Roman" w:hAnsi="Times New Roman" w:cs="Times New Roman"/>
          <w:color w:val="auto"/>
          <w:kern w:val="0"/>
          <w:highlight w:val="none"/>
          <w:lang w:val="en-US" w:eastAsia="zh-CN"/>
        </w:rPr>
        <w:t>7</w:t>
      </w:r>
      <w:r>
        <w:rPr>
          <w:rFonts w:hint="default" w:ascii="Times New Roman" w:hAnsi="Times New Roman" w:cs="Times New Roman"/>
          <w:color w:val="auto"/>
          <w:kern w:val="0"/>
          <w:highlight w:val="none"/>
        </w:rPr>
        <w:t>-1，</w:t>
      </w:r>
      <w:r>
        <w:rPr>
          <w:rFonts w:hint="default" w:ascii="Times New Roman" w:hAnsi="Times New Roman" w:cs="Times New Roman"/>
          <w:color w:val="auto"/>
          <w:kern w:val="0"/>
          <w:highlight w:val="none"/>
          <w:lang w:val="en-US" w:eastAsia="zh-CN"/>
        </w:rPr>
        <w:t>评价范围及环境敏感目标</w:t>
      </w:r>
      <w:r>
        <w:rPr>
          <w:rFonts w:hint="default" w:ascii="Times New Roman" w:hAnsi="Times New Roman" w:cs="Times New Roman"/>
          <w:color w:val="auto"/>
          <w:kern w:val="0"/>
          <w:highlight w:val="none"/>
        </w:rPr>
        <w:t>见图2.</w:t>
      </w:r>
      <w:r>
        <w:rPr>
          <w:rFonts w:hint="eastAsia" w:ascii="Times New Roman" w:hAnsi="Times New Roman" w:cs="Times New Roman"/>
          <w:color w:val="auto"/>
          <w:kern w:val="0"/>
          <w:highlight w:val="none"/>
          <w:lang w:val="en-US" w:eastAsia="zh-CN"/>
        </w:rPr>
        <w:t>7</w:t>
      </w:r>
      <w:r>
        <w:rPr>
          <w:rFonts w:hint="default" w:ascii="Times New Roman" w:hAnsi="Times New Roman" w:cs="Times New Roman"/>
          <w:color w:val="auto"/>
          <w:kern w:val="0"/>
          <w:highlight w:val="none"/>
        </w:rPr>
        <w:t>-</w:t>
      </w:r>
      <w:r>
        <w:rPr>
          <w:rFonts w:hint="default" w:ascii="Times New Roman" w:hAnsi="Times New Roman" w:cs="Times New Roman"/>
          <w:color w:val="auto"/>
          <w:kern w:val="0"/>
          <w:highlight w:val="none"/>
          <w:lang w:val="en-US" w:eastAsia="zh-CN"/>
        </w:rPr>
        <w:t>1</w:t>
      </w:r>
      <w:r>
        <w:rPr>
          <w:rFonts w:hint="default" w:ascii="Times New Roman" w:hAnsi="Times New Roman" w:cs="Times New Roman"/>
          <w:color w:val="auto"/>
          <w:kern w:val="0"/>
          <w:highlight w:val="none"/>
        </w:rPr>
        <w:t>。</w:t>
      </w:r>
    </w:p>
    <w:p>
      <w:pPr>
        <w:pStyle w:val="50"/>
        <w:pageBreakBefore w:val="0"/>
        <w:widowControl w:val="0"/>
        <w:kinsoku/>
        <w:wordWrap/>
        <w:overflowPunct/>
        <w:topLinePunct w:val="0"/>
        <w:autoSpaceDE/>
        <w:autoSpaceDN/>
        <w:bidi w:val="0"/>
        <w:adjustRightInd w:val="0"/>
        <w:snapToGrid w:val="0"/>
        <w:spacing w:afterLines="0"/>
        <w:ind w:left="0" w:leftChars="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表2.</w:t>
      </w:r>
      <w:r>
        <w:rPr>
          <w:rFonts w:hint="eastAsia" w:ascii="Times New Roman" w:hAnsi="Times New Roman" w:cs="Times New Roman"/>
          <w:color w:val="auto"/>
          <w:sz w:val="21"/>
          <w:szCs w:val="21"/>
          <w:highlight w:val="none"/>
          <w:lang w:val="en-US" w:eastAsia="zh-CN"/>
        </w:rPr>
        <w:t>7</w:t>
      </w:r>
      <w:r>
        <w:rPr>
          <w:rFonts w:hint="default" w:ascii="Times New Roman" w:hAnsi="Times New Roman" w:cs="Times New Roman"/>
          <w:color w:val="auto"/>
          <w:sz w:val="21"/>
          <w:szCs w:val="21"/>
          <w:highlight w:val="none"/>
        </w:rPr>
        <w:t>-1  项目区环境敏感保护目标</w:t>
      </w:r>
    </w:p>
    <w:tbl>
      <w:tblPr>
        <w:tblStyle w:val="39"/>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114"/>
        <w:gridCol w:w="680"/>
        <w:gridCol w:w="719"/>
        <w:gridCol w:w="919"/>
        <w:gridCol w:w="91"/>
        <w:gridCol w:w="898"/>
        <w:gridCol w:w="2"/>
        <w:gridCol w:w="2133"/>
        <w:gridCol w:w="743"/>
        <w:gridCol w:w="80"/>
        <w:gridCol w:w="9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4" w:type="pct"/>
            <w:vMerge w:val="restar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序号</w:t>
            </w:r>
          </w:p>
        </w:tc>
        <w:tc>
          <w:tcPr>
            <w:tcW w:w="639" w:type="pct"/>
            <w:vMerge w:val="restar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名称</w:t>
            </w:r>
          </w:p>
        </w:tc>
        <w:tc>
          <w:tcPr>
            <w:tcW w:w="802" w:type="pct"/>
            <w:gridSpan w:val="2"/>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rPr>
              <w:t>坐标</w:t>
            </w:r>
            <w:r>
              <w:rPr>
                <w:rFonts w:hint="default" w:ascii="Times New Roman" w:hAnsi="Times New Roman" w:eastAsia="宋体" w:cs="Times New Roman"/>
                <w:color w:val="auto"/>
                <w:sz w:val="21"/>
                <w:szCs w:val="21"/>
                <w:highlight w:val="none"/>
                <w:lang w:val="en-US" w:eastAsia="zh-CN"/>
              </w:rPr>
              <w:t>/m</w:t>
            </w:r>
          </w:p>
        </w:tc>
        <w:tc>
          <w:tcPr>
            <w:tcW w:w="527" w:type="pct"/>
            <w:vMerge w:val="restar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保护</w:t>
            </w:r>
          </w:p>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对象</w:t>
            </w:r>
          </w:p>
        </w:tc>
        <w:tc>
          <w:tcPr>
            <w:tcW w:w="567" w:type="pct"/>
            <w:gridSpan w:val="2"/>
            <w:vMerge w:val="restar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保护</w:t>
            </w:r>
          </w:p>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内容</w:t>
            </w:r>
          </w:p>
        </w:tc>
        <w:tc>
          <w:tcPr>
            <w:tcW w:w="1224" w:type="pct"/>
            <w:gridSpan w:val="2"/>
            <w:vMerge w:val="restar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环境功能区</w:t>
            </w:r>
          </w:p>
        </w:tc>
        <w:tc>
          <w:tcPr>
            <w:tcW w:w="426" w:type="pct"/>
            <w:vMerge w:val="restar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rPr>
              <w:t>相对</w:t>
            </w:r>
            <w:r>
              <w:rPr>
                <w:rFonts w:hint="default" w:ascii="Times New Roman" w:hAnsi="Times New Roman" w:cs="Times New Roman"/>
                <w:color w:val="auto"/>
                <w:sz w:val="21"/>
                <w:szCs w:val="21"/>
                <w:highlight w:val="none"/>
                <w:lang w:val="en-US" w:eastAsia="zh-CN"/>
              </w:rPr>
              <w:t>场址</w:t>
            </w:r>
            <w:r>
              <w:rPr>
                <w:rFonts w:hint="default" w:ascii="Times New Roman" w:hAnsi="Times New Roman" w:eastAsia="宋体" w:cs="Times New Roman"/>
                <w:color w:val="auto"/>
                <w:sz w:val="21"/>
                <w:szCs w:val="21"/>
                <w:highlight w:val="none"/>
                <w:lang w:val="en-US" w:eastAsia="zh-CN"/>
              </w:rPr>
              <w:t>方位</w:t>
            </w:r>
          </w:p>
        </w:tc>
        <w:tc>
          <w:tcPr>
            <w:tcW w:w="567" w:type="pct"/>
            <w:gridSpan w:val="2"/>
            <w:vMerge w:val="restar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相对</w:t>
            </w:r>
            <w:r>
              <w:rPr>
                <w:rFonts w:hint="default" w:ascii="Times New Roman" w:hAnsi="Times New Roman" w:cs="Times New Roman"/>
                <w:color w:val="auto"/>
                <w:sz w:val="21"/>
                <w:szCs w:val="21"/>
                <w:highlight w:val="none"/>
                <w:lang w:val="en-US" w:eastAsia="zh-CN"/>
              </w:rPr>
              <w:t>场界</w:t>
            </w:r>
            <w:r>
              <w:rPr>
                <w:rFonts w:hint="default" w:ascii="Times New Roman" w:hAnsi="Times New Roman" w:eastAsia="宋体" w:cs="Times New Roman"/>
                <w:color w:val="auto"/>
                <w:sz w:val="21"/>
                <w:szCs w:val="21"/>
                <w:highlight w:val="none"/>
                <w:lang w:val="en-US" w:eastAsia="zh-CN"/>
              </w:rPr>
              <w:t>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4" w:type="pct"/>
            <w:vMerge w:val="continue"/>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lang w:val="en-US"/>
              </w:rPr>
            </w:pPr>
          </w:p>
        </w:tc>
        <w:tc>
          <w:tcPr>
            <w:tcW w:w="639" w:type="pct"/>
            <w:vMerge w:val="continue"/>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lang w:val="en-US"/>
              </w:rPr>
            </w:pPr>
          </w:p>
        </w:tc>
        <w:tc>
          <w:tcPr>
            <w:tcW w:w="390"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X</w:t>
            </w:r>
          </w:p>
        </w:tc>
        <w:tc>
          <w:tcPr>
            <w:tcW w:w="412"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Y</w:t>
            </w:r>
          </w:p>
        </w:tc>
        <w:tc>
          <w:tcPr>
            <w:tcW w:w="527" w:type="pct"/>
            <w:vMerge w:val="continue"/>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lang w:val="en-US"/>
              </w:rPr>
            </w:pPr>
          </w:p>
        </w:tc>
        <w:tc>
          <w:tcPr>
            <w:tcW w:w="567" w:type="pct"/>
            <w:gridSpan w:val="2"/>
            <w:vMerge w:val="continue"/>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lang w:val="en-US"/>
              </w:rPr>
            </w:pPr>
          </w:p>
        </w:tc>
        <w:tc>
          <w:tcPr>
            <w:tcW w:w="1224" w:type="pct"/>
            <w:gridSpan w:val="2"/>
            <w:vMerge w:val="continue"/>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lang w:val="en-US"/>
              </w:rPr>
            </w:pPr>
          </w:p>
        </w:tc>
        <w:tc>
          <w:tcPr>
            <w:tcW w:w="426" w:type="pct"/>
            <w:vMerge w:val="continue"/>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lang w:val="en-US"/>
              </w:rPr>
            </w:pPr>
          </w:p>
        </w:tc>
        <w:tc>
          <w:tcPr>
            <w:tcW w:w="567" w:type="pct"/>
            <w:gridSpan w:val="2"/>
            <w:vMerge w:val="continue"/>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lang w:val="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4"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639"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地下水</w:t>
            </w:r>
          </w:p>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环境</w:t>
            </w:r>
          </w:p>
        </w:tc>
        <w:tc>
          <w:tcPr>
            <w:tcW w:w="390"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w:t>
            </w:r>
          </w:p>
        </w:tc>
        <w:tc>
          <w:tcPr>
            <w:tcW w:w="412"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w:t>
            </w:r>
          </w:p>
        </w:tc>
        <w:tc>
          <w:tcPr>
            <w:tcW w:w="1094" w:type="pct"/>
            <w:gridSpan w:val="3"/>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区域地下水</w:t>
            </w:r>
          </w:p>
        </w:tc>
        <w:tc>
          <w:tcPr>
            <w:tcW w:w="1224" w:type="pct"/>
            <w:gridSpan w:val="2"/>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《地下水质量标准》（GB/T14848-2017）中Ⅲ类标准</w:t>
            </w:r>
          </w:p>
        </w:tc>
        <w:tc>
          <w:tcPr>
            <w:tcW w:w="994" w:type="pct"/>
            <w:gridSpan w:val="3"/>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项目区范围内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4"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639"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土壤环境</w:t>
            </w:r>
          </w:p>
        </w:tc>
        <w:tc>
          <w:tcPr>
            <w:tcW w:w="390"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rPr>
              <w:t>/</w:t>
            </w:r>
          </w:p>
        </w:tc>
        <w:tc>
          <w:tcPr>
            <w:tcW w:w="412"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rPr>
              <w:t>/</w:t>
            </w:r>
          </w:p>
        </w:tc>
        <w:tc>
          <w:tcPr>
            <w:tcW w:w="1095" w:type="pct"/>
            <w:gridSpan w:val="4"/>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土壤</w:t>
            </w:r>
          </w:p>
        </w:tc>
        <w:tc>
          <w:tcPr>
            <w:tcW w:w="1223"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 xml:space="preserve">《土壤环境质量 </w:t>
            </w:r>
            <w:r>
              <w:rPr>
                <w:rFonts w:hint="default" w:ascii="Times New Roman" w:hAnsi="Times New Roman" w:cs="Times New Roman"/>
                <w:color w:val="auto"/>
                <w:sz w:val="21"/>
                <w:szCs w:val="21"/>
                <w:highlight w:val="none"/>
                <w:lang w:eastAsia="zh-CN"/>
              </w:rPr>
              <w:t>农用地土壤污染风险管控标准（试行）</w:t>
            </w:r>
            <w:r>
              <w:rPr>
                <w:rFonts w:hint="default" w:ascii="Times New Roman" w:hAnsi="Times New Roman" w:cs="Times New Roman"/>
                <w:color w:val="auto"/>
                <w:sz w:val="21"/>
                <w:szCs w:val="21"/>
                <w:highlight w:val="none"/>
              </w:rPr>
              <w:t>》（GB15618-2018）</w:t>
            </w:r>
          </w:p>
        </w:tc>
        <w:tc>
          <w:tcPr>
            <w:tcW w:w="994" w:type="pct"/>
            <w:gridSpan w:val="3"/>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项目区占地范围内以及占地范围外50m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4"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c>
          <w:tcPr>
            <w:tcW w:w="639"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rPr>
              <w:t>生态</w:t>
            </w:r>
          </w:p>
        </w:tc>
        <w:tc>
          <w:tcPr>
            <w:tcW w:w="390"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rPr>
              <w:t>/</w:t>
            </w:r>
          </w:p>
        </w:tc>
        <w:tc>
          <w:tcPr>
            <w:tcW w:w="412"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rPr>
              <w:t>/</w:t>
            </w:r>
          </w:p>
        </w:tc>
        <w:tc>
          <w:tcPr>
            <w:tcW w:w="1094" w:type="pct"/>
            <w:gridSpan w:val="3"/>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rPr>
              <w:t>植被、土壤、动物、景观等</w:t>
            </w:r>
          </w:p>
        </w:tc>
        <w:tc>
          <w:tcPr>
            <w:tcW w:w="1224" w:type="pct"/>
            <w:gridSpan w:val="2"/>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rPr>
              <w:t>/</w:t>
            </w:r>
          </w:p>
        </w:tc>
        <w:tc>
          <w:tcPr>
            <w:tcW w:w="994" w:type="pct"/>
            <w:gridSpan w:val="3"/>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rPr>
              <w:t>项目区范围内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4" w:type="pct"/>
            <w:vMerge w:val="restar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c>
          <w:tcPr>
            <w:tcW w:w="639" w:type="pct"/>
            <w:vMerge w:val="restar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大气环境</w:t>
            </w:r>
          </w:p>
        </w:tc>
        <w:tc>
          <w:tcPr>
            <w:tcW w:w="390"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648</w:t>
            </w:r>
          </w:p>
        </w:tc>
        <w:tc>
          <w:tcPr>
            <w:tcW w:w="412"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2750</w:t>
            </w:r>
          </w:p>
        </w:tc>
        <w:tc>
          <w:tcPr>
            <w:tcW w:w="579" w:type="pct"/>
            <w:gridSpan w:val="2"/>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博孜达克农场育种队</w:t>
            </w:r>
            <w:r>
              <w:rPr>
                <w:rFonts w:hint="eastAsia" w:ascii="Times New Roman" w:hAnsi="Times New Roman" w:eastAsia="宋体" w:cs="Times New Roman"/>
                <w:color w:val="auto"/>
                <w:sz w:val="21"/>
                <w:szCs w:val="21"/>
                <w:highlight w:val="none"/>
                <w:lang w:val="en-US" w:eastAsia="zh-CN"/>
              </w:rPr>
              <w:t>居民</w:t>
            </w:r>
          </w:p>
        </w:tc>
        <w:tc>
          <w:tcPr>
            <w:tcW w:w="515" w:type="pct"/>
            <w:vMerge w:val="restar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cs="Times New Roman"/>
                <w:color w:val="auto"/>
                <w:kern w:val="0"/>
                <w:highlight w:val="none"/>
                <w:lang w:val="en-US" w:eastAsia="zh-CN"/>
              </w:rPr>
            </w:pPr>
            <w:r>
              <w:rPr>
                <w:rFonts w:hint="default" w:ascii="Times New Roman" w:hAnsi="Times New Roman" w:cs="Times New Roman"/>
                <w:color w:val="auto"/>
                <w:sz w:val="21"/>
                <w:szCs w:val="21"/>
                <w:highlight w:val="none"/>
                <w:lang w:val="en-US" w:eastAsia="zh-CN"/>
              </w:rPr>
              <w:t>大气环境</w:t>
            </w:r>
          </w:p>
        </w:tc>
        <w:tc>
          <w:tcPr>
            <w:tcW w:w="1224" w:type="pct"/>
            <w:gridSpan w:val="2"/>
            <w:vMerge w:val="restar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《环境空气质量标准》（GB3095-2012）二级标准要求</w:t>
            </w:r>
          </w:p>
        </w:tc>
        <w:tc>
          <w:tcPr>
            <w:tcW w:w="472" w:type="pct"/>
            <w:gridSpan w:val="2"/>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东南</w:t>
            </w:r>
          </w:p>
        </w:tc>
        <w:tc>
          <w:tcPr>
            <w:tcW w:w="522"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4" w:type="pct"/>
            <w:vMerge w:val="continue"/>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cs="Times New Roman"/>
                <w:color w:val="auto"/>
                <w:sz w:val="21"/>
                <w:szCs w:val="21"/>
                <w:highlight w:val="none"/>
                <w:lang w:val="en-US" w:eastAsia="zh-CN"/>
              </w:rPr>
            </w:pPr>
          </w:p>
        </w:tc>
        <w:tc>
          <w:tcPr>
            <w:tcW w:w="639" w:type="pct"/>
            <w:vMerge w:val="continue"/>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p>
        </w:tc>
        <w:tc>
          <w:tcPr>
            <w:tcW w:w="390"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1990</w:t>
            </w:r>
          </w:p>
        </w:tc>
        <w:tc>
          <w:tcPr>
            <w:tcW w:w="412"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3400</w:t>
            </w:r>
          </w:p>
        </w:tc>
        <w:tc>
          <w:tcPr>
            <w:tcW w:w="579" w:type="pct"/>
            <w:gridSpan w:val="2"/>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吉也克村居民</w:t>
            </w:r>
          </w:p>
        </w:tc>
        <w:tc>
          <w:tcPr>
            <w:tcW w:w="515" w:type="pct"/>
            <w:vMerge w:val="continue"/>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p>
        </w:tc>
        <w:tc>
          <w:tcPr>
            <w:tcW w:w="1224" w:type="pct"/>
            <w:gridSpan w:val="2"/>
            <w:vMerge w:val="continue"/>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rPr>
            </w:pPr>
          </w:p>
        </w:tc>
        <w:tc>
          <w:tcPr>
            <w:tcW w:w="472" w:type="pct"/>
            <w:gridSpan w:val="2"/>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东北</w:t>
            </w:r>
          </w:p>
        </w:tc>
        <w:tc>
          <w:tcPr>
            <w:tcW w:w="522"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3856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4" w:type="pct"/>
            <w:vMerge w:val="continue"/>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cs="Times New Roman"/>
                <w:color w:val="auto"/>
                <w:sz w:val="21"/>
                <w:szCs w:val="21"/>
                <w:highlight w:val="none"/>
                <w:lang w:val="en-US" w:eastAsia="zh-CN"/>
              </w:rPr>
            </w:pPr>
          </w:p>
        </w:tc>
        <w:tc>
          <w:tcPr>
            <w:tcW w:w="639" w:type="pct"/>
            <w:vMerge w:val="continue"/>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p>
        </w:tc>
        <w:tc>
          <w:tcPr>
            <w:tcW w:w="390"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200</w:t>
            </w:r>
          </w:p>
        </w:tc>
        <w:tc>
          <w:tcPr>
            <w:tcW w:w="412"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4370</w:t>
            </w:r>
          </w:p>
        </w:tc>
        <w:tc>
          <w:tcPr>
            <w:tcW w:w="579" w:type="pct"/>
            <w:gridSpan w:val="2"/>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皇工村居民</w:t>
            </w:r>
          </w:p>
        </w:tc>
        <w:tc>
          <w:tcPr>
            <w:tcW w:w="515" w:type="pct"/>
            <w:vMerge w:val="continue"/>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p>
        </w:tc>
        <w:tc>
          <w:tcPr>
            <w:tcW w:w="1224" w:type="pct"/>
            <w:gridSpan w:val="2"/>
            <w:vMerge w:val="continue"/>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rPr>
            </w:pPr>
          </w:p>
        </w:tc>
        <w:tc>
          <w:tcPr>
            <w:tcW w:w="472" w:type="pct"/>
            <w:gridSpan w:val="2"/>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东北</w:t>
            </w:r>
          </w:p>
        </w:tc>
        <w:tc>
          <w:tcPr>
            <w:tcW w:w="522"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4480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4" w:type="pct"/>
            <w:vMerge w:val="continue"/>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cs="Times New Roman"/>
                <w:color w:val="auto"/>
                <w:sz w:val="21"/>
                <w:szCs w:val="21"/>
                <w:highlight w:val="none"/>
                <w:lang w:val="en-US" w:eastAsia="zh-CN"/>
              </w:rPr>
            </w:pPr>
          </w:p>
        </w:tc>
        <w:tc>
          <w:tcPr>
            <w:tcW w:w="639" w:type="pct"/>
            <w:vMerge w:val="continue"/>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p>
        </w:tc>
        <w:tc>
          <w:tcPr>
            <w:tcW w:w="390"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300</w:t>
            </w:r>
          </w:p>
        </w:tc>
        <w:tc>
          <w:tcPr>
            <w:tcW w:w="412"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4820</w:t>
            </w:r>
          </w:p>
        </w:tc>
        <w:tc>
          <w:tcPr>
            <w:tcW w:w="579" w:type="pct"/>
            <w:gridSpan w:val="2"/>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三园子村居民</w:t>
            </w:r>
          </w:p>
        </w:tc>
        <w:tc>
          <w:tcPr>
            <w:tcW w:w="515" w:type="pct"/>
            <w:vMerge w:val="continue"/>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p>
        </w:tc>
        <w:tc>
          <w:tcPr>
            <w:tcW w:w="1224" w:type="pct"/>
            <w:gridSpan w:val="2"/>
            <w:vMerge w:val="continue"/>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rPr>
            </w:pPr>
          </w:p>
        </w:tc>
        <w:tc>
          <w:tcPr>
            <w:tcW w:w="472" w:type="pct"/>
            <w:gridSpan w:val="2"/>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西北</w:t>
            </w:r>
          </w:p>
        </w:tc>
        <w:tc>
          <w:tcPr>
            <w:tcW w:w="522"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4800</w:t>
            </w:r>
          </w:p>
        </w:tc>
      </w:tr>
    </w:tbl>
    <w:p>
      <w:pPr>
        <w:pageBreakBefore w:val="0"/>
        <w:wordWrap/>
        <w:bidi w:val="0"/>
        <w:adjustRightInd w:val="0"/>
        <w:ind w:left="0" w:leftChars="0" w:right="0" w:rightChars="0" w:firstLine="0" w:firstLineChars="0"/>
        <w:rPr>
          <w:rFonts w:hint="default" w:ascii="Times New Roman" w:hAnsi="Times New Roman" w:cs="Times New Roman"/>
          <w:color w:val="auto"/>
          <w:highlight w:val="yellow"/>
        </w:rPr>
      </w:pPr>
    </w:p>
    <w:p>
      <w:pPr>
        <w:pageBreakBefore w:val="0"/>
        <w:wordWrap/>
        <w:bidi w:val="0"/>
        <w:adjustRightInd w:val="0"/>
        <w:spacing w:line="420" w:lineRule="auto"/>
        <w:ind w:left="0" w:leftChars="0" w:right="0" w:rightChars="0" w:firstLine="0" w:firstLineChars="0"/>
        <w:rPr>
          <w:rFonts w:hint="default" w:ascii="Times New Roman" w:hAnsi="Times New Roman" w:cs="Times New Roman"/>
          <w:color w:val="auto"/>
          <w:highlight w:val="yellow"/>
        </w:rPr>
        <w:sectPr>
          <w:headerReference r:id="rId10" w:type="default"/>
          <w:footerReference r:id="rId11" w:type="default"/>
          <w:pgSz w:w="11906" w:h="16838"/>
          <w:pgMar w:top="1814" w:right="1701" w:bottom="1418" w:left="1701" w:header="1134" w:footer="851" w:gutter="0"/>
          <w:pgBorders>
            <w:top w:val="none" w:sz="0" w:space="0"/>
            <w:left w:val="none" w:sz="0" w:space="0"/>
            <w:bottom w:val="none" w:sz="0" w:space="0"/>
            <w:right w:val="none" w:sz="0" w:space="0"/>
          </w:pgBorders>
          <w:pgNumType w:fmt="decimal"/>
          <w:cols w:space="720" w:num="1"/>
          <w:docGrid w:type="lines" w:linePitch="312" w:charSpace="0"/>
        </w:sectPr>
      </w:pPr>
    </w:p>
    <w:p>
      <w:pPr>
        <w:pStyle w:val="47"/>
        <w:pageBreakBefore w:val="0"/>
        <w:wordWrap/>
        <w:bidi w:val="0"/>
        <w:adjustRightInd w:val="0"/>
        <w:ind w:left="0" w:leftChars="0" w:right="0" w:rightChars="0" w:firstLine="0" w:firstLineChars="0"/>
        <w:jc w:val="center"/>
        <w:rPr>
          <w:rFonts w:hint="default" w:ascii="Times New Roman" w:hAnsi="Times New Roman" w:eastAsia="仿宋_GB2312" w:cs="Times New Roman"/>
          <w:color w:val="auto"/>
          <w:highlight w:val="yellow"/>
          <w:lang w:eastAsia="zh-CN"/>
        </w:rPr>
      </w:pPr>
      <w:r>
        <w:rPr>
          <w:color w:val="auto"/>
          <w:sz w:val="24"/>
        </w:rPr>
        <mc:AlternateContent>
          <mc:Choice Requires="wps">
            <w:drawing>
              <wp:anchor distT="0" distB="0" distL="114300" distR="114300" simplePos="0" relativeHeight="251684864" behindDoc="0" locked="0" layoutInCell="1" allowOverlap="1">
                <wp:simplePos x="0" y="0"/>
                <wp:positionH relativeFrom="column">
                  <wp:posOffset>2734945</wp:posOffset>
                </wp:positionH>
                <wp:positionV relativeFrom="paragraph">
                  <wp:posOffset>679450</wp:posOffset>
                </wp:positionV>
                <wp:extent cx="735965" cy="32131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735965" cy="3213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color w:val="FFFFFF" w:themeColor="background1"/>
                                <w:sz w:val="16"/>
                                <w:szCs w:val="16"/>
                                <w14:textFill>
                                  <w14:solidFill>
                                    <w14:schemeClr w14:val="bg1"/>
                                  </w14:solidFill>
                                </w14:textFill>
                              </w:rPr>
                            </w:pPr>
                            <w:r>
                              <w:rPr>
                                <w:rFonts w:hint="eastAsia" w:ascii="Times New Roman" w:hAnsi="Times New Roman" w:eastAsia="宋体" w:cs="Times New Roman"/>
                                <w:color w:val="FFFFFF" w:themeColor="background1"/>
                                <w:sz w:val="13"/>
                                <w:szCs w:val="13"/>
                                <w:highlight w:val="none"/>
                                <w:lang w:val="en-US" w:eastAsia="zh-CN"/>
                                <w14:textFill>
                                  <w14:solidFill>
                                    <w14:schemeClr w14:val="bg1"/>
                                  </w14:solidFill>
                                </w14:textFill>
                              </w:rPr>
                              <w:t>三园子村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5.35pt;margin-top:53.5pt;height:25.3pt;width:57.95pt;z-index:251684864;mso-width-relative:page;mso-height-relative:page;" filled="f" stroked="f" coordsize="21600,21600" o:gfxdata="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qwvDFNsAAAALAQAADwAAAAAAAAABACAAAAAiAAAA&#10;ZHJzL2Rvd25yZXYueG1sUEsBAhQAFAAAAAgAh07iQB2eMf49AgAAZwQAAA4AAAAAAAAAAQAgAAAA&#10;KgEAAGRycy9lMm9Eb2MueG1sUEsFBgAAAAAGAAYAWQEAANkFAAAAAA==&#10;">
                <v:fill on="f" focussize="0,0"/>
                <v:stroke on="f" weight="0.5pt"/>
                <v:imagedata o:title=""/>
                <o:lock v:ext="edit" aspectratio="f"/>
                <v:textbox>
                  <w:txbxContent>
                    <w:p>
                      <w:pPr>
                        <w:ind w:left="0" w:leftChars="0" w:firstLine="0" w:firstLineChars="0"/>
                        <w:rPr>
                          <w:color w:val="FFFFFF" w:themeColor="background1"/>
                          <w:sz w:val="16"/>
                          <w:szCs w:val="16"/>
                          <w14:textFill>
                            <w14:solidFill>
                              <w14:schemeClr w14:val="bg1"/>
                            </w14:solidFill>
                          </w14:textFill>
                        </w:rPr>
                      </w:pPr>
                      <w:r>
                        <w:rPr>
                          <w:rFonts w:hint="eastAsia" w:ascii="Times New Roman" w:hAnsi="Times New Roman" w:eastAsia="宋体" w:cs="Times New Roman"/>
                          <w:color w:val="FFFFFF" w:themeColor="background1"/>
                          <w:sz w:val="13"/>
                          <w:szCs w:val="13"/>
                          <w:highlight w:val="none"/>
                          <w:lang w:val="en-US" w:eastAsia="zh-CN"/>
                          <w14:textFill>
                            <w14:solidFill>
                              <w14:schemeClr w14:val="bg1"/>
                            </w14:solidFill>
                          </w14:textFill>
                        </w:rPr>
                        <w:t>三园子村</w:t>
                      </w:r>
                    </w:p>
                  </w:txbxContent>
                </v:textbox>
              </v:shape>
            </w:pict>
          </mc:Fallback>
        </mc:AlternateContent>
      </w:r>
      <w:r>
        <w:rPr>
          <w:color w:val="auto"/>
          <w:sz w:val="24"/>
        </w:rPr>
        <mc:AlternateContent>
          <mc:Choice Requires="wps">
            <w:drawing>
              <wp:anchor distT="0" distB="0" distL="114300" distR="114300" simplePos="0" relativeHeight="251683840" behindDoc="0" locked="0" layoutInCell="1" allowOverlap="1">
                <wp:simplePos x="0" y="0"/>
                <wp:positionH relativeFrom="column">
                  <wp:posOffset>3849370</wp:posOffset>
                </wp:positionH>
                <wp:positionV relativeFrom="paragraph">
                  <wp:posOffset>709930</wp:posOffset>
                </wp:positionV>
                <wp:extent cx="604520" cy="32131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604520" cy="3213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color w:val="FFFFFF" w:themeColor="background1"/>
                                <w:sz w:val="18"/>
                                <w:szCs w:val="18"/>
                                <w14:textFill>
                                  <w14:solidFill>
                                    <w14:schemeClr w14:val="bg1"/>
                                  </w14:solidFill>
                                </w14:textFill>
                              </w:rPr>
                            </w:pPr>
                            <w:r>
                              <w:rPr>
                                <w:rFonts w:hint="eastAsia" w:ascii="Times New Roman" w:hAnsi="Times New Roman" w:eastAsia="宋体" w:cs="Times New Roman"/>
                                <w:color w:val="FFFFFF" w:themeColor="background1"/>
                                <w:sz w:val="15"/>
                                <w:szCs w:val="15"/>
                                <w:highlight w:val="none"/>
                                <w:lang w:val="en-US" w:eastAsia="zh-CN"/>
                                <w14:textFill>
                                  <w14:solidFill>
                                    <w14:schemeClr w14:val="bg1"/>
                                  </w14:solidFill>
                                </w14:textFill>
                              </w:rPr>
                              <w:t>皇工村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1pt;margin-top:55.9pt;height:25.3pt;width:47.6pt;z-index:251683840;mso-width-relative:page;mso-height-relative:page;" filled="f" stroked="f" coordsize="21600,21600" o:gfxdata="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j0t1DaAAAACwEAAA8AAAAAAAAAAQAgAAAAIgAAAGRy&#10;cy9kb3ducmV2LnhtbFBLAQIUABQAAAAIAIdO4kDjPAC7PAIAAGcEAAAOAAAAAAAAAAEAIAAAACkB&#10;AABkcnMvZTJvRG9jLnhtbFBLBQYAAAAABgAGAFkBAADXBQAAAAA=&#10;">
                <v:fill on="f" focussize="0,0"/>
                <v:stroke on="f" weight="0.5pt"/>
                <v:imagedata o:title=""/>
                <o:lock v:ext="edit" aspectratio="f"/>
                <v:textbox>
                  <w:txbxContent>
                    <w:p>
                      <w:pPr>
                        <w:ind w:left="0" w:leftChars="0" w:firstLine="0" w:firstLineChars="0"/>
                        <w:rPr>
                          <w:color w:val="FFFFFF" w:themeColor="background1"/>
                          <w:sz w:val="18"/>
                          <w:szCs w:val="18"/>
                          <w14:textFill>
                            <w14:solidFill>
                              <w14:schemeClr w14:val="bg1"/>
                            </w14:solidFill>
                          </w14:textFill>
                        </w:rPr>
                      </w:pPr>
                      <w:r>
                        <w:rPr>
                          <w:rFonts w:hint="eastAsia" w:ascii="Times New Roman" w:hAnsi="Times New Roman" w:eastAsia="宋体" w:cs="Times New Roman"/>
                          <w:color w:val="FFFFFF" w:themeColor="background1"/>
                          <w:sz w:val="15"/>
                          <w:szCs w:val="15"/>
                          <w:highlight w:val="none"/>
                          <w:lang w:val="en-US" w:eastAsia="zh-CN"/>
                          <w14:textFill>
                            <w14:solidFill>
                              <w14:schemeClr w14:val="bg1"/>
                            </w14:solidFill>
                          </w14:textFill>
                        </w:rPr>
                        <w:t>皇工村</w:t>
                      </w:r>
                    </w:p>
                  </w:txbxContent>
                </v:textbox>
              </v:shape>
            </w:pict>
          </mc:Fallback>
        </mc:AlternateContent>
      </w:r>
      <w:r>
        <w:rPr>
          <w:color w:val="auto"/>
          <w:sz w:val="24"/>
        </w:rPr>
        <mc:AlternateContent>
          <mc:Choice Requires="wps">
            <w:drawing>
              <wp:anchor distT="0" distB="0" distL="114300" distR="114300" simplePos="0" relativeHeight="251682816" behindDoc="0" locked="0" layoutInCell="1" allowOverlap="1">
                <wp:simplePos x="0" y="0"/>
                <wp:positionH relativeFrom="column">
                  <wp:posOffset>3579495</wp:posOffset>
                </wp:positionH>
                <wp:positionV relativeFrom="paragraph">
                  <wp:posOffset>3385820</wp:posOffset>
                </wp:positionV>
                <wp:extent cx="626745" cy="321310"/>
                <wp:effectExtent l="0" t="0" r="0" b="0"/>
                <wp:wrapNone/>
                <wp:docPr id="67" name="文本框 67"/>
                <wp:cNvGraphicFramePr/>
                <a:graphic xmlns:a="http://schemas.openxmlformats.org/drawingml/2006/main">
                  <a:graphicData uri="http://schemas.microsoft.com/office/word/2010/wordprocessingShape">
                    <wps:wsp>
                      <wps:cNvSpPr txBox="1"/>
                      <wps:spPr>
                        <a:xfrm>
                          <a:off x="4714240" y="4641850"/>
                          <a:ext cx="626745" cy="3213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ind w:left="0" w:leftChars="0" w:firstLine="0" w:firstLineChars="0"/>
                              <w:rPr>
                                <w:color w:val="FFFFFF" w:themeColor="background1"/>
                                <w:sz w:val="13"/>
                                <w:szCs w:val="13"/>
                                <w14:textFill>
                                  <w14:solidFill>
                                    <w14:schemeClr w14:val="bg1"/>
                                  </w14:solidFill>
                                </w14:textFill>
                              </w:rPr>
                            </w:pPr>
                            <w:r>
                              <w:rPr>
                                <w:rFonts w:hint="eastAsia"/>
                                <w:color w:val="FFFFFF" w:themeColor="background1"/>
                                <w:sz w:val="13"/>
                                <w:szCs w:val="13"/>
                                <w14:textFill>
                                  <w14:solidFill>
                                    <w14:schemeClr w14:val="bg1"/>
                                  </w14:solidFill>
                                </w14:textFill>
                              </w:rPr>
                              <w:t>博孜达克农场育种队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1.85pt;margin-top:266.6pt;height:25.3pt;width:49.35pt;z-index:251682816;mso-width-relative:page;mso-height-relative:page;" filled="f" stroked="f" coordsize="21600,21600" o:gfxdata="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v2tReNsAAAALAQAADwAAAAAAAAAB&#10;ACAAAAAiAAAAZHJzL2Rvd25yZXYueG1sUEsBAhQAFAAAAAgAh07iQN/YNEhGAgAAcwQAAA4AAAAA&#10;AAAAAQAgAAAAKgEAAGRycy9lMm9Eb2MueG1sUEsFBgAAAAAGAAYAWQEAAOIFAAAAAA==&#10;">
                <v:fill on="f" focussize="0,0"/>
                <v:stroke on="f" weight="0.5pt"/>
                <v:imagedata o:title=""/>
                <o:lock v:ext="edit" aspectratio="f"/>
                <v:textbox>
                  <w:txbxContent>
                    <w:p>
                      <w:pPr>
                        <w:spacing w:line="240" w:lineRule="auto"/>
                        <w:ind w:left="0" w:leftChars="0" w:firstLine="0" w:firstLineChars="0"/>
                        <w:rPr>
                          <w:color w:val="FFFFFF" w:themeColor="background1"/>
                          <w:sz w:val="13"/>
                          <w:szCs w:val="13"/>
                          <w14:textFill>
                            <w14:solidFill>
                              <w14:schemeClr w14:val="bg1"/>
                            </w14:solidFill>
                          </w14:textFill>
                        </w:rPr>
                      </w:pPr>
                      <w:r>
                        <w:rPr>
                          <w:rFonts w:hint="eastAsia"/>
                          <w:color w:val="FFFFFF" w:themeColor="background1"/>
                          <w:sz w:val="13"/>
                          <w:szCs w:val="13"/>
                          <w14:textFill>
                            <w14:solidFill>
                              <w14:schemeClr w14:val="bg1"/>
                            </w14:solidFill>
                          </w14:textFill>
                        </w:rPr>
                        <w:t>博孜达克农场育种队</w:t>
                      </w:r>
                    </w:p>
                  </w:txbxContent>
                </v:textbox>
              </v:shape>
            </w:pict>
          </mc:Fallback>
        </mc:AlternateContent>
      </w:r>
      <w:r>
        <w:rPr>
          <w:rFonts w:hint="default" w:ascii="Times New Roman" w:hAnsi="Times New Roman" w:eastAsia="仿宋_GB2312" w:cs="Times New Roman"/>
          <w:color w:val="auto"/>
          <w:highlight w:val="yellow"/>
          <w:lang w:eastAsia="zh-CN"/>
        </w:rPr>
        <w:drawing>
          <wp:anchor distT="0" distB="0" distL="114300" distR="114300" simplePos="0" relativeHeight="251676672" behindDoc="0" locked="0" layoutInCell="1" allowOverlap="1">
            <wp:simplePos x="0" y="0"/>
            <wp:positionH relativeFrom="column">
              <wp:posOffset>7117080</wp:posOffset>
            </wp:positionH>
            <wp:positionV relativeFrom="paragraph">
              <wp:posOffset>212090</wp:posOffset>
            </wp:positionV>
            <wp:extent cx="1000125" cy="1009650"/>
            <wp:effectExtent l="0" t="0" r="0" b="0"/>
            <wp:wrapNone/>
            <wp:docPr id="29" name="图片 29"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指北针"/>
                    <pic:cNvPicPr>
                      <a:picLocks noChangeAspect="1"/>
                    </pic:cNvPicPr>
                  </pic:nvPicPr>
                  <pic:blipFill>
                    <a:blip r:embed="rId30"/>
                    <a:stretch>
                      <a:fillRect/>
                    </a:stretch>
                  </pic:blipFill>
                  <pic:spPr>
                    <a:xfrm>
                      <a:off x="0" y="0"/>
                      <a:ext cx="1000125" cy="1009650"/>
                    </a:xfrm>
                    <a:prstGeom prst="rect">
                      <a:avLst/>
                    </a:prstGeom>
                  </pic:spPr>
                </pic:pic>
              </a:graphicData>
            </a:graphic>
          </wp:anchor>
        </w:drawing>
      </w:r>
      <w:r>
        <w:rPr>
          <w:rFonts w:hint="default" w:ascii="Times New Roman" w:hAnsi="Times New Roman" w:cs="Times New Roman"/>
          <w:color w:val="auto"/>
          <w:sz w:val="24"/>
          <w:highlight w:val="yellow"/>
        </w:rPr>
        <mc:AlternateContent>
          <mc:Choice Requires="wps">
            <w:drawing>
              <wp:anchor distT="0" distB="0" distL="114300" distR="114300" simplePos="0" relativeHeight="251666432" behindDoc="0" locked="0" layoutInCell="1" allowOverlap="1">
                <wp:simplePos x="0" y="0"/>
                <wp:positionH relativeFrom="column">
                  <wp:posOffset>6562725</wp:posOffset>
                </wp:positionH>
                <wp:positionV relativeFrom="paragraph">
                  <wp:posOffset>3321685</wp:posOffset>
                </wp:positionV>
                <wp:extent cx="1960245" cy="1390015"/>
                <wp:effectExtent l="0" t="0" r="0" b="0"/>
                <wp:wrapNone/>
                <wp:docPr id="10" name="文本框 844"/>
                <wp:cNvGraphicFramePr/>
                <a:graphic xmlns:a="http://schemas.openxmlformats.org/drawingml/2006/main">
                  <a:graphicData uri="http://schemas.microsoft.com/office/word/2010/wordprocessingShape">
                    <wps:wsp>
                      <wps:cNvSpPr txBox="1"/>
                      <wps:spPr>
                        <a:xfrm>
                          <a:off x="0" y="0"/>
                          <a:ext cx="1960245" cy="1390015"/>
                        </a:xfrm>
                        <a:prstGeom prst="rect">
                          <a:avLst/>
                        </a:prstGeom>
                        <a:noFill/>
                        <a:ln w="9525" cap="flat" cmpd="sng">
                          <a:noFill/>
                          <a:prstDash val="solid"/>
                          <a:miter/>
                          <a:headEnd type="none" w="med" len="med"/>
                          <a:tailEnd type="none" w="med" len="med"/>
                        </a:ln>
                      </wps:spPr>
                      <wps:txbx>
                        <w:txbxContent>
                          <w:p>
                            <w:pPr>
                              <w:bidi w:val="0"/>
                              <w:rPr>
                                <w:color w:val="FFFF00"/>
                                <w:sz w:val="21"/>
                                <w:szCs w:val="21"/>
                              </w:rPr>
                            </w:pPr>
                            <w:r>
                              <w:rPr>
                                <w:color w:val="FFFF00"/>
                                <w:sz w:val="21"/>
                                <w:szCs w:val="21"/>
                              </w:rPr>
                              <w:t>大气环境</w:t>
                            </w:r>
                          </w:p>
                          <w:p>
                            <w:pPr>
                              <w:bidi w:val="0"/>
                              <w:rPr>
                                <w:rFonts w:hint="eastAsia"/>
                                <w:color w:val="FFFF00"/>
                                <w:sz w:val="21"/>
                                <w:szCs w:val="21"/>
                              </w:rPr>
                            </w:pPr>
                            <w:r>
                              <w:rPr>
                                <w:rFonts w:hint="eastAsia"/>
                                <w:color w:val="FFFF00"/>
                                <w:sz w:val="21"/>
                                <w:szCs w:val="21"/>
                              </w:rPr>
                              <w:t>地下水环境</w:t>
                            </w:r>
                          </w:p>
                          <w:p>
                            <w:pPr>
                              <w:pStyle w:val="17"/>
                              <w:rPr>
                                <w:rFonts w:hint="default"/>
                                <w:color w:val="FFFF00"/>
                                <w:sz w:val="21"/>
                                <w:szCs w:val="21"/>
                                <w:lang w:val="en-US" w:eastAsia="zh-CN"/>
                              </w:rPr>
                            </w:pPr>
                            <w:r>
                              <w:rPr>
                                <w:rFonts w:hint="eastAsia"/>
                                <w:color w:val="FFFF00"/>
                                <w:sz w:val="21"/>
                                <w:szCs w:val="21"/>
                                <w:lang w:val="en-US" w:eastAsia="zh-CN"/>
                              </w:rPr>
                              <w:t>土壤环境及生态环境</w:t>
                            </w:r>
                          </w:p>
                          <w:p>
                            <w:pPr>
                              <w:pStyle w:val="17"/>
                              <w:rPr>
                                <w:rFonts w:hint="default"/>
                                <w:color w:val="FFFF00"/>
                                <w:sz w:val="21"/>
                                <w:szCs w:val="21"/>
                                <w:lang w:val="en-US" w:eastAsia="zh-CN"/>
                              </w:rPr>
                            </w:pPr>
                            <w:r>
                              <w:rPr>
                                <w:rFonts w:hint="eastAsia"/>
                                <w:color w:val="FFFF00"/>
                                <w:sz w:val="21"/>
                                <w:szCs w:val="21"/>
                                <w:lang w:val="en-US" w:eastAsia="zh-CN"/>
                              </w:rPr>
                              <w:t>声环境</w:t>
                            </w:r>
                          </w:p>
                        </w:txbxContent>
                      </wps:txbx>
                      <wps:bodyPr vert="horz" wrap="square" anchor="t" anchorCtr="0" upright="1"/>
                    </wps:wsp>
                  </a:graphicData>
                </a:graphic>
              </wp:anchor>
            </w:drawing>
          </mc:Choice>
          <mc:Fallback>
            <w:pict>
              <v:shape id="文本框 844" o:spid="_x0000_s1026" o:spt="202" type="#_x0000_t202" style="position:absolute;left:0pt;margin-left:516.75pt;margin-top:261.55pt;height:109.45pt;width:154.35pt;z-index:251666432;mso-width-relative:page;mso-height-relative:page;" filled="f" stroked="f" coordsize="21600,21600" o:gfxdata="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8UioTZAAAADQEAAA8AAAAA&#10;AAAAAQAgAAAAIgAAAGRycy9kb3ducmV2LnhtbFBLAQIUABQAAAAIAIdO4kBFEQNvEwIAABsEAAAO&#10;AAAAAAAAAAEAIAAAACgBAABkcnMvZTJvRG9jLnhtbFBLBQYAAAAABgAGAFkBAACtBQAAAAA=&#10;">
                <v:fill on="f" focussize="0,0"/>
                <v:stroke on="f" joinstyle="miter"/>
                <v:imagedata o:title=""/>
                <o:lock v:ext="edit" aspectratio="f"/>
                <v:textbox>
                  <w:txbxContent>
                    <w:p>
                      <w:pPr>
                        <w:bidi w:val="0"/>
                        <w:rPr>
                          <w:color w:val="FFFF00"/>
                          <w:sz w:val="21"/>
                          <w:szCs w:val="21"/>
                        </w:rPr>
                      </w:pPr>
                      <w:r>
                        <w:rPr>
                          <w:color w:val="FFFF00"/>
                          <w:sz w:val="21"/>
                          <w:szCs w:val="21"/>
                        </w:rPr>
                        <w:t>大气环境</w:t>
                      </w:r>
                    </w:p>
                    <w:p>
                      <w:pPr>
                        <w:bidi w:val="0"/>
                        <w:rPr>
                          <w:rFonts w:hint="eastAsia"/>
                          <w:color w:val="FFFF00"/>
                          <w:sz w:val="21"/>
                          <w:szCs w:val="21"/>
                        </w:rPr>
                      </w:pPr>
                      <w:r>
                        <w:rPr>
                          <w:rFonts w:hint="eastAsia"/>
                          <w:color w:val="FFFF00"/>
                          <w:sz w:val="21"/>
                          <w:szCs w:val="21"/>
                        </w:rPr>
                        <w:t>地下水环境</w:t>
                      </w:r>
                    </w:p>
                    <w:p>
                      <w:pPr>
                        <w:pStyle w:val="17"/>
                        <w:rPr>
                          <w:rFonts w:hint="default"/>
                          <w:color w:val="FFFF00"/>
                          <w:sz w:val="21"/>
                          <w:szCs w:val="21"/>
                          <w:lang w:val="en-US" w:eastAsia="zh-CN"/>
                        </w:rPr>
                      </w:pPr>
                      <w:r>
                        <w:rPr>
                          <w:rFonts w:hint="eastAsia"/>
                          <w:color w:val="FFFF00"/>
                          <w:sz w:val="21"/>
                          <w:szCs w:val="21"/>
                          <w:lang w:val="en-US" w:eastAsia="zh-CN"/>
                        </w:rPr>
                        <w:t>土壤环境及生态环境</w:t>
                      </w:r>
                    </w:p>
                    <w:p>
                      <w:pPr>
                        <w:pStyle w:val="17"/>
                        <w:rPr>
                          <w:rFonts w:hint="default"/>
                          <w:color w:val="FFFF00"/>
                          <w:sz w:val="21"/>
                          <w:szCs w:val="21"/>
                          <w:lang w:val="en-US" w:eastAsia="zh-CN"/>
                        </w:rPr>
                      </w:pPr>
                      <w:r>
                        <w:rPr>
                          <w:rFonts w:hint="eastAsia"/>
                          <w:color w:val="FFFF00"/>
                          <w:sz w:val="21"/>
                          <w:szCs w:val="21"/>
                          <w:lang w:val="en-US" w:eastAsia="zh-CN"/>
                        </w:rPr>
                        <w:t>声环境</w:t>
                      </w:r>
                    </w:p>
                  </w:txbxContent>
                </v:textbox>
              </v:shape>
            </w:pict>
          </mc:Fallback>
        </mc:AlternateContent>
      </w:r>
      <w:r>
        <w:rPr>
          <w:rFonts w:hint="default" w:ascii="Times New Roman" w:hAnsi="Times New Roman" w:cs="Times New Roman"/>
          <w:color w:val="auto"/>
          <w:sz w:val="24"/>
          <w:highlight w:val="yellow"/>
        </w:rPr>
        <mc:AlternateContent>
          <mc:Choice Requires="wps">
            <w:drawing>
              <wp:anchor distT="0" distB="0" distL="114300" distR="114300" simplePos="0" relativeHeight="251670528" behindDoc="0" locked="0" layoutInCell="1" allowOverlap="1">
                <wp:simplePos x="0" y="0"/>
                <wp:positionH relativeFrom="column">
                  <wp:posOffset>6633845</wp:posOffset>
                </wp:positionH>
                <wp:positionV relativeFrom="paragraph">
                  <wp:posOffset>4203065</wp:posOffset>
                </wp:positionV>
                <wp:extent cx="228600" cy="133350"/>
                <wp:effectExtent l="4445" t="5080" r="14605" b="13970"/>
                <wp:wrapNone/>
                <wp:docPr id="14" name="矩形 848"/>
                <wp:cNvGraphicFramePr/>
                <a:graphic xmlns:a="http://schemas.openxmlformats.org/drawingml/2006/main">
                  <a:graphicData uri="http://schemas.microsoft.com/office/word/2010/wordprocessingShape">
                    <wps:wsp>
                      <wps:cNvSpPr/>
                      <wps:spPr>
                        <a:xfrm>
                          <a:off x="0" y="0"/>
                          <a:ext cx="228600" cy="133350"/>
                        </a:xfrm>
                        <a:prstGeom prst="rect">
                          <a:avLst/>
                        </a:prstGeom>
                        <a:noFill/>
                        <a:ln w="9525" cap="flat" cmpd="sng">
                          <a:solidFill>
                            <a:srgbClr val="FF0000"/>
                          </a:solidFill>
                          <a:prstDash val="solid"/>
                          <a:miter/>
                          <a:headEnd type="none" w="med" len="med"/>
                          <a:tailEnd type="none" w="med" len="med"/>
                        </a:ln>
                      </wps:spPr>
                      <wps:bodyPr vert="horz" wrap="square" anchor="t" anchorCtr="0" upright="1"/>
                    </wps:wsp>
                  </a:graphicData>
                </a:graphic>
              </wp:anchor>
            </w:drawing>
          </mc:Choice>
          <mc:Fallback>
            <w:pict>
              <v:rect id="矩形 848" o:spid="_x0000_s1026" o:spt="1" style="position:absolute;left:0pt;margin-left:522.35pt;margin-top:330.95pt;height:10.5pt;width:18pt;z-index:251670528;mso-width-relative:page;mso-height-relative:page;" filled="f" stroked="t" coordsize="21600,21600" o:gfxdata="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uVZ7H2wAAAA0B&#10;AAAPAAAAAAAAAAEAIAAAACIAAABkcnMvZG93bnJldi54bWxQSwECFAAUAAAACACHTuJAk3VVnRgC&#10;AAAqBAAADgAAAAAAAAABACAAAAAqAQAAZHJzL2Uyb0RvYy54bWxQSwUGAAAAAAYABgBZAQAAtAUA&#10;AAAA&#10;">
                <v:fill on="f" focussize="0,0"/>
                <v:stroke color="#FF0000" joinstyle="miter"/>
                <v:imagedata o:title=""/>
                <o:lock v:ext="edit" aspectratio="f"/>
              </v:rect>
            </w:pict>
          </mc:Fallback>
        </mc:AlternateContent>
      </w:r>
      <w:r>
        <w:rPr>
          <w:rFonts w:hint="default" w:ascii="Times New Roman" w:hAnsi="Times New Roman" w:cs="Times New Roman"/>
          <w:color w:val="auto"/>
          <w:sz w:val="24"/>
          <w:highlight w:val="yellow"/>
        </w:rPr>
        <mc:AlternateContent>
          <mc:Choice Requires="wps">
            <w:drawing>
              <wp:anchor distT="0" distB="0" distL="114300" distR="114300" simplePos="0" relativeHeight="251669504" behindDoc="0" locked="0" layoutInCell="1" allowOverlap="1">
                <wp:simplePos x="0" y="0"/>
                <wp:positionH relativeFrom="column">
                  <wp:posOffset>6624320</wp:posOffset>
                </wp:positionH>
                <wp:positionV relativeFrom="paragraph">
                  <wp:posOffset>3936365</wp:posOffset>
                </wp:positionV>
                <wp:extent cx="228600" cy="133350"/>
                <wp:effectExtent l="4445" t="5080" r="14605" b="13970"/>
                <wp:wrapNone/>
                <wp:docPr id="13" name="矩形 847"/>
                <wp:cNvGraphicFramePr/>
                <a:graphic xmlns:a="http://schemas.openxmlformats.org/drawingml/2006/main">
                  <a:graphicData uri="http://schemas.microsoft.com/office/word/2010/wordprocessingShape">
                    <wps:wsp>
                      <wps:cNvSpPr/>
                      <wps:spPr>
                        <a:xfrm>
                          <a:off x="0" y="0"/>
                          <a:ext cx="228600" cy="133350"/>
                        </a:xfrm>
                        <a:prstGeom prst="rect">
                          <a:avLst/>
                        </a:prstGeom>
                        <a:noFill/>
                        <a:ln w="9525" cap="flat" cmpd="sng">
                          <a:solidFill>
                            <a:srgbClr val="00B050"/>
                          </a:solidFill>
                          <a:prstDash val="solid"/>
                          <a:miter/>
                          <a:headEnd type="none" w="med" len="med"/>
                          <a:tailEnd type="none" w="med" len="med"/>
                        </a:ln>
                      </wps:spPr>
                      <wps:bodyPr vert="horz" wrap="square" anchor="t" anchorCtr="0" upright="1"/>
                    </wps:wsp>
                  </a:graphicData>
                </a:graphic>
              </wp:anchor>
            </w:drawing>
          </mc:Choice>
          <mc:Fallback>
            <w:pict>
              <v:rect id="矩形 847" o:spid="_x0000_s1026" o:spt="1" style="position:absolute;left:0pt;margin-left:521.6pt;margin-top:309.95pt;height:10.5pt;width:18pt;z-index:251669504;mso-width-relative:page;mso-height-relative:page;" filled="f" stroked="t" coordsize="21600,21600" o:gfxdata="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HcaK51wAAAA0BAAAPAAAA&#10;AAAAAAEAIAAAACIAAABkcnMvZG93bnJldi54bWxQSwECFAAUAAAACACHTuJACRHqKxYCAAAqBAAA&#10;DgAAAAAAAAABACAAAAAmAQAAZHJzL2Uyb0RvYy54bWxQSwUGAAAAAAYABgBZAQAArgUAAAAA&#10;">
                <v:fill on="f" focussize="0,0"/>
                <v:stroke color="#00B050" joinstyle="miter"/>
                <v:imagedata o:title=""/>
                <o:lock v:ext="edit" aspectratio="f"/>
              </v:rect>
            </w:pict>
          </mc:Fallback>
        </mc:AlternateContent>
      </w:r>
      <w:r>
        <w:rPr>
          <w:rFonts w:hint="default" w:ascii="Times New Roman" w:hAnsi="Times New Roman" w:cs="Times New Roman"/>
          <w:color w:val="auto"/>
          <w:sz w:val="24"/>
          <w:highlight w:val="yellow"/>
        </w:rPr>
        <mc:AlternateContent>
          <mc:Choice Requires="wps">
            <w:drawing>
              <wp:anchor distT="0" distB="0" distL="114300" distR="114300" simplePos="0" relativeHeight="251668480" behindDoc="0" locked="0" layoutInCell="1" allowOverlap="1">
                <wp:simplePos x="0" y="0"/>
                <wp:positionH relativeFrom="column">
                  <wp:posOffset>6614795</wp:posOffset>
                </wp:positionH>
                <wp:positionV relativeFrom="paragraph">
                  <wp:posOffset>3679190</wp:posOffset>
                </wp:positionV>
                <wp:extent cx="228600" cy="133350"/>
                <wp:effectExtent l="4445" t="5080" r="14605" b="13970"/>
                <wp:wrapNone/>
                <wp:docPr id="12" name="矩形 846"/>
                <wp:cNvGraphicFramePr/>
                <a:graphic xmlns:a="http://schemas.openxmlformats.org/drawingml/2006/main">
                  <a:graphicData uri="http://schemas.microsoft.com/office/word/2010/wordprocessingShape">
                    <wps:wsp>
                      <wps:cNvSpPr/>
                      <wps:spPr>
                        <a:xfrm>
                          <a:off x="0" y="0"/>
                          <a:ext cx="228600" cy="133350"/>
                        </a:xfrm>
                        <a:prstGeom prst="rect">
                          <a:avLst/>
                        </a:prstGeom>
                        <a:noFill/>
                        <a:ln w="9525" cap="flat" cmpd="sng">
                          <a:solidFill>
                            <a:srgbClr val="00B0F0"/>
                          </a:solidFill>
                          <a:prstDash val="solid"/>
                          <a:miter/>
                          <a:headEnd type="none" w="med" len="med"/>
                          <a:tailEnd type="none" w="med" len="med"/>
                        </a:ln>
                      </wps:spPr>
                      <wps:bodyPr vert="horz" wrap="square" anchor="t" anchorCtr="0" upright="1"/>
                    </wps:wsp>
                  </a:graphicData>
                </a:graphic>
              </wp:anchor>
            </w:drawing>
          </mc:Choice>
          <mc:Fallback>
            <w:pict>
              <v:rect id="矩形 846" o:spid="_x0000_s1026" o:spt="1" style="position:absolute;left:0pt;margin-left:520.85pt;margin-top:289.7pt;height:10.5pt;width:18pt;z-index:251668480;mso-width-relative:page;mso-height-relative:page;" filled="f" stroked="t" coordsize="21600,21600" o:gfxdata="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EXQpo2gAAAA0BAAAP&#10;AAAAAAAAAAEAIAAAACIAAABkcnMvZG93bnJldi54bWxQSwECFAAUAAAACACHTuJADL8ZfBYCAAAq&#10;BAAADgAAAAAAAAABACAAAAApAQAAZHJzL2Uyb0RvYy54bWxQSwUGAAAAAAYABgBZAQAAsQUAAAAA&#10;">
                <v:fill on="f" focussize="0,0"/>
                <v:stroke color="#00B0F0" joinstyle="miter"/>
                <v:imagedata o:title=""/>
                <o:lock v:ext="edit" aspectratio="f"/>
              </v:rect>
            </w:pict>
          </mc:Fallback>
        </mc:AlternateContent>
      </w:r>
      <w:r>
        <w:rPr>
          <w:rFonts w:hint="default" w:ascii="Times New Roman" w:hAnsi="Times New Roman" w:cs="Times New Roman"/>
          <w:color w:val="auto"/>
          <w:sz w:val="24"/>
          <w:highlight w:val="yellow"/>
        </w:rPr>
        <mc:AlternateContent>
          <mc:Choice Requires="wps">
            <w:drawing>
              <wp:anchor distT="0" distB="0" distL="114300" distR="114300" simplePos="0" relativeHeight="251667456" behindDoc="0" locked="0" layoutInCell="1" allowOverlap="1">
                <wp:simplePos x="0" y="0"/>
                <wp:positionH relativeFrom="column">
                  <wp:posOffset>6614795</wp:posOffset>
                </wp:positionH>
                <wp:positionV relativeFrom="paragraph">
                  <wp:posOffset>3412490</wp:posOffset>
                </wp:positionV>
                <wp:extent cx="228600" cy="133350"/>
                <wp:effectExtent l="4445" t="5080" r="14605" b="13970"/>
                <wp:wrapNone/>
                <wp:docPr id="11" name="矩形 845"/>
                <wp:cNvGraphicFramePr/>
                <a:graphic xmlns:a="http://schemas.openxmlformats.org/drawingml/2006/main">
                  <a:graphicData uri="http://schemas.microsoft.com/office/word/2010/wordprocessingShape">
                    <wps:wsp>
                      <wps:cNvSpPr/>
                      <wps:spPr>
                        <a:xfrm>
                          <a:off x="0" y="0"/>
                          <a:ext cx="228600" cy="133350"/>
                        </a:xfrm>
                        <a:prstGeom prst="rect">
                          <a:avLst/>
                        </a:prstGeom>
                        <a:noFill/>
                        <a:ln w="9525" cap="flat" cmpd="sng">
                          <a:solidFill>
                            <a:srgbClr val="7030A0"/>
                          </a:solidFill>
                          <a:prstDash val="solid"/>
                          <a:miter/>
                          <a:headEnd type="none" w="med" len="med"/>
                          <a:tailEnd type="none" w="med" len="med"/>
                        </a:ln>
                      </wps:spPr>
                      <wps:bodyPr vert="horz" wrap="square" anchor="t" anchorCtr="0" upright="1"/>
                    </wps:wsp>
                  </a:graphicData>
                </a:graphic>
              </wp:anchor>
            </w:drawing>
          </mc:Choice>
          <mc:Fallback>
            <w:pict>
              <v:rect id="矩形 845" o:spid="_x0000_s1026" o:spt="1" style="position:absolute;left:0pt;margin-left:520.85pt;margin-top:268.7pt;height:10.5pt;width:18pt;z-index:251667456;mso-width-relative:page;mso-height-relative:page;" filled="f" stroked="t" coordsize="21600,21600" o:gfxdata="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6P7q3aAAAADQEA&#10;AA8AAAAAAAAAAQAgAAAAIgAAAGRycy9kb3ducmV2LnhtbFBLAQIUABQAAAAIAIdO4kBbmJ0SGAIA&#10;ACoEAAAOAAAAAAAAAAEAIAAAACkBAABkcnMvZTJvRG9jLnhtbFBLBQYAAAAABgAGAFkBAACzBQAA&#10;AAA=&#10;">
                <v:fill on="f" focussize="0,0"/>
                <v:stroke color="#7030A0" joinstyle="miter"/>
                <v:imagedata o:title=""/>
                <o:lock v:ext="edit" aspectratio="f"/>
              </v:rect>
            </w:pict>
          </mc:Fallback>
        </mc:AlternateContent>
      </w:r>
      <w:r>
        <w:rPr>
          <w:rFonts w:hint="default" w:ascii="Times New Roman" w:hAnsi="Times New Roman" w:cs="Times New Roman"/>
          <w:color w:val="auto"/>
        </w:rPr>
        <w:drawing>
          <wp:inline distT="0" distB="0" distL="114300" distR="114300">
            <wp:extent cx="8631555" cy="4951730"/>
            <wp:effectExtent l="0" t="0" r="17145" b="127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31"/>
                    <a:stretch>
                      <a:fillRect/>
                    </a:stretch>
                  </pic:blipFill>
                  <pic:spPr>
                    <a:xfrm>
                      <a:off x="0" y="0"/>
                      <a:ext cx="8631555" cy="4951730"/>
                    </a:xfrm>
                    <a:prstGeom prst="rect">
                      <a:avLst/>
                    </a:prstGeom>
                    <a:noFill/>
                    <a:ln>
                      <a:noFill/>
                    </a:ln>
                  </pic:spPr>
                </pic:pic>
              </a:graphicData>
            </a:graphic>
          </wp:inline>
        </w:drawing>
      </w:r>
    </w:p>
    <w:p>
      <w:pPr>
        <w:pStyle w:val="47"/>
        <w:pageBreakBefore w:val="0"/>
        <w:wordWrap/>
        <w:bidi w:val="0"/>
        <w:adjustRightInd w:val="0"/>
        <w:ind w:left="0" w:leftChars="0" w:right="0" w:rightChars="0" w:firstLine="0" w:firstLineChars="0"/>
        <w:jc w:val="center"/>
        <w:rPr>
          <w:rFonts w:hint="default" w:ascii="Times New Roman" w:hAnsi="Times New Roman" w:cs="Times New Roman"/>
          <w:color w:val="auto"/>
          <w:highlight w:val="none"/>
        </w:rPr>
      </w:pPr>
      <w:r>
        <w:rPr>
          <w:rFonts w:hint="default" w:ascii="Times New Roman" w:hAnsi="Times New Roman" w:eastAsia="宋体" w:cs="Times New Roman"/>
          <w:b/>
          <w:color w:val="auto"/>
          <w:kern w:val="2"/>
          <w:sz w:val="24"/>
          <w:szCs w:val="28"/>
          <w:highlight w:val="none"/>
          <w:lang w:val="en-US" w:eastAsia="zh-CN" w:bidi="ar-SA"/>
        </w:rPr>
        <w:t>图2.</w:t>
      </w:r>
      <w:r>
        <w:rPr>
          <w:rFonts w:hint="eastAsia" w:ascii="Times New Roman" w:hAnsi="Times New Roman" w:eastAsia="宋体" w:cs="Times New Roman"/>
          <w:b/>
          <w:color w:val="auto"/>
          <w:kern w:val="2"/>
          <w:sz w:val="24"/>
          <w:szCs w:val="28"/>
          <w:highlight w:val="none"/>
          <w:lang w:val="en-US" w:eastAsia="zh-CN" w:bidi="ar-SA"/>
        </w:rPr>
        <w:t>7</w:t>
      </w:r>
      <w:r>
        <w:rPr>
          <w:rFonts w:hint="default" w:ascii="Times New Roman" w:hAnsi="Times New Roman" w:eastAsia="宋体" w:cs="Times New Roman"/>
          <w:b/>
          <w:color w:val="auto"/>
          <w:kern w:val="2"/>
          <w:sz w:val="24"/>
          <w:szCs w:val="28"/>
          <w:highlight w:val="none"/>
          <w:lang w:val="en-US" w:eastAsia="zh-CN" w:bidi="ar-SA"/>
        </w:rPr>
        <w:t>-1    评价范围及环境敏感目标图</w:t>
      </w:r>
    </w:p>
    <w:p>
      <w:pPr>
        <w:pageBreakBefore w:val="0"/>
        <w:wordWrap/>
        <w:bidi w:val="0"/>
        <w:adjustRightInd w:val="0"/>
        <w:ind w:left="0" w:leftChars="0" w:right="0" w:rightChars="0" w:firstLine="480"/>
        <w:rPr>
          <w:rFonts w:hint="default" w:ascii="Times New Roman" w:hAnsi="Times New Roman" w:cs="Times New Roman"/>
          <w:color w:val="auto"/>
          <w:highlight w:val="yellow"/>
        </w:rPr>
        <w:sectPr>
          <w:pgSz w:w="16838" w:h="11906" w:orient="landscape"/>
          <w:pgMar w:top="1701" w:right="1814" w:bottom="1701" w:left="1418" w:header="1134" w:footer="851" w:gutter="0"/>
          <w:pgBorders>
            <w:top w:val="none" w:sz="0" w:space="0"/>
            <w:left w:val="none" w:sz="0" w:space="0"/>
            <w:bottom w:val="none" w:sz="0" w:space="0"/>
            <w:right w:val="none" w:sz="0" w:space="0"/>
          </w:pgBorders>
          <w:pgNumType w:fmt="decimal"/>
          <w:cols w:space="720" w:num="1"/>
          <w:docGrid w:type="lines" w:linePitch="312" w:charSpace="0"/>
        </w:sectPr>
      </w:pPr>
    </w:p>
    <w:p>
      <w:pPr>
        <w:pStyle w:val="3"/>
        <w:pageBreakBefore w:val="0"/>
        <w:wordWrap/>
        <w:bidi w:val="0"/>
        <w:adjustRightInd w:val="0"/>
        <w:ind w:left="0" w:leftChars="0" w:right="0" w:rightChars="0" w:hanging="432" w:firstLineChars="0"/>
        <w:jc w:val="center"/>
        <w:rPr>
          <w:rFonts w:hint="default" w:ascii="Times New Roman" w:hAnsi="Times New Roman" w:cs="Times New Roman"/>
          <w:color w:val="auto"/>
          <w:highlight w:val="none"/>
        </w:rPr>
      </w:pPr>
      <w:bookmarkStart w:id="115" w:name="_Toc4085"/>
      <w:bookmarkStart w:id="116" w:name="_Toc3226"/>
      <w:bookmarkStart w:id="117" w:name="_Toc263850726"/>
      <w:bookmarkStart w:id="118" w:name="_Toc11634"/>
      <w:r>
        <w:rPr>
          <w:rFonts w:hint="default" w:ascii="Times New Roman" w:hAnsi="Times New Roman" w:cs="Times New Roman"/>
          <w:color w:val="auto"/>
          <w:highlight w:val="none"/>
        </w:rPr>
        <w:t>建设项目工程分析</w:t>
      </w:r>
      <w:bookmarkEnd w:id="115"/>
      <w:bookmarkEnd w:id="116"/>
      <w:bookmarkEnd w:id="117"/>
      <w:bookmarkEnd w:id="118"/>
    </w:p>
    <w:p>
      <w:pPr>
        <w:pStyle w:val="4"/>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119" w:name="_Toc25497"/>
      <w:bookmarkStart w:id="120" w:name="_Toc15139"/>
      <w:bookmarkStart w:id="121" w:name="_Toc17454"/>
      <w:r>
        <w:rPr>
          <w:rFonts w:hint="default" w:ascii="Times New Roman" w:hAnsi="Times New Roman" w:cs="Times New Roman"/>
          <w:color w:val="auto"/>
          <w:highlight w:val="none"/>
          <w:lang w:val="en-US" w:eastAsia="zh-CN"/>
        </w:rPr>
        <w:t>本</w:t>
      </w:r>
      <w:r>
        <w:rPr>
          <w:rFonts w:hint="default" w:ascii="Times New Roman" w:hAnsi="Times New Roman" w:cs="Times New Roman"/>
          <w:color w:val="auto"/>
          <w:highlight w:val="none"/>
        </w:rPr>
        <w:t>项目概况</w:t>
      </w:r>
      <w:bookmarkEnd w:id="119"/>
      <w:bookmarkEnd w:id="120"/>
      <w:bookmarkEnd w:id="121"/>
    </w:p>
    <w:p>
      <w:pPr>
        <w:pageBreakBefore w:val="0"/>
        <w:wordWrap/>
        <w:bidi w:val="0"/>
        <w:adjustRightInd w:val="0"/>
        <w:ind w:left="0" w:leftChars="0" w:right="0" w:rightChars="0" w:firstLine="480"/>
        <w:rPr>
          <w:rFonts w:hint="default" w:ascii="Times New Roman" w:hAnsi="Times New Roman" w:eastAsia="宋体" w:cs="Times New Roman"/>
          <w:color w:val="auto"/>
          <w:kern w:val="0"/>
          <w:highlight w:val="none"/>
          <w:lang w:eastAsia="zh-CN"/>
        </w:rPr>
      </w:pPr>
      <w:r>
        <w:rPr>
          <w:rFonts w:hint="default" w:ascii="Times New Roman" w:hAnsi="Times New Roman" w:cs="Times New Roman"/>
          <w:color w:val="auto"/>
          <w:kern w:val="0"/>
          <w:highlight w:val="none"/>
        </w:rPr>
        <w:t>项目名称：</w:t>
      </w:r>
      <w:r>
        <w:rPr>
          <w:rFonts w:hint="default" w:ascii="Times New Roman" w:hAnsi="Times New Roman" w:cs="Times New Roman"/>
          <w:color w:val="auto"/>
          <w:kern w:val="0"/>
          <w:highlight w:val="none"/>
          <w:lang w:eastAsia="zh-CN"/>
        </w:rPr>
        <w:t>塔城奶牛现代化养殖基地建设项目</w:t>
      </w:r>
    </w:p>
    <w:p>
      <w:pPr>
        <w:pageBreakBefore w:val="0"/>
        <w:wordWrap/>
        <w:bidi w:val="0"/>
        <w:adjustRightInd w:val="0"/>
        <w:ind w:left="0" w:leftChars="0" w:right="0" w:rightChars="0" w:firstLine="480"/>
        <w:rPr>
          <w:rFonts w:hint="default" w:ascii="Times New Roman" w:hAnsi="Times New Roman" w:cs="Times New Roman"/>
          <w:color w:val="auto"/>
          <w:kern w:val="0"/>
          <w:highlight w:val="none"/>
          <w:lang w:eastAsia="zh-CN"/>
        </w:rPr>
      </w:pPr>
      <w:r>
        <w:rPr>
          <w:rFonts w:hint="default" w:ascii="Times New Roman" w:hAnsi="Times New Roman" w:cs="Times New Roman"/>
          <w:color w:val="auto"/>
          <w:kern w:val="0"/>
          <w:highlight w:val="none"/>
        </w:rPr>
        <w:t>建设单</w:t>
      </w:r>
      <w:r>
        <w:rPr>
          <w:rFonts w:hint="default" w:ascii="Times New Roman" w:hAnsi="Times New Roman" w:cs="Times New Roman"/>
          <w:color w:val="auto"/>
          <w:kern w:val="0"/>
          <w:highlight w:val="none"/>
          <w:lang w:eastAsia="zh-CN"/>
        </w:rPr>
        <w:t>位：</w:t>
      </w:r>
      <w:r>
        <w:rPr>
          <w:rFonts w:hint="eastAsia" w:cs="Times New Roman"/>
          <w:color w:val="auto"/>
          <w:kern w:val="0"/>
          <w:highlight w:val="none"/>
          <w:lang w:val="en-US" w:eastAsia="zh-CN"/>
        </w:rPr>
        <w:t>伊犁哈萨克自治州塔城地区畜牧兽医局</w:t>
      </w:r>
    </w:p>
    <w:p>
      <w:pPr>
        <w:pageBreakBefore w:val="0"/>
        <w:wordWrap/>
        <w:bidi w:val="0"/>
        <w:adjustRightInd w:val="0"/>
        <w:ind w:left="0" w:leftChars="0" w:right="0" w:rightChars="0"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建设性质：</w:t>
      </w:r>
      <w:r>
        <w:rPr>
          <w:rFonts w:hint="default" w:ascii="Times New Roman" w:hAnsi="Times New Roman" w:cs="Times New Roman"/>
          <w:color w:val="auto"/>
          <w:kern w:val="0"/>
          <w:highlight w:val="none"/>
          <w:lang w:val="en-US" w:eastAsia="zh-CN"/>
        </w:rPr>
        <w:t>新建</w:t>
      </w:r>
    </w:p>
    <w:p>
      <w:pPr>
        <w:pageBreakBefore w:val="0"/>
        <w:wordWrap/>
        <w:bidi w:val="0"/>
        <w:adjustRightInd w:val="0"/>
        <w:ind w:left="0" w:leftChars="0" w:right="0" w:rightChars="0" w:firstLine="480"/>
        <w:rPr>
          <w:rFonts w:hint="default" w:ascii="Times New Roman" w:hAnsi="Times New Roman" w:eastAsia="宋体" w:cs="Times New Roman"/>
          <w:color w:val="auto"/>
          <w:kern w:val="0"/>
          <w:highlight w:val="none"/>
          <w:lang w:eastAsia="zh-CN"/>
        </w:rPr>
      </w:pPr>
      <w:r>
        <w:rPr>
          <w:rFonts w:hint="default" w:ascii="Times New Roman" w:hAnsi="Times New Roman" w:cs="Times New Roman"/>
          <w:color w:val="auto"/>
          <w:kern w:val="0"/>
          <w:highlight w:val="none"/>
        </w:rPr>
        <w:t>建设地点：</w:t>
      </w:r>
      <w:r>
        <w:rPr>
          <w:rFonts w:hint="default" w:ascii="Times New Roman" w:hAnsi="Times New Roman" w:cs="Times New Roman"/>
          <w:color w:val="auto"/>
          <w:kern w:val="0"/>
          <w:highlight w:val="none"/>
          <w:lang w:val="en-GB"/>
        </w:rPr>
        <w:t>本项目选址位于</w:t>
      </w:r>
      <w:r>
        <w:rPr>
          <w:rFonts w:hint="default" w:ascii="Times New Roman" w:hAnsi="Times New Roman" w:cs="Times New Roman"/>
          <w:color w:val="auto"/>
          <w:kern w:val="0"/>
          <w:highlight w:val="none"/>
          <w:lang w:eastAsia="zh-CN"/>
        </w:rPr>
        <w:t>塔城市博孜达克镇三园子村</w:t>
      </w:r>
      <w:r>
        <w:rPr>
          <w:rFonts w:hint="default" w:ascii="Times New Roman" w:hAnsi="Times New Roman" w:cs="Times New Roman"/>
          <w:color w:val="auto"/>
          <w:kern w:val="0"/>
          <w:highlight w:val="none"/>
          <w:lang w:val="en-GB"/>
        </w:rPr>
        <w:t>，</w:t>
      </w:r>
      <w:r>
        <w:rPr>
          <w:rFonts w:hint="default" w:ascii="Times New Roman" w:hAnsi="Times New Roman" w:cs="Times New Roman"/>
          <w:color w:val="auto"/>
          <w:highlight w:val="none"/>
          <w:lang w:val="en-GB"/>
        </w:rPr>
        <w:t>地理坐标为</w:t>
      </w:r>
      <w:r>
        <w:rPr>
          <w:rFonts w:hint="default" w:ascii="Times New Roman" w:hAnsi="Times New Roman" w:cs="Times New Roman"/>
          <w:color w:val="auto"/>
          <w:highlight w:val="none"/>
        </w:rPr>
        <w:t>东经：</w:t>
      </w:r>
      <w:r>
        <w:rPr>
          <w:rFonts w:hint="default" w:ascii="Times New Roman" w:hAnsi="Times New Roman" w:cs="Times New Roman"/>
          <w:color w:val="auto"/>
          <w:highlight w:val="none"/>
          <w:lang w:eastAsia="zh-CN"/>
        </w:rPr>
        <w:t>83°11′51.214″</w:t>
      </w:r>
      <w:r>
        <w:rPr>
          <w:rFonts w:hint="default" w:ascii="Times New Roman" w:hAnsi="Times New Roman" w:cs="Times New Roman"/>
          <w:color w:val="auto"/>
          <w:highlight w:val="none"/>
        </w:rPr>
        <w:t>，北纬：</w:t>
      </w:r>
      <w:r>
        <w:rPr>
          <w:rFonts w:hint="default" w:ascii="Times New Roman" w:hAnsi="Times New Roman" w:cs="Times New Roman"/>
          <w:color w:val="auto"/>
          <w:highlight w:val="none"/>
          <w:lang w:eastAsia="zh-CN"/>
        </w:rPr>
        <w:t>46°35′48.363″。</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建设工期：</w:t>
      </w:r>
      <w:r>
        <w:rPr>
          <w:rFonts w:hint="default" w:ascii="Times New Roman" w:hAnsi="Times New Roman" w:cs="Times New Roman"/>
          <w:color w:val="auto"/>
          <w:kern w:val="0"/>
          <w:highlight w:val="none"/>
          <w:lang w:val="en-US" w:eastAsia="zh-CN"/>
        </w:rPr>
        <w:t>24</w:t>
      </w:r>
      <w:r>
        <w:rPr>
          <w:rFonts w:hint="default" w:ascii="Times New Roman" w:hAnsi="Times New Roman" w:cs="Times New Roman"/>
          <w:color w:val="auto"/>
          <w:kern w:val="0"/>
          <w:highlight w:val="none"/>
        </w:rPr>
        <w:t>个月。</w:t>
      </w:r>
    </w:p>
    <w:p>
      <w:pPr>
        <w:pageBreakBefore w:val="0"/>
        <w:wordWrap/>
        <w:bidi w:val="0"/>
        <w:adjustRightInd w:val="0"/>
        <w:ind w:left="0" w:leftChars="0" w:right="0" w:rightChars="0"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投资：总投资</w:t>
      </w:r>
      <w:r>
        <w:rPr>
          <w:rFonts w:hint="default" w:ascii="Times New Roman" w:hAnsi="Times New Roman" w:cs="Times New Roman"/>
          <w:color w:val="auto"/>
          <w:kern w:val="0"/>
          <w:highlight w:val="none"/>
          <w:lang w:val="en-US" w:eastAsia="zh-CN"/>
        </w:rPr>
        <w:t>14000</w:t>
      </w:r>
      <w:r>
        <w:rPr>
          <w:rFonts w:hint="default" w:ascii="Times New Roman" w:hAnsi="Times New Roman" w:cs="Times New Roman"/>
          <w:color w:val="auto"/>
          <w:kern w:val="0"/>
          <w:highlight w:val="none"/>
        </w:rPr>
        <w:t>万元。</w:t>
      </w:r>
    </w:p>
    <w:p>
      <w:pPr>
        <w:pageBreakBefore w:val="0"/>
        <w:wordWrap/>
        <w:bidi w:val="0"/>
        <w:adjustRightInd w:val="0"/>
        <w:ind w:left="0" w:leftChars="0" w:right="0" w:rightChars="0" w:firstLine="480"/>
        <w:rPr>
          <w:rFonts w:hint="default" w:ascii="Times New Roman" w:hAnsi="Times New Roman" w:eastAsia="宋体" w:cs="Times New Roman"/>
          <w:color w:val="auto"/>
          <w:kern w:val="0"/>
          <w:highlight w:val="none"/>
          <w:lang w:val="en-US" w:eastAsia="zh-CN"/>
        </w:rPr>
      </w:pPr>
      <w:r>
        <w:rPr>
          <w:rFonts w:hint="default" w:ascii="Times New Roman" w:hAnsi="Times New Roman" w:eastAsia="宋体" w:cs="Times New Roman"/>
          <w:color w:val="auto"/>
          <w:kern w:val="0"/>
          <w:highlight w:val="none"/>
        </w:rPr>
        <w:t>本项目占地面积</w:t>
      </w:r>
      <w:r>
        <w:rPr>
          <w:rFonts w:hint="default" w:ascii="Times New Roman" w:hAnsi="Times New Roman" w:eastAsia="宋体" w:cs="Times New Roman"/>
          <w:color w:val="auto"/>
          <w:kern w:val="0"/>
          <w:highlight w:val="none"/>
          <w:lang w:eastAsia="zh-CN"/>
        </w:rPr>
        <w:t>：</w:t>
      </w:r>
      <w:r>
        <w:rPr>
          <w:rFonts w:hint="default" w:ascii="Times New Roman" w:hAnsi="Times New Roman" w:cs="Times New Roman"/>
          <w:color w:val="auto"/>
          <w:kern w:val="0"/>
          <w:highlight w:val="none"/>
          <w:lang w:val="en-US" w:eastAsia="zh-CN"/>
        </w:rPr>
        <w:t>667030.39平方米</w:t>
      </w:r>
      <w:r>
        <w:rPr>
          <w:rFonts w:hint="default" w:ascii="Times New Roman" w:hAnsi="Times New Roman" w:eastAsia="宋体" w:cs="Times New Roman"/>
          <w:color w:val="auto"/>
          <w:kern w:val="0"/>
          <w:highlight w:val="none"/>
          <w:lang w:val="en-US" w:eastAsia="zh-CN"/>
        </w:rPr>
        <w:t>。</w:t>
      </w:r>
    </w:p>
    <w:p>
      <w:pPr>
        <w:pageBreakBefore w:val="0"/>
        <w:wordWrap/>
        <w:bidi w:val="0"/>
        <w:adjustRightInd w:val="0"/>
        <w:ind w:left="0" w:leftChars="0" w:right="0" w:rightChars="0" w:firstLine="480"/>
        <w:rPr>
          <w:rFonts w:hint="default" w:ascii="Times New Roman" w:hAnsi="Times New Roman" w:cs="Times New Roman"/>
          <w:color w:val="auto"/>
          <w:spacing w:val="-6"/>
          <w:kern w:val="0"/>
          <w:sz w:val="24"/>
          <w:highlight w:val="none"/>
        </w:rPr>
      </w:pPr>
      <w:r>
        <w:rPr>
          <w:rFonts w:hint="default" w:ascii="Times New Roman" w:hAnsi="Times New Roman" w:cs="Times New Roman"/>
          <w:color w:val="auto"/>
          <w:spacing w:val="-6"/>
          <w:kern w:val="0"/>
          <w:sz w:val="24"/>
          <w:highlight w:val="none"/>
        </w:rPr>
        <w:t>劳动定员</w:t>
      </w:r>
      <w:r>
        <w:rPr>
          <w:rFonts w:hint="eastAsia" w:ascii="Times New Roman" w:hAnsi="Times New Roman" w:cs="Times New Roman"/>
          <w:color w:val="auto"/>
          <w:spacing w:val="-6"/>
          <w:kern w:val="0"/>
          <w:sz w:val="24"/>
          <w:highlight w:val="none"/>
          <w:lang w:val="en-US" w:eastAsia="zh-CN"/>
        </w:rPr>
        <w:t xml:space="preserve"> </w:t>
      </w:r>
      <w:r>
        <w:rPr>
          <w:rFonts w:hint="default" w:ascii="Times New Roman" w:hAnsi="Times New Roman" w:cs="Times New Roman"/>
          <w:color w:val="auto"/>
          <w:spacing w:val="-6"/>
          <w:kern w:val="0"/>
          <w:sz w:val="24"/>
          <w:highlight w:val="none"/>
        </w:rPr>
        <w:t>：项目定员</w:t>
      </w:r>
      <w:r>
        <w:rPr>
          <w:rFonts w:hint="default" w:ascii="Times New Roman" w:hAnsi="Times New Roman" w:cs="Times New Roman"/>
          <w:color w:val="auto"/>
          <w:spacing w:val="-6"/>
          <w:kern w:val="0"/>
          <w:sz w:val="24"/>
          <w:highlight w:val="none"/>
          <w:lang w:val="en-US" w:eastAsia="zh-CN"/>
        </w:rPr>
        <w:t>50</w:t>
      </w:r>
      <w:r>
        <w:rPr>
          <w:rFonts w:hint="default" w:ascii="Times New Roman" w:hAnsi="Times New Roman" w:cs="Times New Roman"/>
          <w:color w:val="auto"/>
          <w:spacing w:val="-6"/>
          <w:kern w:val="0"/>
          <w:sz w:val="24"/>
          <w:highlight w:val="none"/>
        </w:rPr>
        <w:t>人，主要负责养殖、设备维护、值班等。全年工作365天</w:t>
      </w:r>
      <w:r>
        <w:rPr>
          <w:rFonts w:hint="eastAsia" w:cs="Times New Roman"/>
          <w:color w:val="auto"/>
          <w:spacing w:val="-6"/>
          <w:kern w:val="0"/>
          <w:sz w:val="24"/>
          <w:highlight w:val="none"/>
          <w:lang w:eastAsia="zh-CN"/>
        </w:rPr>
        <w:t>，</w:t>
      </w:r>
      <w:r>
        <w:rPr>
          <w:rFonts w:hint="eastAsia" w:cs="Times New Roman"/>
          <w:color w:val="auto"/>
          <w:spacing w:val="-6"/>
          <w:kern w:val="0"/>
          <w:sz w:val="24"/>
          <w:highlight w:val="none"/>
          <w:lang w:val="en-US" w:eastAsia="zh-CN"/>
        </w:rPr>
        <w:t>八小时工作制</w:t>
      </w:r>
      <w:r>
        <w:rPr>
          <w:rFonts w:hint="default" w:ascii="Times New Roman" w:hAnsi="Times New Roman" w:cs="Times New Roman"/>
          <w:color w:val="auto"/>
          <w:spacing w:val="-6"/>
          <w:kern w:val="0"/>
          <w:sz w:val="24"/>
          <w:highlight w:val="none"/>
        </w:rPr>
        <w:t>。</w:t>
      </w:r>
    </w:p>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122" w:name="_Toc6853"/>
      <w:r>
        <w:rPr>
          <w:rFonts w:hint="default" w:ascii="Times New Roman" w:hAnsi="Times New Roman" w:cs="Times New Roman"/>
          <w:color w:val="auto"/>
          <w:highlight w:val="none"/>
        </w:rPr>
        <w:t>建设内容及规模</w:t>
      </w:r>
      <w:bookmarkEnd w:id="122"/>
    </w:p>
    <w:p>
      <w:pPr>
        <w:pStyle w:val="15"/>
        <w:pageBreakBefore w:val="0"/>
        <w:wordWrap/>
        <w:bidi w:val="0"/>
        <w:adjustRightInd w:val="0"/>
        <w:ind w:left="0" w:leftChars="0" w:right="0" w:rightChars="0"/>
        <w:rPr>
          <w:rFonts w:hint="default" w:ascii="Times New Roman" w:hAnsi="Times New Roman"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建设规模：本项目存栏</w:t>
      </w:r>
      <w:r>
        <w:rPr>
          <w:rFonts w:hint="default" w:ascii="Times New Roman" w:hAnsi="Times New Roman" w:cs="Times New Roman"/>
          <w:color w:val="auto"/>
          <w:kern w:val="2"/>
          <w:sz w:val="24"/>
          <w:szCs w:val="24"/>
          <w:highlight w:val="none"/>
          <w:lang w:val="en-US" w:eastAsia="zh-CN" w:bidi="ar-SA"/>
        </w:rPr>
        <w:t>奶牛3000</w:t>
      </w:r>
      <w:r>
        <w:rPr>
          <w:rFonts w:hint="default" w:ascii="Times New Roman" w:hAnsi="Times New Roman" w:eastAsia="宋体" w:cs="Times New Roman"/>
          <w:color w:val="auto"/>
          <w:kern w:val="2"/>
          <w:sz w:val="24"/>
          <w:szCs w:val="24"/>
          <w:highlight w:val="none"/>
          <w:lang w:val="en-US" w:eastAsia="zh-CN" w:bidi="ar-SA"/>
        </w:rPr>
        <w:t>头</w:t>
      </w:r>
      <w:r>
        <w:rPr>
          <w:rFonts w:hint="default" w:ascii="Times New Roman" w:hAnsi="Times New Roman" w:cs="Times New Roman"/>
          <w:color w:val="auto"/>
          <w:kern w:val="2"/>
          <w:sz w:val="24"/>
          <w:szCs w:val="24"/>
          <w:highlight w:val="none"/>
          <w:lang w:val="en-US" w:eastAsia="zh-CN" w:bidi="ar-SA"/>
        </w:rPr>
        <w:t>。</w:t>
      </w:r>
    </w:p>
    <w:p>
      <w:pPr>
        <w:pStyle w:val="17"/>
        <w:pageBreakBefore w:val="0"/>
        <w:wordWrap/>
        <w:bidi w:val="0"/>
        <w:adjustRightInd w:val="0"/>
        <w:ind w:left="0" w:leftChars="0" w:right="0" w:rightChars="0" w:firstLine="480"/>
        <w:rPr>
          <w:rFonts w:hint="default" w:ascii="Times New Roman" w:hAnsi="Times New Roman" w:cs="Times New Roman"/>
          <w:color w:val="auto"/>
          <w:kern w:val="0"/>
          <w:highlight w:val="none"/>
          <w:lang w:val="en-US" w:eastAsia="zh-CN"/>
        </w:rPr>
      </w:pPr>
      <w:r>
        <w:rPr>
          <w:rFonts w:hint="default" w:ascii="Times New Roman" w:hAnsi="Times New Roman" w:cs="Times New Roman"/>
          <w:color w:val="auto"/>
          <w:highlight w:val="none"/>
        </w:rPr>
        <w:t>项目</w:t>
      </w:r>
      <w:r>
        <w:rPr>
          <w:rFonts w:hint="default" w:ascii="Times New Roman" w:hAnsi="Times New Roman" w:cs="Times New Roman"/>
          <w:color w:val="auto"/>
          <w:highlight w:val="none"/>
          <w:lang w:val="en-US" w:eastAsia="zh-CN"/>
        </w:rPr>
        <w:t>建设</w:t>
      </w:r>
      <w:r>
        <w:rPr>
          <w:rFonts w:hint="default" w:ascii="Times New Roman" w:hAnsi="Times New Roman" w:cs="Times New Roman"/>
          <w:color w:val="auto"/>
          <w:highlight w:val="none"/>
        </w:rPr>
        <w:t>内容主要包括：</w:t>
      </w:r>
      <w:r>
        <w:rPr>
          <w:rFonts w:hint="default" w:ascii="Times New Roman" w:hAnsi="Times New Roman" w:eastAsia="宋体" w:cs="Times New Roman"/>
          <w:color w:val="auto"/>
          <w:sz w:val="24"/>
          <w:highlight w:val="none"/>
          <w:lang w:val="en-US" w:eastAsia="zh-CN"/>
        </w:rPr>
        <w:t>新建年存栏3000头奶牛养殖基地。包括泌乳牛舍、干奶牛舍、后备牛舍、产房和挤奶厅、干草棚、青贮窖、场区道路及输电线路、供排水管网、生活管理区等相关配套设施</w:t>
      </w:r>
      <w:r>
        <w:rPr>
          <w:rFonts w:hint="default" w:ascii="Times New Roman" w:hAnsi="Times New Roman" w:cs="Times New Roman"/>
          <w:color w:val="auto"/>
          <w:kern w:val="0"/>
          <w:highlight w:val="none"/>
          <w:lang w:val="en-US" w:eastAsia="zh-CN"/>
        </w:rPr>
        <w:t>。</w:t>
      </w:r>
    </w:p>
    <w:p>
      <w:pPr>
        <w:pageBreakBefore w:val="0"/>
        <w:numPr>
          <w:ilvl w:val="0"/>
          <w:numId w:val="0"/>
        </w:numPr>
        <w:wordWrap/>
        <w:bidi w:val="0"/>
        <w:adjustRightInd w:val="0"/>
        <w:ind w:leftChars="200" w:right="0" w:rightChars="0"/>
        <w:jc w:val="both"/>
        <w:rPr>
          <w:rFonts w:hint="default" w:ascii="Times New Roman" w:hAnsi="Times New Roman" w:eastAsia="宋体" w:cs="Times New Roman"/>
          <w:color w:val="auto"/>
          <w:spacing w:val="-6"/>
          <w:kern w:val="2"/>
          <w:sz w:val="24"/>
          <w:szCs w:val="24"/>
          <w:highlight w:val="none"/>
          <w:lang w:val="en-US" w:eastAsia="zh-CN" w:bidi="ar-SA"/>
        </w:rPr>
      </w:pPr>
      <w:r>
        <w:rPr>
          <w:rFonts w:hint="default" w:ascii="Times New Roman" w:hAnsi="Times New Roman" w:eastAsia="宋体" w:cs="Times New Roman"/>
          <w:color w:val="auto"/>
          <w:spacing w:val="-6"/>
          <w:kern w:val="2"/>
          <w:sz w:val="24"/>
          <w:szCs w:val="24"/>
          <w:highlight w:val="none"/>
          <w:lang w:val="en-US" w:eastAsia="zh-CN" w:bidi="ar-SA"/>
        </w:rPr>
        <w:t>产品方案：年产鲜奶21000吨，出栏母牛600头，公</w:t>
      </w:r>
      <w:r>
        <w:rPr>
          <w:rFonts w:hint="eastAsia" w:cs="Times New Roman"/>
          <w:color w:val="auto"/>
          <w:spacing w:val="-6"/>
          <w:kern w:val="2"/>
          <w:sz w:val="24"/>
          <w:szCs w:val="24"/>
          <w:highlight w:val="none"/>
          <w:lang w:val="en-US" w:eastAsia="zh-CN" w:bidi="ar-SA"/>
        </w:rPr>
        <w:t>牛犊</w:t>
      </w:r>
      <w:r>
        <w:rPr>
          <w:rFonts w:hint="default" w:ascii="Times New Roman" w:hAnsi="Times New Roman" w:eastAsia="宋体" w:cs="Times New Roman"/>
          <w:color w:val="auto"/>
          <w:spacing w:val="-6"/>
          <w:kern w:val="2"/>
          <w:sz w:val="24"/>
          <w:szCs w:val="24"/>
          <w:highlight w:val="none"/>
          <w:lang w:val="en-US" w:eastAsia="zh-CN" w:bidi="ar-SA"/>
        </w:rPr>
        <w:t>1380头，母</w:t>
      </w:r>
      <w:r>
        <w:rPr>
          <w:rFonts w:hint="eastAsia" w:cs="Times New Roman"/>
          <w:color w:val="auto"/>
          <w:spacing w:val="-6"/>
          <w:kern w:val="2"/>
          <w:sz w:val="24"/>
          <w:szCs w:val="24"/>
          <w:highlight w:val="none"/>
          <w:lang w:val="en-US" w:eastAsia="zh-CN" w:bidi="ar-SA"/>
        </w:rPr>
        <w:t>牛犊</w:t>
      </w:r>
      <w:r>
        <w:rPr>
          <w:rFonts w:hint="default" w:ascii="Times New Roman" w:hAnsi="Times New Roman" w:eastAsia="宋体" w:cs="Times New Roman"/>
          <w:color w:val="auto"/>
          <w:spacing w:val="-6"/>
          <w:kern w:val="2"/>
          <w:sz w:val="24"/>
          <w:szCs w:val="24"/>
          <w:highlight w:val="none"/>
          <w:lang w:val="en-US" w:eastAsia="zh-CN" w:bidi="ar-SA"/>
        </w:rPr>
        <w:t>780头。</w:t>
      </w:r>
    </w:p>
    <w:p>
      <w:pPr>
        <w:pStyle w:val="17"/>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本项目组成一览表见表3.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-1。</w:t>
      </w:r>
    </w:p>
    <w:p>
      <w:pPr>
        <w:pStyle w:val="50"/>
        <w:keepNext w:val="0"/>
        <w:keepLines w:val="0"/>
        <w:pageBreakBefore w:val="0"/>
        <w:widowControl w:val="0"/>
        <w:kinsoku/>
        <w:wordWrap/>
        <w:overflowPunct/>
        <w:topLinePunct w:val="0"/>
        <w:autoSpaceDE/>
        <w:autoSpaceDN/>
        <w:bidi w:val="0"/>
        <w:adjustRightInd w:val="0"/>
        <w:snapToGrid w:val="0"/>
        <w:spacing w:afterLines="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表3.</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-1     本项目组成一览表</w:t>
      </w:r>
    </w:p>
    <w:tbl>
      <w:tblPr>
        <w:tblStyle w:val="39"/>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70"/>
        <w:gridCol w:w="438"/>
        <w:gridCol w:w="1306"/>
        <w:gridCol w:w="637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jc w:val="center"/>
        </w:trPr>
        <w:tc>
          <w:tcPr>
            <w:tcW w:w="3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rPr>
            </w:pPr>
            <w:bookmarkStart w:id="123" w:name="_Toc2527"/>
            <w:bookmarkStart w:id="124" w:name="_Toc1674"/>
            <w:bookmarkStart w:id="125" w:name="_Toc283901885"/>
            <w:bookmarkStart w:id="126" w:name="_Toc364031227"/>
            <w:r>
              <w:rPr>
                <w:rFonts w:hint="default" w:ascii="Times New Roman" w:hAnsi="Times New Roman" w:eastAsia="宋体" w:cs="Times New Roman"/>
                <w:bCs/>
                <w:color w:val="auto"/>
                <w:spacing w:val="0"/>
                <w:kern w:val="21"/>
                <w:sz w:val="21"/>
                <w:szCs w:val="21"/>
                <w:highlight w:val="none"/>
              </w:rPr>
              <w:t>类别</w:t>
            </w:r>
          </w:p>
        </w:tc>
        <w:tc>
          <w:tcPr>
            <w:tcW w:w="992"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rPr>
            </w:pPr>
            <w:r>
              <w:rPr>
                <w:rFonts w:hint="default" w:ascii="Times New Roman" w:hAnsi="Times New Roman" w:eastAsia="宋体" w:cs="Times New Roman"/>
                <w:bCs/>
                <w:color w:val="auto"/>
                <w:spacing w:val="0"/>
                <w:kern w:val="21"/>
                <w:sz w:val="21"/>
                <w:szCs w:val="21"/>
                <w:highlight w:val="none"/>
              </w:rPr>
              <w:t>工程名称</w:t>
            </w:r>
          </w:p>
        </w:tc>
        <w:tc>
          <w:tcPr>
            <w:tcW w:w="36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rPr>
            </w:pPr>
            <w:r>
              <w:rPr>
                <w:rFonts w:hint="default" w:ascii="Times New Roman" w:hAnsi="Times New Roman" w:eastAsia="宋体" w:cs="Times New Roman"/>
                <w:bCs/>
                <w:color w:val="auto"/>
                <w:spacing w:val="0"/>
                <w:kern w:val="21"/>
                <w:sz w:val="21"/>
                <w:szCs w:val="21"/>
                <w:highlight w:val="none"/>
              </w:rPr>
              <w:t>建设内容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81"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yellow"/>
              </w:rPr>
            </w:pPr>
            <w:r>
              <w:rPr>
                <w:rFonts w:hint="default" w:ascii="Times New Roman" w:hAnsi="Times New Roman" w:eastAsia="宋体" w:cs="Times New Roman"/>
                <w:bCs/>
                <w:color w:val="auto"/>
                <w:spacing w:val="0"/>
                <w:kern w:val="21"/>
                <w:sz w:val="21"/>
                <w:szCs w:val="21"/>
                <w:highlight w:val="none"/>
              </w:rPr>
              <w:t>主体工程</w:t>
            </w:r>
          </w:p>
        </w:tc>
        <w:tc>
          <w:tcPr>
            <w:tcW w:w="992"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lang w:val="en-US" w:eastAsia="zh-CN"/>
              </w:rPr>
            </w:pPr>
            <w:r>
              <w:rPr>
                <w:rFonts w:hint="default" w:ascii="Times New Roman" w:hAnsi="Times New Roman" w:eastAsia="宋体" w:cs="Times New Roman"/>
                <w:bCs/>
                <w:color w:val="auto"/>
                <w:spacing w:val="0"/>
                <w:kern w:val="21"/>
                <w:sz w:val="21"/>
                <w:szCs w:val="21"/>
                <w:highlight w:val="none"/>
                <w:lang w:val="en-US" w:eastAsia="zh-CN"/>
              </w:rPr>
              <w:t>泌乳牛舍</w:t>
            </w:r>
          </w:p>
        </w:tc>
        <w:tc>
          <w:tcPr>
            <w:tcW w:w="36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rPr>
            </w:pPr>
            <w:r>
              <w:rPr>
                <w:rFonts w:hint="default" w:ascii="Times New Roman" w:hAnsi="Times New Roman" w:cs="Times New Roman"/>
                <w:bCs/>
                <w:color w:val="auto"/>
                <w:spacing w:val="0"/>
                <w:kern w:val="21"/>
                <w:sz w:val="21"/>
                <w:szCs w:val="21"/>
                <w:highlight w:val="none"/>
                <w:lang w:val="en-US" w:eastAsia="zh-CN"/>
              </w:rPr>
              <w:t>2座</w:t>
            </w:r>
            <w:r>
              <w:rPr>
                <w:rFonts w:hint="default" w:ascii="Times New Roman" w:hAnsi="Times New Roman" w:eastAsia="宋体" w:cs="Times New Roman"/>
                <w:bCs/>
                <w:color w:val="auto"/>
                <w:spacing w:val="0"/>
                <w:kern w:val="21"/>
                <w:sz w:val="21"/>
                <w:szCs w:val="21"/>
                <w:highlight w:val="none"/>
                <w:lang w:val="en-US" w:eastAsia="zh-CN"/>
              </w:rPr>
              <w:t>，牛舍采用砖混结构，四围有墙体，单</w:t>
            </w:r>
            <w:r>
              <w:rPr>
                <w:rFonts w:hint="default" w:ascii="Times New Roman" w:hAnsi="Times New Roman" w:cs="Times New Roman"/>
                <w:bCs/>
                <w:color w:val="auto"/>
                <w:spacing w:val="0"/>
                <w:kern w:val="21"/>
                <w:sz w:val="21"/>
                <w:szCs w:val="21"/>
                <w:highlight w:val="none"/>
                <w:lang w:val="en-US" w:eastAsia="zh-CN"/>
              </w:rPr>
              <w:t>座面积8978.34</w:t>
            </w:r>
            <w:r>
              <w:rPr>
                <w:rFonts w:hint="default" w:ascii="Times New Roman" w:hAnsi="Times New Roman" w:eastAsia="宋体" w:cs="Times New Roman"/>
                <w:bCs/>
                <w:color w:val="auto"/>
                <w:spacing w:val="0"/>
                <w:kern w:val="21"/>
                <w:sz w:val="21"/>
                <w:szCs w:val="21"/>
                <w:highlight w:val="none"/>
                <w:lang w:val="en-US" w:eastAsia="zh-CN"/>
              </w:rPr>
              <w:t>m</w:t>
            </w:r>
            <w:r>
              <w:rPr>
                <w:rFonts w:hint="default" w:ascii="Times New Roman" w:hAnsi="Times New Roman" w:eastAsia="宋体" w:cs="Times New Roman"/>
                <w:bCs/>
                <w:color w:val="auto"/>
                <w:spacing w:val="0"/>
                <w:kern w:val="21"/>
                <w:sz w:val="21"/>
                <w:szCs w:val="21"/>
                <w:highlight w:val="none"/>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5" w:hRule="atLeast"/>
          <w:jc w:val="center"/>
        </w:trPr>
        <w:tc>
          <w:tcPr>
            <w:tcW w:w="38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yellow"/>
              </w:rPr>
            </w:pPr>
          </w:p>
        </w:tc>
        <w:tc>
          <w:tcPr>
            <w:tcW w:w="992"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lang w:val="en-US" w:eastAsia="zh-CN" w:bidi="ar-SA"/>
              </w:rPr>
            </w:pPr>
            <w:r>
              <w:rPr>
                <w:rFonts w:hint="default" w:ascii="Times New Roman" w:hAnsi="Times New Roman" w:eastAsia="宋体" w:cs="Times New Roman"/>
                <w:bCs/>
                <w:color w:val="auto"/>
                <w:spacing w:val="0"/>
                <w:kern w:val="21"/>
                <w:sz w:val="21"/>
                <w:szCs w:val="21"/>
                <w:highlight w:val="none"/>
                <w:lang w:val="en-US" w:eastAsia="zh-CN"/>
              </w:rPr>
              <w:t>干奶牛舍</w:t>
            </w:r>
          </w:p>
        </w:tc>
        <w:tc>
          <w:tcPr>
            <w:tcW w:w="36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lang w:val="en-US" w:eastAsia="zh-CN" w:bidi="ar-SA"/>
              </w:rPr>
            </w:pPr>
            <w:r>
              <w:rPr>
                <w:rFonts w:hint="eastAsia" w:ascii="Times New Roman" w:hAnsi="Times New Roman" w:cs="Times New Roman"/>
                <w:bCs/>
                <w:color w:val="auto"/>
                <w:spacing w:val="0"/>
                <w:kern w:val="21"/>
                <w:sz w:val="21"/>
                <w:szCs w:val="21"/>
                <w:highlight w:val="none"/>
                <w:lang w:val="en-US" w:eastAsia="zh-CN"/>
              </w:rPr>
              <w:t xml:space="preserve"> </w:t>
            </w:r>
            <w:r>
              <w:rPr>
                <w:rFonts w:hint="default" w:ascii="Times New Roman" w:hAnsi="Times New Roman" w:eastAsia="宋体" w:cs="Times New Roman"/>
                <w:bCs/>
                <w:color w:val="auto"/>
                <w:spacing w:val="0"/>
                <w:kern w:val="21"/>
                <w:sz w:val="21"/>
                <w:szCs w:val="21"/>
                <w:highlight w:val="none"/>
                <w:lang w:val="en-US" w:eastAsia="zh-CN"/>
              </w:rPr>
              <w:t>牛舍采用砖混结构，四围有墙体，</w:t>
            </w:r>
            <w:r>
              <w:rPr>
                <w:rFonts w:hint="default" w:ascii="Times New Roman" w:hAnsi="Times New Roman" w:cs="Times New Roman"/>
                <w:bCs/>
                <w:color w:val="auto"/>
                <w:spacing w:val="0"/>
                <w:kern w:val="21"/>
                <w:sz w:val="21"/>
                <w:szCs w:val="21"/>
                <w:highlight w:val="none"/>
                <w:lang w:val="en-US" w:eastAsia="zh-CN"/>
              </w:rPr>
              <w:t>面积2376</w:t>
            </w:r>
            <w:r>
              <w:rPr>
                <w:rFonts w:hint="default" w:ascii="Times New Roman" w:hAnsi="Times New Roman" w:eastAsia="宋体" w:cs="Times New Roman"/>
                <w:bCs/>
                <w:color w:val="auto"/>
                <w:spacing w:val="0"/>
                <w:kern w:val="21"/>
                <w:sz w:val="21"/>
                <w:szCs w:val="21"/>
                <w:highlight w:val="none"/>
                <w:lang w:val="en-US" w:eastAsia="zh-CN"/>
              </w:rPr>
              <w:t>m</w:t>
            </w:r>
            <w:r>
              <w:rPr>
                <w:rFonts w:hint="default" w:ascii="Times New Roman" w:hAnsi="Times New Roman" w:eastAsia="宋体" w:cs="Times New Roman"/>
                <w:bCs/>
                <w:color w:val="auto"/>
                <w:spacing w:val="0"/>
                <w:kern w:val="21"/>
                <w:sz w:val="21"/>
                <w:szCs w:val="21"/>
                <w:highlight w:val="none"/>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5" w:hRule="atLeast"/>
          <w:jc w:val="center"/>
        </w:trPr>
        <w:tc>
          <w:tcPr>
            <w:tcW w:w="38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yellow"/>
              </w:rPr>
            </w:pPr>
          </w:p>
        </w:tc>
        <w:tc>
          <w:tcPr>
            <w:tcW w:w="992"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lang w:val="en-US" w:eastAsia="zh-CN" w:bidi="ar-SA"/>
              </w:rPr>
            </w:pPr>
            <w:r>
              <w:rPr>
                <w:rFonts w:hint="default" w:ascii="Times New Roman" w:hAnsi="Times New Roman" w:eastAsia="宋体" w:cs="Times New Roman"/>
                <w:bCs/>
                <w:color w:val="auto"/>
                <w:spacing w:val="0"/>
                <w:kern w:val="21"/>
                <w:sz w:val="21"/>
                <w:szCs w:val="21"/>
                <w:highlight w:val="none"/>
              </w:rPr>
              <w:t>挤奶厅</w:t>
            </w:r>
          </w:p>
        </w:tc>
        <w:tc>
          <w:tcPr>
            <w:tcW w:w="36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lang w:val="en-US" w:eastAsia="zh-CN" w:bidi="ar-SA"/>
              </w:rPr>
            </w:pPr>
            <w:r>
              <w:rPr>
                <w:rFonts w:hint="default" w:ascii="Times New Roman" w:hAnsi="Times New Roman" w:eastAsia="宋体" w:cs="Times New Roman"/>
                <w:bCs/>
                <w:color w:val="auto"/>
                <w:spacing w:val="0"/>
                <w:kern w:val="21"/>
                <w:sz w:val="21"/>
                <w:szCs w:val="21"/>
                <w:highlight w:val="none"/>
              </w:rPr>
              <w:t>新建</w:t>
            </w:r>
            <w:r>
              <w:rPr>
                <w:rFonts w:hint="default" w:ascii="Times New Roman" w:hAnsi="Times New Roman" w:eastAsia="宋体" w:cs="Times New Roman"/>
                <w:bCs/>
                <w:color w:val="auto"/>
                <w:spacing w:val="0"/>
                <w:kern w:val="21"/>
                <w:sz w:val="21"/>
                <w:szCs w:val="21"/>
                <w:highlight w:val="none"/>
                <w:lang w:val="en-US" w:eastAsia="zh-CN"/>
              </w:rPr>
              <w:t>2965.38m</w:t>
            </w:r>
            <w:r>
              <w:rPr>
                <w:rFonts w:hint="default" w:ascii="Times New Roman" w:hAnsi="Times New Roman" w:eastAsia="宋体" w:cs="Times New Roman"/>
                <w:bCs/>
                <w:color w:val="auto"/>
                <w:spacing w:val="0"/>
                <w:kern w:val="21"/>
                <w:sz w:val="21"/>
                <w:szCs w:val="21"/>
                <w:highlight w:val="none"/>
                <w:vertAlign w:val="superscript"/>
                <w:lang w:val="en-US" w:eastAsia="zh-CN"/>
              </w:rPr>
              <w:t>2</w:t>
            </w:r>
            <w:r>
              <w:rPr>
                <w:rFonts w:hint="default" w:ascii="Times New Roman" w:hAnsi="Times New Roman" w:eastAsia="宋体" w:cs="Times New Roman"/>
                <w:bCs/>
                <w:color w:val="auto"/>
                <w:spacing w:val="0"/>
                <w:kern w:val="21"/>
                <w:sz w:val="21"/>
                <w:szCs w:val="21"/>
                <w:highlight w:val="none"/>
              </w:rPr>
              <w:t>挤奶厅，钢制砖混结构，挤奶厅内设</w:t>
            </w:r>
            <w:r>
              <w:rPr>
                <w:rFonts w:hint="default" w:ascii="Times New Roman" w:hAnsi="Times New Roman" w:eastAsia="宋体" w:cs="Times New Roman"/>
                <w:bCs/>
                <w:color w:val="auto"/>
                <w:spacing w:val="0"/>
                <w:kern w:val="21"/>
                <w:sz w:val="21"/>
                <w:szCs w:val="21"/>
                <w:highlight w:val="none"/>
                <w:lang w:val="en-US" w:eastAsia="zh-CN"/>
              </w:rPr>
              <w:t>1</w:t>
            </w:r>
            <w:r>
              <w:rPr>
                <w:rFonts w:hint="default" w:ascii="Times New Roman" w:hAnsi="Times New Roman" w:eastAsia="宋体" w:cs="Times New Roman"/>
                <w:bCs/>
                <w:color w:val="auto"/>
                <w:spacing w:val="0"/>
                <w:kern w:val="21"/>
                <w:sz w:val="21"/>
                <w:szCs w:val="21"/>
                <w:highlight w:val="none"/>
              </w:rPr>
              <w:t>个热水罐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5" w:hRule="atLeast"/>
          <w:jc w:val="center"/>
        </w:trPr>
        <w:tc>
          <w:tcPr>
            <w:tcW w:w="38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yellow"/>
              </w:rPr>
            </w:pPr>
          </w:p>
        </w:tc>
        <w:tc>
          <w:tcPr>
            <w:tcW w:w="992"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lang w:val="en-US" w:eastAsia="zh-CN"/>
              </w:rPr>
            </w:pPr>
            <w:r>
              <w:rPr>
                <w:rFonts w:hint="default" w:ascii="Times New Roman" w:hAnsi="Times New Roman" w:eastAsia="宋体" w:cs="Times New Roman"/>
                <w:bCs/>
                <w:color w:val="auto"/>
                <w:spacing w:val="0"/>
                <w:kern w:val="21"/>
                <w:sz w:val="21"/>
                <w:szCs w:val="21"/>
                <w:highlight w:val="none"/>
                <w:lang w:val="en-US" w:eastAsia="zh-CN"/>
              </w:rPr>
              <w:t>产房</w:t>
            </w:r>
          </w:p>
        </w:tc>
        <w:tc>
          <w:tcPr>
            <w:tcW w:w="36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color w:val="auto"/>
                <w:spacing w:val="0"/>
                <w:kern w:val="21"/>
                <w:sz w:val="21"/>
                <w:szCs w:val="21"/>
                <w:highlight w:val="none"/>
                <w:lang w:val="en-US" w:eastAsia="zh-CN"/>
              </w:rPr>
            </w:pPr>
            <w:r>
              <w:rPr>
                <w:rFonts w:hint="eastAsia" w:cs="Times New Roman"/>
                <w:bCs/>
                <w:color w:val="auto"/>
                <w:spacing w:val="0"/>
                <w:kern w:val="21"/>
                <w:sz w:val="21"/>
                <w:szCs w:val="21"/>
                <w:highlight w:val="none"/>
                <w:lang w:val="en-US" w:eastAsia="zh-CN"/>
              </w:rPr>
              <w:t>1座，</w:t>
            </w:r>
            <w:r>
              <w:rPr>
                <w:rFonts w:hint="default" w:ascii="Times New Roman" w:hAnsi="Times New Roman" w:eastAsia="宋体" w:cs="Times New Roman"/>
                <w:bCs/>
                <w:color w:val="auto"/>
                <w:spacing w:val="0"/>
                <w:kern w:val="21"/>
                <w:sz w:val="21"/>
                <w:szCs w:val="21"/>
                <w:highlight w:val="none"/>
                <w:lang w:val="en-US" w:eastAsia="zh-CN"/>
              </w:rPr>
              <w:t>面积5751.3m</w:t>
            </w:r>
            <w:r>
              <w:rPr>
                <w:rFonts w:hint="default" w:ascii="Times New Roman" w:hAnsi="Times New Roman" w:eastAsia="宋体" w:cs="Times New Roman"/>
                <w:bCs/>
                <w:color w:val="auto"/>
                <w:spacing w:val="0"/>
                <w:kern w:val="21"/>
                <w:sz w:val="21"/>
                <w:szCs w:val="21"/>
                <w:highlight w:val="none"/>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5" w:hRule="atLeast"/>
          <w:jc w:val="center"/>
        </w:trPr>
        <w:tc>
          <w:tcPr>
            <w:tcW w:w="38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yellow"/>
              </w:rPr>
            </w:pPr>
          </w:p>
        </w:tc>
        <w:tc>
          <w:tcPr>
            <w:tcW w:w="992"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lang w:val="en-US" w:eastAsia="zh-CN" w:bidi="ar-SA"/>
              </w:rPr>
            </w:pPr>
            <w:r>
              <w:rPr>
                <w:rFonts w:hint="default" w:ascii="Times New Roman" w:hAnsi="Times New Roman" w:eastAsia="宋体" w:cs="Times New Roman"/>
                <w:bCs/>
                <w:color w:val="auto"/>
                <w:spacing w:val="0"/>
                <w:kern w:val="21"/>
                <w:sz w:val="21"/>
                <w:szCs w:val="21"/>
                <w:highlight w:val="none"/>
                <w:lang w:val="en-US" w:eastAsia="zh-CN"/>
              </w:rPr>
              <w:t>后备牛舍</w:t>
            </w:r>
          </w:p>
        </w:tc>
        <w:tc>
          <w:tcPr>
            <w:tcW w:w="36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lang w:val="en-US" w:eastAsia="zh-CN" w:bidi="ar-SA"/>
              </w:rPr>
            </w:pPr>
            <w:r>
              <w:rPr>
                <w:rFonts w:hint="default" w:ascii="Times New Roman" w:hAnsi="Times New Roman" w:cs="Times New Roman"/>
                <w:bCs/>
                <w:color w:val="auto"/>
                <w:spacing w:val="0"/>
                <w:kern w:val="21"/>
                <w:sz w:val="21"/>
                <w:szCs w:val="21"/>
                <w:highlight w:val="none"/>
                <w:lang w:val="en-US" w:eastAsia="zh-CN"/>
              </w:rPr>
              <w:t>2座</w:t>
            </w:r>
            <w:r>
              <w:rPr>
                <w:rFonts w:hint="default" w:ascii="Times New Roman" w:hAnsi="Times New Roman" w:eastAsia="宋体" w:cs="Times New Roman"/>
                <w:bCs/>
                <w:color w:val="auto"/>
                <w:spacing w:val="0"/>
                <w:kern w:val="21"/>
                <w:sz w:val="21"/>
                <w:szCs w:val="21"/>
                <w:highlight w:val="none"/>
                <w:lang w:val="en-US" w:eastAsia="zh-CN"/>
              </w:rPr>
              <w:t>，牛舍采用砖混结构，四围有墙体，单</w:t>
            </w:r>
            <w:r>
              <w:rPr>
                <w:rFonts w:hint="default" w:ascii="Times New Roman" w:hAnsi="Times New Roman" w:cs="Times New Roman"/>
                <w:bCs/>
                <w:color w:val="auto"/>
                <w:spacing w:val="0"/>
                <w:kern w:val="21"/>
                <w:sz w:val="21"/>
                <w:szCs w:val="21"/>
                <w:highlight w:val="none"/>
                <w:lang w:val="en-US" w:eastAsia="zh-CN"/>
              </w:rPr>
              <w:t>座面积5732.1</w:t>
            </w:r>
            <w:r>
              <w:rPr>
                <w:rFonts w:hint="default" w:ascii="Times New Roman" w:hAnsi="Times New Roman" w:eastAsia="宋体" w:cs="Times New Roman"/>
                <w:bCs/>
                <w:color w:val="auto"/>
                <w:spacing w:val="0"/>
                <w:kern w:val="21"/>
                <w:sz w:val="21"/>
                <w:szCs w:val="21"/>
                <w:highlight w:val="none"/>
                <w:lang w:val="en-US" w:eastAsia="zh-CN"/>
              </w:rPr>
              <w:t>m</w:t>
            </w:r>
            <w:r>
              <w:rPr>
                <w:rFonts w:hint="default" w:ascii="Times New Roman" w:hAnsi="Times New Roman" w:eastAsia="宋体" w:cs="Times New Roman"/>
                <w:bCs/>
                <w:color w:val="auto"/>
                <w:spacing w:val="0"/>
                <w:kern w:val="21"/>
                <w:sz w:val="21"/>
                <w:szCs w:val="21"/>
                <w:highlight w:val="none"/>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5" w:hRule="atLeast"/>
          <w:jc w:val="center"/>
        </w:trPr>
        <w:tc>
          <w:tcPr>
            <w:tcW w:w="38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yellow"/>
              </w:rPr>
            </w:pPr>
          </w:p>
        </w:tc>
        <w:tc>
          <w:tcPr>
            <w:tcW w:w="992"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lang w:val="en-US" w:eastAsia="zh-CN"/>
              </w:rPr>
            </w:pPr>
            <w:r>
              <w:rPr>
                <w:rFonts w:hint="default" w:ascii="Times New Roman" w:hAnsi="Times New Roman" w:eastAsia="宋体" w:cs="Times New Roman"/>
                <w:bCs/>
                <w:color w:val="auto"/>
                <w:spacing w:val="0"/>
                <w:kern w:val="21"/>
                <w:sz w:val="21"/>
                <w:szCs w:val="21"/>
                <w:highlight w:val="none"/>
                <w:lang w:val="en-US" w:eastAsia="zh-CN"/>
              </w:rPr>
              <w:t>隔离牛舍</w:t>
            </w:r>
          </w:p>
        </w:tc>
        <w:tc>
          <w:tcPr>
            <w:tcW w:w="36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lang w:val="en-US" w:eastAsia="zh-CN" w:bidi="ar-SA"/>
              </w:rPr>
            </w:pPr>
            <w:r>
              <w:rPr>
                <w:rFonts w:hint="default" w:ascii="Times New Roman" w:hAnsi="Times New Roman" w:cs="Times New Roman"/>
                <w:color w:val="auto"/>
                <w:sz w:val="21"/>
                <w:szCs w:val="21"/>
                <w:highlight w:val="none"/>
              </w:rPr>
              <w:t>病牛隔离舍区设置围墙隔离，</w:t>
            </w:r>
            <w:r>
              <w:rPr>
                <w:rFonts w:hint="default" w:ascii="Times New Roman" w:hAnsi="Times New Roman" w:cs="Times New Roman"/>
                <w:color w:val="auto"/>
                <w:sz w:val="21"/>
                <w:szCs w:val="21"/>
                <w:highlight w:val="none"/>
                <w:lang w:val="en-US" w:eastAsia="zh-CN"/>
              </w:rPr>
              <w:t>1000</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38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yellow"/>
              </w:rPr>
            </w:pPr>
          </w:p>
        </w:tc>
        <w:tc>
          <w:tcPr>
            <w:tcW w:w="992"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lang w:val="en-US" w:eastAsia="zh-CN" w:bidi="ar-SA"/>
              </w:rPr>
            </w:pPr>
            <w:r>
              <w:rPr>
                <w:rFonts w:hint="default" w:ascii="Times New Roman" w:hAnsi="Times New Roman" w:eastAsia="宋体" w:cs="Times New Roman"/>
                <w:bCs/>
                <w:color w:val="auto"/>
                <w:spacing w:val="0"/>
                <w:kern w:val="21"/>
                <w:sz w:val="21"/>
                <w:szCs w:val="21"/>
                <w:highlight w:val="none"/>
                <w:lang w:val="en-US" w:eastAsia="zh-CN"/>
              </w:rPr>
              <w:t>运动场</w:t>
            </w:r>
          </w:p>
        </w:tc>
        <w:tc>
          <w:tcPr>
            <w:tcW w:w="36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lang w:val="en-US" w:eastAsia="zh-CN" w:bidi="ar-SA"/>
              </w:rPr>
            </w:pPr>
            <w:r>
              <w:rPr>
                <w:rFonts w:hint="default" w:ascii="Times New Roman" w:hAnsi="Times New Roman" w:eastAsia="宋体" w:cs="Times New Roman"/>
                <w:bCs/>
                <w:color w:val="auto"/>
                <w:spacing w:val="0"/>
                <w:kern w:val="21"/>
                <w:sz w:val="21"/>
                <w:szCs w:val="21"/>
                <w:highlight w:val="none"/>
                <w:lang w:val="en-US" w:eastAsia="zh-CN"/>
              </w:rPr>
              <w:t>面积99000m</w:t>
            </w:r>
            <w:r>
              <w:rPr>
                <w:rFonts w:hint="default" w:ascii="Times New Roman" w:hAnsi="Times New Roman" w:eastAsia="宋体" w:cs="Times New Roman"/>
                <w:bCs/>
                <w:color w:val="auto"/>
                <w:spacing w:val="0"/>
                <w:kern w:val="21"/>
                <w:sz w:val="21"/>
                <w:szCs w:val="21"/>
                <w:highlight w:val="none"/>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81"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yellow"/>
              </w:rPr>
            </w:pPr>
            <w:r>
              <w:rPr>
                <w:rFonts w:hint="default" w:ascii="Times New Roman" w:hAnsi="Times New Roman" w:eastAsia="宋体" w:cs="Times New Roman"/>
                <w:bCs/>
                <w:color w:val="auto"/>
                <w:spacing w:val="0"/>
                <w:kern w:val="21"/>
                <w:sz w:val="21"/>
                <w:szCs w:val="21"/>
                <w:highlight w:val="none"/>
              </w:rPr>
              <w:t>辅助工程</w:t>
            </w:r>
          </w:p>
        </w:tc>
        <w:tc>
          <w:tcPr>
            <w:tcW w:w="992"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lang w:eastAsia="zh-CN"/>
              </w:rPr>
            </w:pPr>
            <w:r>
              <w:rPr>
                <w:rFonts w:hint="default" w:ascii="Times New Roman" w:hAnsi="Times New Roman" w:cs="Times New Roman"/>
                <w:bCs/>
                <w:color w:val="auto"/>
                <w:spacing w:val="0"/>
                <w:kern w:val="21"/>
                <w:sz w:val="21"/>
                <w:szCs w:val="21"/>
                <w:highlight w:val="none"/>
                <w:lang w:eastAsia="zh-CN"/>
              </w:rPr>
              <w:t>堆粪场</w:t>
            </w:r>
          </w:p>
        </w:tc>
        <w:tc>
          <w:tcPr>
            <w:tcW w:w="36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lang w:eastAsia="zh-CN"/>
              </w:rPr>
            </w:pPr>
            <w:r>
              <w:rPr>
                <w:rFonts w:hint="default" w:ascii="Times New Roman" w:hAnsi="Times New Roman" w:eastAsia="宋体" w:cs="Times New Roman"/>
                <w:bCs/>
                <w:color w:val="auto"/>
                <w:spacing w:val="0"/>
                <w:kern w:val="21"/>
                <w:sz w:val="21"/>
                <w:szCs w:val="21"/>
                <w:highlight w:val="none"/>
              </w:rPr>
              <w:t>建设</w:t>
            </w:r>
            <w:r>
              <w:rPr>
                <w:rFonts w:hint="default" w:ascii="Times New Roman" w:hAnsi="Times New Roman" w:cs="Times New Roman"/>
                <w:bCs/>
                <w:color w:val="auto"/>
                <w:spacing w:val="0"/>
                <w:kern w:val="21"/>
                <w:sz w:val="21"/>
                <w:szCs w:val="21"/>
                <w:highlight w:val="none"/>
                <w:lang w:val="en-US" w:eastAsia="zh-CN"/>
              </w:rPr>
              <w:t>3</w:t>
            </w:r>
            <w:r>
              <w:rPr>
                <w:rFonts w:hint="default" w:ascii="Times New Roman" w:hAnsi="Times New Roman" w:eastAsia="宋体" w:cs="Times New Roman"/>
                <w:bCs/>
                <w:color w:val="auto"/>
                <w:spacing w:val="0"/>
                <w:kern w:val="21"/>
                <w:sz w:val="21"/>
                <w:szCs w:val="21"/>
                <w:highlight w:val="none"/>
                <w:lang w:val="en-US" w:eastAsia="zh-CN"/>
              </w:rPr>
              <w:t>000</w:t>
            </w:r>
            <w:r>
              <w:rPr>
                <w:rFonts w:hint="default" w:ascii="Times New Roman" w:hAnsi="Times New Roman" w:eastAsia="宋体" w:cs="Times New Roman"/>
                <w:bCs/>
                <w:color w:val="auto"/>
                <w:spacing w:val="0"/>
                <w:kern w:val="21"/>
                <w:sz w:val="21"/>
                <w:szCs w:val="21"/>
                <w:highlight w:val="none"/>
              </w:rPr>
              <w:t>m</w:t>
            </w:r>
            <w:r>
              <w:rPr>
                <w:rFonts w:hint="eastAsia" w:cs="Times New Roman"/>
                <w:bCs/>
                <w:color w:val="auto"/>
                <w:spacing w:val="0"/>
                <w:kern w:val="21"/>
                <w:sz w:val="21"/>
                <w:szCs w:val="21"/>
                <w:highlight w:val="none"/>
                <w:vertAlign w:val="superscript"/>
                <w:lang w:val="en-US" w:eastAsia="zh-CN"/>
              </w:rPr>
              <w:t>2</w:t>
            </w:r>
            <w:r>
              <w:rPr>
                <w:rFonts w:hint="default" w:ascii="Times New Roman" w:hAnsi="Times New Roman" w:cs="Times New Roman"/>
                <w:bCs/>
                <w:color w:val="auto"/>
                <w:spacing w:val="0"/>
                <w:kern w:val="21"/>
                <w:sz w:val="21"/>
                <w:szCs w:val="21"/>
                <w:highlight w:val="none"/>
                <w:vertAlign w:val="baseline"/>
                <w:lang w:val="en-US" w:eastAsia="zh-CN"/>
              </w:rPr>
              <w:t>混凝土</w:t>
            </w:r>
            <w:r>
              <w:rPr>
                <w:rFonts w:hint="default" w:ascii="Times New Roman" w:hAnsi="Times New Roman" w:eastAsia="宋体" w:cs="Times New Roman"/>
                <w:bCs/>
                <w:color w:val="auto"/>
                <w:spacing w:val="0"/>
                <w:kern w:val="21"/>
                <w:sz w:val="21"/>
                <w:szCs w:val="21"/>
                <w:highlight w:val="none"/>
              </w:rPr>
              <w:t>结构</w:t>
            </w:r>
            <w:r>
              <w:rPr>
                <w:rFonts w:hint="default" w:ascii="Times New Roman" w:hAnsi="Times New Roman" w:cs="Times New Roman"/>
                <w:bCs/>
                <w:color w:val="auto"/>
                <w:spacing w:val="0"/>
                <w:kern w:val="21"/>
                <w:sz w:val="21"/>
                <w:szCs w:val="21"/>
                <w:highlight w:val="none"/>
                <w:lang w:eastAsia="zh-CN"/>
              </w:rPr>
              <w:t>堆粪场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9" w:hRule="atLeast"/>
          <w:jc w:val="center"/>
        </w:trPr>
        <w:tc>
          <w:tcPr>
            <w:tcW w:w="38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yellow"/>
              </w:rPr>
            </w:pPr>
          </w:p>
        </w:tc>
        <w:tc>
          <w:tcPr>
            <w:tcW w:w="992"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lang w:val="en-US" w:eastAsia="zh-CN" w:bidi="ar-SA"/>
              </w:rPr>
            </w:pPr>
            <w:r>
              <w:rPr>
                <w:rFonts w:hint="default" w:ascii="Times New Roman" w:hAnsi="Times New Roman" w:eastAsia="宋体" w:cs="Times New Roman"/>
                <w:bCs/>
                <w:color w:val="auto"/>
                <w:spacing w:val="0"/>
                <w:kern w:val="21"/>
                <w:sz w:val="21"/>
                <w:szCs w:val="21"/>
                <w:highlight w:val="none"/>
              </w:rPr>
              <w:t>饲料加工间</w:t>
            </w:r>
          </w:p>
        </w:tc>
        <w:tc>
          <w:tcPr>
            <w:tcW w:w="36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lang w:val="en-US" w:eastAsia="zh-CN" w:bidi="ar-SA"/>
              </w:rPr>
            </w:pPr>
            <w:r>
              <w:rPr>
                <w:rFonts w:hint="default" w:ascii="Times New Roman" w:hAnsi="Times New Roman" w:cs="Times New Roman"/>
                <w:bCs/>
                <w:color w:val="auto"/>
                <w:spacing w:val="0"/>
                <w:kern w:val="21"/>
                <w:sz w:val="21"/>
                <w:szCs w:val="21"/>
                <w:highlight w:val="none"/>
                <w:lang w:val="en-US" w:eastAsia="zh-CN"/>
              </w:rPr>
              <w:t>建筑</w:t>
            </w:r>
            <w:r>
              <w:rPr>
                <w:rFonts w:hint="default" w:ascii="Times New Roman" w:hAnsi="Times New Roman" w:eastAsia="宋体" w:cs="Times New Roman"/>
                <w:bCs/>
                <w:color w:val="auto"/>
                <w:spacing w:val="0"/>
                <w:kern w:val="21"/>
                <w:sz w:val="21"/>
                <w:szCs w:val="21"/>
                <w:highlight w:val="none"/>
                <w:lang w:val="en-US" w:eastAsia="zh-CN"/>
              </w:rPr>
              <w:t>面积</w:t>
            </w:r>
            <w:r>
              <w:rPr>
                <w:rFonts w:hint="default" w:ascii="Times New Roman" w:hAnsi="Times New Roman" w:eastAsia="宋体" w:cs="Times New Roman"/>
                <w:bCs/>
                <w:color w:val="auto"/>
                <w:spacing w:val="0"/>
                <w:kern w:val="21"/>
                <w:sz w:val="21"/>
                <w:szCs w:val="21"/>
                <w:highlight w:val="none"/>
              </w:rPr>
              <w:t>50</w:t>
            </w:r>
            <w:r>
              <w:rPr>
                <w:rFonts w:hint="default" w:ascii="Times New Roman" w:hAnsi="Times New Roman" w:cs="Times New Roman"/>
                <w:bCs/>
                <w:color w:val="auto"/>
                <w:spacing w:val="0"/>
                <w:kern w:val="21"/>
                <w:sz w:val="21"/>
                <w:szCs w:val="21"/>
                <w:highlight w:val="none"/>
                <w:lang w:val="en-US" w:eastAsia="zh-CN"/>
              </w:rPr>
              <w:t>0</w:t>
            </w:r>
            <w:r>
              <w:rPr>
                <w:rFonts w:hint="default" w:ascii="Times New Roman" w:hAnsi="Times New Roman" w:eastAsia="宋体" w:cs="Times New Roman"/>
                <w:bCs/>
                <w:color w:val="auto"/>
                <w:spacing w:val="0"/>
                <w:kern w:val="21"/>
                <w:sz w:val="21"/>
                <w:szCs w:val="21"/>
                <w:highlight w:val="none"/>
                <w:lang w:val="en-US" w:eastAsia="zh-CN"/>
              </w:rPr>
              <w:t>m</w:t>
            </w:r>
            <w:r>
              <w:rPr>
                <w:rFonts w:hint="default" w:ascii="Times New Roman" w:hAnsi="Times New Roman" w:eastAsia="宋体" w:cs="Times New Roman"/>
                <w:bCs/>
                <w:color w:val="auto"/>
                <w:spacing w:val="0"/>
                <w:kern w:val="21"/>
                <w:sz w:val="21"/>
                <w:szCs w:val="21"/>
                <w:highlight w:val="none"/>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9" w:hRule="atLeast"/>
          <w:jc w:val="center"/>
        </w:trPr>
        <w:tc>
          <w:tcPr>
            <w:tcW w:w="38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yellow"/>
              </w:rPr>
            </w:pPr>
          </w:p>
        </w:tc>
        <w:tc>
          <w:tcPr>
            <w:tcW w:w="992"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lang w:val="en-US" w:eastAsia="zh-CN" w:bidi="ar-SA"/>
              </w:rPr>
            </w:pPr>
            <w:r>
              <w:rPr>
                <w:rFonts w:hint="default" w:ascii="Times New Roman" w:hAnsi="Times New Roman" w:eastAsia="宋体" w:cs="Times New Roman"/>
                <w:bCs/>
                <w:color w:val="auto"/>
                <w:spacing w:val="0"/>
                <w:kern w:val="21"/>
                <w:sz w:val="21"/>
                <w:szCs w:val="21"/>
                <w:highlight w:val="none"/>
                <w:lang w:val="en-US" w:eastAsia="zh-CN"/>
              </w:rPr>
              <w:t>干草棚</w:t>
            </w:r>
          </w:p>
        </w:tc>
        <w:tc>
          <w:tcPr>
            <w:tcW w:w="36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lang w:val="en-US" w:eastAsia="zh-CN" w:bidi="ar-SA"/>
              </w:rPr>
            </w:pPr>
            <w:r>
              <w:rPr>
                <w:rFonts w:hint="default" w:ascii="Times New Roman" w:hAnsi="Times New Roman" w:cs="Times New Roman"/>
                <w:bCs/>
                <w:color w:val="auto"/>
                <w:spacing w:val="0"/>
                <w:kern w:val="21"/>
                <w:sz w:val="21"/>
                <w:szCs w:val="21"/>
                <w:highlight w:val="none"/>
                <w:lang w:val="en-US" w:eastAsia="zh-CN"/>
              </w:rPr>
              <w:t>建筑</w:t>
            </w:r>
            <w:r>
              <w:rPr>
                <w:rFonts w:hint="default" w:ascii="Times New Roman" w:hAnsi="Times New Roman" w:eastAsia="宋体" w:cs="Times New Roman"/>
                <w:bCs/>
                <w:color w:val="auto"/>
                <w:spacing w:val="0"/>
                <w:kern w:val="21"/>
                <w:sz w:val="21"/>
                <w:szCs w:val="21"/>
                <w:highlight w:val="none"/>
                <w:lang w:val="en-US" w:eastAsia="zh-CN"/>
              </w:rPr>
              <w:t>面积</w:t>
            </w:r>
            <w:r>
              <w:rPr>
                <w:rFonts w:hint="default" w:ascii="Times New Roman" w:hAnsi="Times New Roman" w:cs="Times New Roman"/>
                <w:color w:val="auto"/>
                <w:sz w:val="21"/>
                <w:szCs w:val="21"/>
                <w:highlight w:val="none"/>
                <w:lang w:val="en-US" w:eastAsia="zh-CN"/>
              </w:rPr>
              <w:t>5815.8</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eastAsia" w:ascii="Times New Roman" w:hAnsi="Times New Roman" w:cs="Times New Roman"/>
                <w:color w:val="auto"/>
                <w:sz w:val="21"/>
                <w:szCs w:val="21"/>
                <w:highlight w:val="none"/>
                <w:vertAlign w:val="superscript"/>
                <w:lang w:val="en-US" w:eastAsia="zh-CN"/>
              </w:rPr>
              <w:t xml:space="preserve"> </w:t>
            </w:r>
            <w:r>
              <w:rPr>
                <w:rFonts w:hint="eastAsia"/>
                <w:color w:val="auto"/>
                <w:lang w:eastAsia="zh-CN"/>
              </w:rPr>
              <w:t>，</w:t>
            </w:r>
            <w:r>
              <w:rPr>
                <w:rFonts w:hint="eastAsia" w:ascii="Times New Roman" w:hAnsi="Times New Roman" w:eastAsia="宋体" w:cs="Times New Roman"/>
                <w:bCs/>
                <w:color w:val="auto"/>
                <w:spacing w:val="0"/>
                <w:kern w:val="21"/>
                <w:sz w:val="21"/>
                <w:szCs w:val="21"/>
                <w:highlight w:val="none"/>
                <w:lang w:val="en-US" w:eastAsia="zh-CN"/>
              </w:rPr>
              <w:t>主要存放干草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9" w:hRule="atLeast"/>
          <w:jc w:val="center"/>
        </w:trPr>
        <w:tc>
          <w:tcPr>
            <w:tcW w:w="38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yellow"/>
              </w:rPr>
            </w:pPr>
          </w:p>
        </w:tc>
        <w:tc>
          <w:tcPr>
            <w:tcW w:w="992"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lang w:val="en-US" w:eastAsia="zh-CN" w:bidi="ar-SA"/>
              </w:rPr>
            </w:pPr>
            <w:r>
              <w:rPr>
                <w:rFonts w:hint="default" w:ascii="Times New Roman" w:hAnsi="Times New Roman" w:eastAsia="宋体" w:cs="Times New Roman"/>
                <w:bCs/>
                <w:color w:val="auto"/>
                <w:spacing w:val="0"/>
                <w:kern w:val="21"/>
                <w:sz w:val="21"/>
                <w:szCs w:val="21"/>
                <w:highlight w:val="none"/>
                <w:lang w:val="en-US" w:eastAsia="zh-CN"/>
              </w:rPr>
              <w:t>精饲料库</w:t>
            </w:r>
          </w:p>
        </w:tc>
        <w:tc>
          <w:tcPr>
            <w:tcW w:w="36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lang w:val="en-US" w:eastAsia="zh-CN" w:bidi="ar-SA"/>
              </w:rPr>
            </w:pPr>
            <w:r>
              <w:rPr>
                <w:rFonts w:hint="default" w:ascii="Times New Roman" w:hAnsi="Times New Roman" w:cs="Times New Roman"/>
                <w:bCs/>
                <w:color w:val="auto"/>
                <w:spacing w:val="0"/>
                <w:kern w:val="21"/>
                <w:sz w:val="21"/>
                <w:szCs w:val="21"/>
                <w:highlight w:val="none"/>
                <w:lang w:val="en-US" w:eastAsia="zh-CN"/>
              </w:rPr>
              <w:t>建筑</w:t>
            </w:r>
            <w:r>
              <w:rPr>
                <w:rFonts w:hint="default" w:ascii="Times New Roman" w:hAnsi="Times New Roman" w:eastAsia="宋体" w:cs="Times New Roman"/>
                <w:bCs/>
                <w:color w:val="auto"/>
                <w:spacing w:val="0"/>
                <w:kern w:val="21"/>
                <w:sz w:val="21"/>
                <w:szCs w:val="21"/>
                <w:highlight w:val="none"/>
                <w:lang w:val="en-US" w:eastAsia="zh-CN"/>
              </w:rPr>
              <w:t>面积</w:t>
            </w:r>
            <w:r>
              <w:rPr>
                <w:rFonts w:hint="default" w:ascii="Times New Roman" w:hAnsi="Times New Roman" w:cs="Times New Roman"/>
                <w:color w:val="auto"/>
                <w:sz w:val="21"/>
                <w:szCs w:val="21"/>
                <w:highlight w:val="none"/>
                <w:lang w:val="en-US" w:eastAsia="zh-CN"/>
              </w:rPr>
              <w:t>364.8</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eastAsia" w:ascii="Times New Roman" w:hAnsi="Times New Roman" w:cs="Times New Roman"/>
                <w:color w:val="auto"/>
                <w:sz w:val="21"/>
                <w:szCs w:val="21"/>
                <w:highlight w:val="none"/>
                <w:vertAlign w:val="superscript"/>
                <w:lang w:val="en-US" w:eastAsia="zh-CN"/>
              </w:rPr>
              <w:t xml:space="preserve"> </w:t>
            </w:r>
            <w:r>
              <w:rPr>
                <w:rFonts w:hint="eastAsia"/>
                <w:color w:val="auto"/>
                <w:lang w:eastAsia="zh-CN"/>
              </w:rPr>
              <w:t>，</w:t>
            </w:r>
            <w:r>
              <w:rPr>
                <w:rFonts w:hint="eastAsia" w:ascii="Times New Roman" w:hAnsi="Times New Roman" w:eastAsia="宋体" w:cs="Times New Roman"/>
                <w:bCs/>
                <w:color w:val="auto"/>
                <w:spacing w:val="0"/>
                <w:kern w:val="21"/>
                <w:sz w:val="21"/>
                <w:szCs w:val="21"/>
                <w:highlight w:val="none"/>
                <w:lang w:val="en-US" w:eastAsia="zh-CN"/>
              </w:rPr>
              <w:t>主要存放精饲料</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9" w:hRule="atLeast"/>
          <w:jc w:val="center"/>
        </w:trPr>
        <w:tc>
          <w:tcPr>
            <w:tcW w:w="38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yellow"/>
              </w:rPr>
            </w:pPr>
          </w:p>
        </w:tc>
        <w:tc>
          <w:tcPr>
            <w:tcW w:w="992"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yellow"/>
                <w:lang w:val="en-US" w:eastAsia="zh-CN" w:bidi="ar-SA"/>
              </w:rPr>
            </w:pPr>
            <w:r>
              <w:rPr>
                <w:rFonts w:hint="default" w:ascii="Times New Roman" w:hAnsi="Times New Roman" w:eastAsia="宋体" w:cs="Times New Roman"/>
                <w:bCs/>
                <w:color w:val="auto"/>
                <w:spacing w:val="0"/>
                <w:kern w:val="21"/>
                <w:sz w:val="21"/>
                <w:szCs w:val="21"/>
                <w:highlight w:val="none"/>
                <w:lang w:eastAsia="zh-CN"/>
              </w:rPr>
              <w:t>青贮窖</w:t>
            </w:r>
          </w:p>
        </w:tc>
        <w:tc>
          <w:tcPr>
            <w:tcW w:w="36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yellow"/>
                <w:lang w:val="en-US" w:eastAsia="zh-CN" w:bidi="ar-SA"/>
              </w:rPr>
            </w:pPr>
            <w:r>
              <w:rPr>
                <w:rFonts w:hint="default" w:ascii="Times New Roman" w:hAnsi="Times New Roman" w:eastAsia="宋体" w:cs="Times New Roman"/>
                <w:bCs/>
                <w:color w:val="auto"/>
                <w:spacing w:val="0"/>
                <w:kern w:val="21"/>
                <w:sz w:val="21"/>
                <w:szCs w:val="21"/>
                <w:highlight w:val="none"/>
                <w:lang w:val="en-US" w:eastAsia="zh-CN"/>
              </w:rPr>
              <w:t>面积88</w:t>
            </w:r>
            <w:r>
              <w:rPr>
                <w:rFonts w:hint="default" w:ascii="Times New Roman" w:hAnsi="Times New Roman" w:eastAsia="宋体" w:cs="Times New Roman"/>
                <w:bCs/>
                <w:color w:val="auto"/>
                <w:spacing w:val="0"/>
                <w:kern w:val="21"/>
                <w:sz w:val="21"/>
                <w:szCs w:val="21"/>
                <w:highlight w:val="none"/>
              </w:rPr>
              <w:t>00</w:t>
            </w:r>
            <w:r>
              <w:rPr>
                <w:rFonts w:hint="default" w:ascii="Times New Roman" w:hAnsi="Times New Roman" w:eastAsia="宋体" w:cs="Times New Roman"/>
                <w:bCs/>
                <w:color w:val="auto"/>
                <w:spacing w:val="0"/>
                <w:kern w:val="21"/>
                <w:sz w:val="21"/>
                <w:szCs w:val="21"/>
                <w:highlight w:val="none"/>
                <w:lang w:val="en-US" w:eastAsia="zh-CN"/>
              </w:rPr>
              <w:t>m</w:t>
            </w:r>
            <w:r>
              <w:rPr>
                <w:rFonts w:hint="default" w:ascii="Times New Roman" w:hAnsi="Times New Roman" w:eastAsia="宋体" w:cs="Times New Roman"/>
                <w:bCs/>
                <w:color w:val="auto"/>
                <w:spacing w:val="0"/>
                <w:kern w:val="21"/>
                <w:sz w:val="21"/>
                <w:szCs w:val="21"/>
                <w:highlight w:val="none"/>
                <w:vertAlign w:val="superscript"/>
                <w:lang w:val="en-US" w:eastAsia="zh-CN"/>
              </w:rPr>
              <w:t>2</w:t>
            </w:r>
            <w:r>
              <w:rPr>
                <w:rFonts w:hint="eastAsia"/>
                <w:color w:val="auto"/>
                <w:lang w:eastAsia="zh-CN"/>
              </w:rPr>
              <w:t>，</w:t>
            </w:r>
            <w:r>
              <w:rPr>
                <w:rFonts w:hint="eastAsia" w:ascii="Times New Roman" w:hAnsi="Times New Roman" w:eastAsia="宋体" w:cs="Times New Roman"/>
                <w:bCs/>
                <w:color w:val="auto"/>
                <w:spacing w:val="0"/>
                <w:kern w:val="21"/>
                <w:sz w:val="21"/>
                <w:szCs w:val="21"/>
                <w:highlight w:val="none"/>
                <w:lang w:val="en-US" w:eastAsia="zh-CN"/>
              </w:rPr>
              <w:t>主要存放青贮饲料</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9" w:hRule="atLeast"/>
          <w:jc w:val="center"/>
        </w:trPr>
        <w:tc>
          <w:tcPr>
            <w:tcW w:w="38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yellow"/>
              </w:rPr>
            </w:pPr>
          </w:p>
        </w:tc>
        <w:tc>
          <w:tcPr>
            <w:tcW w:w="992"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lang w:val="en-US" w:eastAsia="zh-CN"/>
              </w:rPr>
            </w:pPr>
            <w:r>
              <w:rPr>
                <w:rFonts w:hint="default" w:ascii="Times New Roman" w:hAnsi="Times New Roman" w:eastAsia="宋体" w:cs="Times New Roman"/>
                <w:bCs/>
                <w:color w:val="auto"/>
                <w:spacing w:val="0"/>
                <w:kern w:val="21"/>
                <w:sz w:val="21"/>
                <w:szCs w:val="21"/>
                <w:highlight w:val="none"/>
                <w:lang w:val="en-US" w:eastAsia="zh-CN"/>
              </w:rPr>
              <w:t>生产辅助用房</w:t>
            </w:r>
          </w:p>
        </w:tc>
        <w:tc>
          <w:tcPr>
            <w:tcW w:w="36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lang w:val="en-US" w:eastAsia="zh-CN"/>
              </w:rPr>
            </w:pPr>
            <w:r>
              <w:rPr>
                <w:rFonts w:hint="default" w:ascii="Times New Roman" w:hAnsi="Times New Roman" w:eastAsia="宋体" w:cs="Times New Roman"/>
                <w:bCs/>
                <w:color w:val="auto"/>
                <w:spacing w:val="0"/>
                <w:kern w:val="21"/>
                <w:sz w:val="21"/>
                <w:szCs w:val="21"/>
                <w:highlight w:val="none"/>
                <w:lang w:val="en-US" w:eastAsia="zh-CN"/>
              </w:rPr>
              <w:t>面积为</w:t>
            </w:r>
            <w:r>
              <w:rPr>
                <w:rFonts w:hint="default" w:ascii="Times New Roman" w:hAnsi="Times New Roman" w:cs="Times New Roman"/>
                <w:bCs/>
                <w:color w:val="auto"/>
                <w:spacing w:val="0"/>
                <w:kern w:val="21"/>
                <w:sz w:val="21"/>
                <w:szCs w:val="21"/>
                <w:highlight w:val="none"/>
                <w:lang w:val="en-US" w:eastAsia="zh-CN"/>
              </w:rPr>
              <w:t>969.76</w:t>
            </w:r>
            <w:r>
              <w:rPr>
                <w:rFonts w:hint="default" w:ascii="Times New Roman" w:hAnsi="Times New Roman" w:eastAsia="宋体" w:cs="Times New Roman"/>
                <w:bCs/>
                <w:color w:val="auto"/>
                <w:spacing w:val="0"/>
                <w:kern w:val="21"/>
                <w:sz w:val="21"/>
                <w:szCs w:val="21"/>
                <w:highlight w:val="none"/>
                <w:lang w:val="en-US" w:eastAsia="zh-CN"/>
              </w:rPr>
              <w:t>m</w:t>
            </w:r>
            <w:r>
              <w:rPr>
                <w:rFonts w:hint="default" w:ascii="Times New Roman" w:hAnsi="Times New Roman" w:eastAsia="宋体" w:cs="Times New Roman"/>
                <w:bCs/>
                <w:color w:val="auto"/>
                <w:spacing w:val="0"/>
                <w:kern w:val="21"/>
                <w:sz w:val="21"/>
                <w:szCs w:val="21"/>
                <w:highlight w:val="none"/>
                <w:vertAlign w:val="superscript"/>
                <w:lang w:val="en-US" w:eastAsia="zh-CN"/>
              </w:rPr>
              <w:t>2</w:t>
            </w:r>
            <w:r>
              <w:rPr>
                <w:rFonts w:hint="default" w:ascii="Times New Roman" w:hAnsi="Times New Roman" w:eastAsia="宋体" w:cs="Times New Roman"/>
                <w:bCs/>
                <w:color w:val="auto"/>
                <w:spacing w:val="0"/>
                <w:kern w:val="21"/>
                <w:sz w:val="21"/>
                <w:szCs w:val="21"/>
                <w:highlight w:val="none"/>
                <w:lang w:val="en-US" w:eastAsia="zh-CN"/>
              </w:rPr>
              <w:t>，采用轻钢和砖混结构</w:t>
            </w:r>
            <w:r>
              <w:rPr>
                <w:rFonts w:hint="eastAsia" w:ascii="Times New Roman" w:hAnsi="Times New Roman" w:cs="Times New Roman"/>
                <w:bCs/>
                <w:color w:val="auto"/>
                <w:spacing w:val="0"/>
                <w:kern w:val="21"/>
                <w:sz w:val="21"/>
                <w:szCs w:val="21"/>
                <w:highlight w:val="none"/>
                <w:lang w:val="en-US" w:eastAsia="zh-CN"/>
              </w:rPr>
              <w:t xml:space="preserve">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9" w:hRule="atLeast"/>
          <w:jc w:val="center"/>
        </w:trPr>
        <w:tc>
          <w:tcPr>
            <w:tcW w:w="38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yellow"/>
              </w:rPr>
            </w:pPr>
          </w:p>
        </w:tc>
        <w:tc>
          <w:tcPr>
            <w:tcW w:w="992"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lang w:val="en-US" w:eastAsia="zh-CN" w:bidi="ar-SA"/>
              </w:rPr>
            </w:pPr>
            <w:r>
              <w:rPr>
                <w:rFonts w:hint="default" w:ascii="Times New Roman" w:hAnsi="Times New Roman" w:eastAsia="宋体" w:cs="Times New Roman"/>
                <w:bCs/>
                <w:color w:val="auto"/>
                <w:spacing w:val="0"/>
                <w:kern w:val="21"/>
                <w:sz w:val="21"/>
                <w:szCs w:val="21"/>
                <w:highlight w:val="none"/>
              </w:rPr>
              <w:t>兽医</w:t>
            </w:r>
            <w:r>
              <w:rPr>
                <w:rFonts w:hint="default" w:ascii="Times New Roman" w:hAnsi="Times New Roman" w:eastAsia="宋体" w:cs="Times New Roman"/>
                <w:bCs/>
                <w:color w:val="auto"/>
                <w:spacing w:val="0"/>
                <w:kern w:val="21"/>
                <w:sz w:val="21"/>
                <w:szCs w:val="21"/>
                <w:highlight w:val="none"/>
                <w:lang w:val="en-US" w:eastAsia="zh-CN"/>
              </w:rPr>
              <w:t>-防疫室</w:t>
            </w:r>
          </w:p>
        </w:tc>
        <w:tc>
          <w:tcPr>
            <w:tcW w:w="36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lang w:val="en-US" w:eastAsia="zh-CN" w:bidi="ar-SA"/>
              </w:rPr>
            </w:pPr>
            <w:r>
              <w:rPr>
                <w:rFonts w:hint="default" w:ascii="Times New Roman" w:hAnsi="Times New Roman" w:cs="Times New Roman"/>
                <w:bCs/>
                <w:color w:val="auto"/>
                <w:spacing w:val="0"/>
                <w:kern w:val="21"/>
                <w:sz w:val="21"/>
                <w:szCs w:val="21"/>
                <w:highlight w:val="none"/>
                <w:lang w:val="en-US" w:eastAsia="zh-CN"/>
              </w:rPr>
              <w:t>建筑</w:t>
            </w:r>
            <w:r>
              <w:rPr>
                <w:rFonts w:hint="default" w:ascii="Times New Roman" w:hAnsi="Times New Roman" w:eastAsia="宋体" w:cs="Times New Roman"/>
                <w:bCs/>
                <w:color w:val="auto"/>
                <w:spacing w:val="0"/>
                <w:kern w:val="21"/>
                <w:sz w:val="21"/>
                <w:szCs w:val="21"/>
                <w:highlight w:val="none"/>
                <w:lang w:val="en-US" w:eastAsia="zh-CN"/>
              </w:rPr>
              <w:t>面积108m</w:t>
            </w:r>
            <w:r>
              <w:rPr>
                <w:rFonts w:hint="default" w:ascii="Times New Roman" w:hAnsi="Times New Roman" w:eastAsia="宋体" w:cs="Times New Roman"/>
                <w:bCs/>
                <w:color w:val="auto"/>
                <w:spacing w:val="0"/>
                <w:kern w:val="21"/>
                <w:sz w:val="21"/>
                <w:szCs w:val="21"/>
                <w:highlight w:val="none"/>
                <w:vertAlign w:val="superscript"/>
                <w:lang w:val="en-US" w:eastAsia="zh-CN"/>
              </w:rPr>
              <w:t>2</w:t>
            </w:r>
            <w:r>
              <w:rPr>
                <w:rFonts w:hint="eastAsia" w:ascii="Times New Roman" w:hAnsi="Times New Roman" w:cs="Times New Roman"/>
                <w:bCs/>
                <w:color w:val="auto"/>
                <w:spacing w:val="0"/>
                <w:kern w:val="21"/>
                <w:sz w:val="21"/>
                <w:szCs w:val="21"/>
                <w:highlight w:val="none"/>
                <w:vertAlign w:val="superscript"/>
                <w:lang w:val="en-US" w:eastAsia="zh-CN"/>
              </w:rPr>
              <w:t xml:space="preserve"> </w:t>
            </w:r>
            <w:r>
              <w:rPr>
                <w:rFonts w:hint="eastAsia" w:ascii="Times New Roman" w:hAnsi="Times New Roman" w:cs="Times New Roman"/>
                <w:bCs/>
                <w:color w:val="auto"/>
                <w:spacing w:val="0"/>
                <w:kern w:val="21"/>
                <w:sz w:val="21"/>
                <w:szCs w:val="21"/>
                <w:highlight w:val="none"/>
                <w:vertAlign w:val="baseline"/>
                <w:lang w:val="en-US" w:eastAsia="zh-CN"/>
              </w:rPr>
              <w:t>，</w:t>
            </w:r>
            <w:r>
              <w:rPr>
                <w:rFonts w:hint="eastAsia" w:ascii="Times New Roman" w:hAnsi="Times New Roman" w:eastAsia="宋体" w:cs="Times New Roman"/>
                <w:bCs/>
                <w:color w:val="auto"/>
                <w:spacing w:val="0"/>
                <w:kern w:val="21"/>
                <w:sz w:val="21"/>
                <w:szCs w:val="21"/>
                <w:highlight w:val="none"/>
                <w:lang w:val="en-US" w:eastAsia="zh-CN"/>
              </w:rPr>
              <w:t>用于人工授精、打预防针等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9" w:hRule="atLeast"/>
          <w:jc w:val="center"/>
        </w:trPr>
        <w:tc>
          <w:tcPr>
            <w:tcW w:w="38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yellow"/>
              </w:rPr>
            </w:pPr>
          </w:p>
        </w:tc>
        <w:tc>
          <w:tcPr>
            <w:tcW w:w="992"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Cs/>
                <w:color w:val="auto"/>
                <w:spacing w:val="0"/>
                <w:kern w:val="21"/>
                <w:sz w:val="21"/>
                <w:szCs w:val="21"/>
                <w:highlight w:val="none"/>
                <w:lang w:val="en-US" w:eastAsia="zh-CN"/>
              </w:rPr>
            </w:pPr>
            <w:r>
              <w:rPr>
                <w:rFonts w:hint="default" w:ascii="Times New Roman" w:hAnsi="Times New Roman" w:eastAsia="宋体" w:cs="Times New Roman"/>
                <w:color w:val="auto"/>
                <w:spacing w:val="0"/>
                <w:kern w:val="21"/>
                <w:sz w:val="21"/>
                <w:szCs w:val="21"/>
                <w:highlight w:val="none"/>
                <w:lang w:val="en-US" w:eastAsia="zh-CN"/>
              </w:rPr>
              <w:t>安全填埋井</w:t>
            </w:r>
          </w:p>
        </w:tc>
        <w:tc>
          <w:tcPr>
            <w:tcW w:w="36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lang w:val="en-US" w:eastAsia="zh-CN"/>
              </w:rPr>
            </w:pPr>
            <w:r>
              <w:rPr>
                <w:rFonts w:hint="default" w:ascii="Times New Roman" w:hAnsi="Times New Roman" w:eastAsia="宋体" w:cs="Times New Roman"/>
                <w:bCs/>
                <w:color w:val="auto"/>
                <w:spacing w:val="0"/>
                <w:kern w:val="21"/>
                <w:sz w:val="21"/>
                <w:szCs w:val="21"/>
                <w:highlight w:val="none"/>
                <w:lang w:val="en-US" w:eastAsia="zh-CN"/>
              </w:rPr>
              <w:t>设</w:t>
            </w:r>
            <w:r>
              <w:rPr>
                <w:rFonts w:hint="default" w:ascii="Times New Roman" w:hAnsi="Times New Roman" w:eastAsia="宋体" w:cs="Times New Roman"/>
                <w:color w:val="auto"/>
                <w:spacing w:val="0"/>
                <w:kern w:val="21"/>
                <w:sz w:val="21"/>
                <w:szCs w:val="21"/>
                <w:highlight w:val="none"/>
                <w:lang w:val="en-US" w:eastAsia="zh-CN"/>
              </w:rPr>
              <w:t>安全填埋井，深度大于2m，直径1m</w:t>
            </w:r>
            <w:r>
              <w:rPr>
                <w:rFonts w:hint="eastAsia" w:ascii="Times New Roman" w:hAnsi="Times New Roman" w:eastAsia="宋体" w:cs="Times New Roman"/>
                <w:color w:val="auto"/>
                <w:spacing w:val="0"/>
                <w:kern w:val="21"/>
                <w:sz w:val="21"/>
                <w:szCs w:val="21"/>
                <w:highlight w:val="none"/>
                <w:lang w:val="en-US" w:eastAsia="zh-CN"/>
              </w:rPr>
              <w:t>，用于</w:t>
            </w:r>
            <w:r>
              <w:rPr>
                <w:rFonts w:hint="default" w:ascii="Times New Roman" w:hAnsi="Times New Roman" w:eastAsia="宋体" w:cs="Times New Roman"/>
                <w:color w:val="auto"/>
                <w:spacing w:val="0"/>
                <w:kern w:val="21"/>
                <w:sz w:val="21"/>
                <w:szCs w:val="21"/>
                <w:highlight w:val="none"/>
                <w:lang w:val="en-US" w:eastAsia="zh-CN"/>
              </w:rPr>
              <w:t>填埋病死牛尸体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9" w:hRule="atLeast"/>
          <w:jc w:val="center"/>
        </w:trPr>
        <w:tc>
          <w:tcPr>
            <w:tcW w:w="38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yellow"/>
              </w:rPr>
            </w:pPr>
          </w:p>
        </w:tc>
        <w:tc>
          <w:tcPr>
            <w:tcW w:w="992"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lang w:val="en-US" w:eastAsia="zh-CN"/>
              </w:rPr>
            </w:pPr>
            <w:r>
              <w:rPr>
                <w:rFonts w:hint="eastAsia" w:cs="Times New Roman"/>
                <w:bCs/>
                <w:color w:val="auto"/>
                <w:spacing w:val="0"/>
                <w:kern w:val="21"/>
                <w:sz w:val="21"/>
                <w:szCs w:val="21"/>
                <w:highlight w:val="none"/>
                <w:lang w:val="en-US" w:eastAsia="zh-CN"/>
              </w:rPr>
              <w:t>地磅房</w:t>
            </w:r>
          </w:p>
        </w:tc>
        <w:tc>
          <w:tcPr>
            <w:tcW w:w="36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color w:val="auto"/>
                <w:spacing w:val="0"/>
                <w:kern w:val="21"/>
                <w:sz w:val="21"/>
                <w:szCs w:val="21"/>
                <w:highlight w:val="none"/>
                <w:lang w:val="en-US" w:eastAsia="zh-CN"/>
              </w:rPr>
            </w:pPr>
            <w:r>
              <w:rPr>
                <w:rFonts w:hint="eastAsia" w:ascii="Times New Roman" w:hAnsi="Times New Roman" w:eastAsia="宋体" w:cs="Times New Roman"/>
                <w:bCs/>
                <w:color w:val="auto"/>
                <w:spacing w:val="0"/>
                <w:kern w:val="21"/>
                <w:sz w:val="21"/>
                <w:szCs w:val="21"/>
                <w:highlight w:val="none"/>
                <w:lang w:val="en-US" w:eastAsia="zh-CN"/>
              </w:rPr>
              <w:t>20</w:t>
            </w:r>
            <w:r>
              <w:rPr>
                <w:rFonts w:hint="default" w:ascii="Times New Roman" w:hAnsi="Times New Roman" w:eastAsia="宋体" w:cs="Times New Roman"/>
                <w:bCs/>
                <w:color w:val="auto"/>
                <w:spacing w:val="0"/>
                <w:kern w:val="21"/>
                <w:sz w:val="21"/>
                <w:szCs w:val="21"/>
                <w:highlight w:val="none"/>
                <w:lang w:val="en-US" w:eastAsia="zh-CN"/>
              </w:rPr>
              <w:t>m</w:t>
            </w:r>
            <w:r>
              <w:rPr>
                <w:rFonts w:hint="default" w:ascii="Times New Roman" w:hAnsi="Times New Roman" w:eastAsia="宋体" w:cs="Times New Roman"/>
                <w:bCs/>
                <w:color w:val="auto"/>
                <w:spacing w:val="0"/>
                <w:kern w:val="21"/>
                <w:sz w:val="21"/>
                <w:szCs w:val="21"/>
                <w:highlight w:val="none"/>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9" w:hRule="atLeast"/>
          <w:jc w:val="center"/>
        </w:trPr>
        <w:tc>
          <w:tcPr>
            <w:tcW w:w="38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yellow"/>
              </w:rPr>
            </w:pPr>
          </w:p>
        </w:tc>
        <w:tc>
          <w:tcPr>
            <w:tcW w:w="992"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lang w:val="en-US" w:eastAsia="zh-CN"/>
              </w:rPr>
            </w:pPr>
            <w:r>
              <w:rPr>
                <w:rFonts w:hint="default" w:ascii="Times New Roman" w:hAnsi="Times New Roman" w:eastAsia="宋体" w:cs="Times New Roman"/>
                <w:bCs/>
                <w:color w:val="auto"/>
                <w:spacing w:val="0"/>
                <w:kern w:val="21"/>
                <w:sz w:val="21"/>
                <w:szCs w:val="21"/>
                <w:highlight w:val="none"/>
                <w:lang w:val="en-US" w:eastAsia="zh-CN"/>
              </w:rPr>
              <w:t>配电室</w:t>
            </w:r>
          </w:p>
        </w:tc>
        <w:tc>
          <w:tcPr>
            <w:tcW w:w="36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rPr>
            </w:pPr>
            <w:r>
              <w:rPr>
                <w:rFonts w:hint="default" w:ascii="Times New Roman" w:hAnsi="Times New Roman" w:cs="Times New Roman"/>
                <w:bCs/>
                <w:color w:val="auto"/>
                <w:spacing w:val="0"/>
                <w:kern w:val="21"/>
                <w:sz w:val="21"/>
                <w:szCs w:val="21"/>
                <w:highlight w:val="none"/>
                <w:lang w:val="en-US" w:eastAsia="zh-CN"/>
              </w:rPr>
              <w:t>设置54</w:t>
            </w:r>
            <w:r>
              <w:rPr>
                <w:rFonts w:hint="default" w:ascii="Times New Roman" w:hAnsi="Times New Roman" w:eastAsia="宋体" w:cs="Times New Roman"/>
                <w:bCs/>
                <w:color w:val="auto"/>
                <w:spacing w:val="0"/>
                <w:kern w:val="21"/>
                <w:sz w:val="21"/>
                <w:szCs w:val="21"/>
                <w:highlight w:val="none"/>
                <w:lang w:val="en-US" w:eastAsia="zh-CN"/>
              </w:rPr>
              <w:t>m</w:t>
            </w:r>
            <w:r>
              <w:rPr>
                <w:rFonts w:hint="default" w:ascii="Times New Roman" w:hAnsi="Times New Roman" w:eastAsia="宋体" w:cs="Times New Roman"/>
                <w:bCs/>
                <w:color w:val="auto"/>
                <w:spacing w:val="0"/>
                <w:kern w:val="21"/>
                <w:sz w:val="21"/>
                <w:szCs w:val="21"/>
                <w:highlight w:val="none"/>
                <w:vertAlign w:val="superscript"/>
                <w:lang w:val="en-US" w:eastAsia="zh-CN"/>
              </w:rPr>
              <w:t>2</w:t>
            </w:r>
            <w:r>
              <w:rPr>
                <w:rFonts w:hint="default" w:ascii="Times New Roman" w:hAnsi="Times New Roman" w:eastAsia="宋体" w:cs="Times New Roman"/>
                <w:bCs/>
                <w:color w:val="auto"/>
                <w:spacing w:val="0"/>
                <w:kern w:val="21"/>
                <w:sz w:val="21"/>
                <w:szCs w:val="21"/>
                <w:highlight w:val="none"/>
                <w:lang w:val="en-US" w:eastAsia="zh-CN"/>
              </w:rPr>
              <w:t>配电室</w:t>
            </w:r>
            <w:r>
              <w:rPr>
                <w:rFonts w:hint="default" w:ascii="Times New Roman" w:hAnsi="Times New Roman" w:cs="Times New Roman"/>
                <w:bCs/>
                <w:color w:val="auto"/>
                <w:spacing w:val="0"/>
                <w:kern w:val="21"/>
                <w:sz w:val="21"/>
                <w:szCs w:val="21"/>
                <w:highlight w:val="none"/>
                <w:lang w:val="en-US" w:eastAsia="zh-CN"/>
              </w:rPr>
              <w:t>一间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7" w:hRule="atLeast"/>
          <w:jc w:val="center"/>
        </w:trPr>
        <w:tc>
          <w:tcPr>
            <w:tcW w:w="38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yellow"/>
              </w:rPr>
            </w:pPr>
          </w:p>
        </w:tc>
        <w:tc>
          <w:tcPr>
            <w:tcW w:w="992"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lang w:val="en-US" w:eastAsia="zh-CN" w:bidi="ar-SA"/>
              </w:rPr>
            </w:pPr>
            <w:r>
              <w:rPr>
                <w:rFonts w:hint="default" w:ascii="Times New Roman" w:hAnsi="Times New Roman" w:eastAsia="宋体" w:cs="Times New Roman"/>
                <w:bCs/>
                <w:color w:val="auto"/>
                <w:spacing w:val="0"/>
                <w:kern w:val="21"/>
                <w:sz w:val="21"/>
                <w:szCs w:val="21"/>
                <w:highlight w:val="none"/>
                <w:lang w:val="en-US" w:eastAsia="zh-CN"/>
              </w:rPr>
              <w:t>锅炉房</w:t>
            </w:r>
          </w:p>
        </w:tc>
        <w:tc>
          <w:tcPr>
            <w:tcW w:w="36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lang w:val="en-US" w:eastAsia="zh-CN" w:bidi="ar-SA"/>
              </w:rPr>
            </w:pPr>
            <w:r>
              <w:rPr>
                <w:rFonts w:hint="default" w:ascii="Times New Roman" w:hAnsi="Times New Roman" w:cs="Times New Roman"/>
                <w:bCs/>
                <w:color w:val="auto"/>
                <w:spacing w:val="0"/>
                <w:kern w:val="21"/>
                <w:sz w:val="21"/>
                <w:szCs w:val="21"/>
                <w:highlight w:val="none"/>
                <w:lang w:val="en-US" w:eastAsia="zh-CN"/>
              </w:rPr>
              <w:t>设置锅炉房一间</w:t>
            </w:r>
            <w:r>
              <w:rPr>
                <w:rFonts w:hint="eastAsia" w:cs="Times New Roman"/>
                <w:bCs/>
                <w:color w:val="auto"/>
                <w:spacing w:val="0"/>
                <w:kern w:val="21"/>
                <w:sz w:val="21"/>
                <w:szCs w:val="21"/>
                <w:highlight w:val="none"/>
                <w:lang w:val="en-US" w:eastAsia="zh-CN"/>
              </w:rPr>
              <w:t>，配置电锅炉</w:t>
            </w:r>
            <w:r>
              <w:rPr>
                <w:rFonts w:hint="eastAsia" w:ascii="Times New Roman" w:hAnsi="Times New Roman" w:cs="Times New Roman"/>
                <w:bCs/>
                <w:color w:val="auto"/>
                <w:spacing w:val="0"/>
                <w:kern w:val="21"/>
                <w:sz w:val="21"/>
                <w:szCs w:val="21"/>
                <w:highlight w:val="none"/>
                <w:lang w:val="en-US" w:eastAsia="zh-CN"/>
              </w:rPr>
              <w:t xml:space="preserve">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7" w:hRule="atLeast"/>
          <w:jc w:val="center"/>
        </w:trPr>
        <w:tc>
          <w:tcPr>
            <w:tcW w:w="38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yellow"/>
              </w:rPr>
            </w:pPr>
          </w:p>
        </w:tc>
        <w:tc>
          <w:tcPr>
            <w:tcW w:w="992"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lang w:val="en-US" w:eastAsia="zh-CN" w:bidi="ar-SA"/>
              </w:rPr>
            </w:pPr>
            <w:r>
              <w:rPr>
                <w:rFonts w:hint="default" w:ascii="Times New Roman" w:hAnsi="Times New Roman" w:eastAsia="宋体" w:cs="Times New Roman"/>
                <w:bCs/>
                <w:color w:val="auto"/>
                <w:spacing w:val="0"/>
                <w:kern w:val="21"/>
                <w:sz w:val="21"/>
                <w:szCs w:val="21"/>
                <w:highlight w:val="none"/>
                <w:lang w:val="en-US" w:eastAsia="zh-CN"/>
              </w:rPr>
              <w:t>生活管理用房</w:t>
            </w:r>
          </w:p>
        </w:tc>
        <w:tc>
          <w:tcPr>
            <w:tcW w:w="36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lang w:val="en-US" w:eastAsia="zh-CN" w:bidi="ar-SA"/>
              </w:rPr>
            </w:pPr>
            <w:r>
              <w:rPr>
                <w:rFonts w:hint="default" w:ascii="Times New Roman" w:hAnsi="Times New Roman" w:eastAsia="宋体" w:cs="Times New Roman"/>
                <w:bCs/>
                <w:color w:val="auto"/>
                <w:spacing w:val="0"/>
                <w:kern w:val="21"/>
                <w:sz w:val="21"/>
                <w:szCs w:val="21"/>
                <w:highlight w:val="none"/>
              </w:rPr>
              <w:t>新建</w:t>
            </w:r>
            <w:r>
              <w:rPr>
                <w:rFonts w:hint="default" w:ascii="Times New Roman" w:hAnsi="Times New Roman" w:cs="Times New Roman"/>
                <w:bCs/>
                <w:color w:val="auto"/>
                <w:spacing w:val="0"/>
                <w:kern w:val="21"/>
                <w:sz w:val="21"/>
                <w:szCs w:val="21"/>
                <w:highlight w:val="none"/>
                <w:lang w:val="en-US" w:eastAsia="zh-CN"/>
              </w:rPr>
              <w:t>554.40</w:t>
            </w:r>
            <w:r>
              <w:rPr>
                <w:rFonts w:hint="default" w:ascii="Times New Roman" w:hAnsi="Times New Roman" w:eastAsia="宋体" w:cs="Times New Roman"/>
                <w:bCs/>
                <w:color w:val="auto"/>
                <w:spacing w:val="0"/>
                <w:kern w:val="21"/>
                <w:sz w:val="21"/>
                <w:szCs w:val="21"/>
                <w:highlight w:val="none"/>
                <w:lang w:val="en-US" w:eastAsia="zh-CN"/>
              </w:rPr>
              <w:t>m</w:t>
            </w:r>
            <w:r>
              <w:rPr>
                <w:rFonts w:hint="default" w:ascii="Times New Roman" w:hAnsi="Times New Roman" w:eastAsia="宋体" w:cs="Times New Roman"/>
                <w:bCs/>
                <w:color w:val="auto"/>
                <w:spacing w:val="0"/>
                <w:kern w:val="21"/>
                <w:sz w:val="21"/>
                <w:szCs w:val="21"/>
                <w:highlight w:val="none"/>
                <w:vertAlign w:val="superscript"/>
                <w:lang w:val="en-US" w:eastAsia="zh-CN"/>
              </w:rPr>
              <w:t>2</w:t>
            </w:r>
            <w:r>
              <w:rPr>
                <w:rFonts w:hint="default" w:ascii="Times New Roman" w:hAnsi="Times New Roman" w:eastAsia="宋体" w:cs="Times New Roman"/>
                <w:bCs/>
                <w:color w:val="auto"/>
                <w:spacing w:val="0"/>
                <w:kern w:val="21"/>
                <w:sz w:val="21"/>
                <w:szCs w:val="21"/>
                <w:highlight w:val="none"/>
                <w:lang w:val="en-US" w:eastAsia="zh-CN"/>
              </w:rPr>
              <w:t>生活管理用房，包括办公室、员工宿舍、食堂等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8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yellow"/>
              </w:rPr>
            </w:pPr>
          </w:p>
        </w:tc>
        <w:tc>
          <w:tcPr>
            <w:tcW w:w="992"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lang w:val="en-US" w:eastAsia="zh-CN" w:bidi="ar-SA"/>
              </w:rPr>
            </w:pPr>
            <w:r>
              <w:rPr>
                <w:rFonts w:hint="default" w:ascii="Times New Roman" w:hAnsi="Times New Roman" w:eastAsia="宋体" w:cs="Times New Roman"/>
                <w:bCs/>
                <w:color w:val="auto"/>
                <w:spacing w:val="0"/>
                <w:kern w:val="21"/>
                <w:sz w:val="21"/>
                <w:szCs w:val="21"/>
                <w:highlight w:val="none"/>
              </w:rPr>
              <w:t>消毒</w:t>
            </w:r>
            <w:r>
              <w:rPr>
                <w:rFonts w:hint="default" w:ascii="Times New Roman" w:hAnsi="Times New Roman" w:cs="Times New Roman"/>
                <w:bCs/>
                <w:color w:val="auto"/>
                <w:spacing w:val="0"/>
                <w:kern w:val="21"/>
                <w:sz w:val="21"/>
                <w:szCs w:val="21"/>
                <w:highlight w:val="none"/>
                <w:lang w:val="en-US" w:eastAsia="zh-CN"/>
              </w:rPr>
              <w:t>值班</w:t>
            </w:r>
            <w:r>
              <w:rPr>
                <w:rFonts w:hint="default" w:ascii="Times New Roman" w:hAnsi="Times New Roman" w:eastAsia="宋体" w:cs="Times New Roman"/>
                <w:bCs/>
                <w:color w:val="auto"/>
                <w:spacing w:val="0"/>
                <w:kern w:val="21"/>
                <w:sz w:val="21"/>
                <w:szCs w:val="21"/>
                <w:highlight w:val="none"/>
                <w:lang w:val="en-US" w:eastAsia="zh-CN"/>
              </w:rPr>
              <w:t>室</w:t>
            </w:r>
          </w:p>
        </w:tc>
        <w:tc>
          <w:tcPr>
            <w:tcW w:w="36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lang w:val="en-US" w:eastAsia="zh-CN" w:bidi="ar-SA"/>
              </w:rPr>
            </w:pPr>
            <w:r>
              <w:rPr>
                <w:rFonts w:hint="default" w:ascii="Times New Roman" w:hAnsi="Times New Roman" w:cs="Times New Roman"/>
                <w:bCs/>
                <w:color w:val="auto"/>
                <w:spacing w:val="0"/>
                <w:kern w:val="21"/>
                <w:sz w:val="21"/>
                <w:szCs w:val="21"/>
                <w:highlight w:val="none"/>
                <w:lang w:val="en-US" w:eastAsia="zh-CN"/>
              </w:rPr>
              <w:t>150.18</w:t>
            </w:r>
            <w:r>
              <w:rPr>
                <w:rFonts w:hint="default" w:ascii="Times New Roman" w:hAnsi="Times New Roman" w:eastAsia="宋体" w:cs="Times New Roman"/>
                <w:bCs/>
                <w:color w:val="auto"/>
                <w:spacing w:val="0"/>
                <w:kern w:val="21"/>
                <w:sz w:val="21"/>
                <w:szCs w:val="21"/>
                <w:highlight w:val="none"/>
                <w:lang w:val="en-US" w:eastAsia="zh-CN"/>
              </w:rPr>
              <w:t>m</w:t>
            </w:r>
            <w:r>
              <w:rPr>
                <w:rFonts w:hint="default" w:ascii="Times New Roman" w:hAnsi="Times New Roman" w:eastAsia="宋体" w:cs="Times New Roman"/>
                <w:bCs/>
                <w:color w:val="auto"/>
                <w:spacing w:val="0"/>
                <w:kern w:val="21"/>
                <w:sz w:val="21"/>
                <w:szCs w:val="21"/>
                <w:highlight w:val="none"/>
                <w:vertAlign w:val="superscript"/>
                <w:lang w:val="en-US" w:eastAsia="zh-CN"/>
              </w:rPr>
              <w:t>2</w:t>
            </w:r>
            <w:r>
              <w:rPr>
                <w:rFonts w:hint="default" w:ascii="Times New Roman" w:hAnsi="Times New Roman" w:eastAsia="宋体" w:cs="Times New Roman"/>
                <w:bCs/>
                <w:color w:val="auto"/>
                <w:spacing w:val="0"/>
                <w:kern w:val="21"/>
                <w:sz w:val="21"/>
                <w:szCs w:val="21"/>
                <w:highlight w:val="none"/>
              </w:rPr>
              <w:t>消毒</w:t>
            </w:r>
            <w:r>
              <w:rPr>
                <w:rFonts w:hint="default" w:ascii="Times New Roman" w:hAnsi="Times New Roman" w:cs="Times New Roman"/>
                <w:bCs/>
                <w:color w:val="auto"/>
                <w:spacing w:val="0"/>
                <w:kern w:val="21"/>
                <w:sz w:val="21"/>
                <w:szCs w:val="21"/>
                <w:highlight w:val="none"/>
                <w:lang w:val="en-US" w:eastAsia="zh-CN"/>
              </w:rPr>
              <w:t>值班</w:t>
            </w:r>
            <w:r>
              <w:rPr>
                <w:rFonts w:hint="default" w:ascii="Times New Roman" w:hAnsi="Times New Roman" w:eastAsia="宋体" w:cs="Times New Roman"/>
                <w:bCs/>
                <w:color w:val="auto"/>
                <w:spacing w:val="0"/>
                <w:kern w:val="21"/>
                <w:sz w:val="21"/>
                <w:szCs w:val="21"/>
                <w:highlight w:val="none"/>
                <w:lang w:val="en-US" w:eastAsia="zh-CN"/>
              </w:rPr>
              <w:t>室</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8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yellow"/>
              </w:rPr>
            </w:pPr>
          </w:p>
        </w:tc>
        <w:tc>
          <w:tcPr>
            <w:tcW w:w="992"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lang w:val="en-US" w:eastAsia="zh-CN" w:bidi="ar-SA"/>
              </w:rPr>
            </w:pPr>
            <w:r>
              <w:rPr>
                <w:rFonts w:hint="default" w:ascii="Times New Roman" w:hAnsi="Times New Roman" w:cs="Times New Roman"/>
                <w:bCs/>
                <w:color w:val="auto"/>
                <w:spacing w:val="0"/>
                <w:kern w:val="21"/>
                <w:sz w:val="21"/>
                <w:szCs w:val="21"/>
                <w:highlight w:val="none"/>
                <w:lang w:val="en-US" w:eastAsia="zh-CN"/>
              </w:rPr>
              <w:t>停车场</w:t>
            </w:r>
          </w:p>
        </w:tc>
        <w:tc>
          <w:tcPr>
            <w:tcW w:w="36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lang w:val="en-US" w:eastAsia="zh-CN" w:bidi="ar-SA"/>
              </w:rPr>
            </w:pPr>
            <w:r>
              <w:rPr>
                <w:rFonts w:hint="default" w:ascii="Times New Roman" w:hAnsi="Times New Roman" w:cs="Times New Roman"/>
                <w:bCs/>
                <w:color w:val="auto"/>
                <w:spacing w:val="0"/>
                <w:kern w:val="21"/>
                <w:sz w:val="21"/>
                <w:szCs w:val="21"/>
                <w:highlight w:val="none"/>
                <w:lang w:val="en-US" w:eastAsia="zh-CN"/>
              </w:rPr>
              <w:t>1000</w:t>
            </w:r>
            <w:r>
              <w:rPr>
                <w:rFonts w:hint="default" w:ascii="Times New Roman" w:hAnsi="Times New Roman" w:eastAsia="宋体" w:cs="Times New Roman"/>
                <w:bCs/>
                <w:color w:val="auto"/>
                <w:spacing w:val="0"/>
                <w:kern w:val="21"/>
                <w:sz w:val="21"/>
                <w:szCs w:val="21"/>
                <w:highlight w:val="none"/>
                <w:lang w:val="en-US" w:eastAsia="zh-CN"/>
              </w:rPr>
              <w:t>m</w:t>
            </w:r>
            <w:r>
              <w:rPr>
                <w:rFonts w:hint="default" w:ascii="Times New Roman" w:hAnsi="Times New Roman" w:eastAsia="宋体" w:cs="Times New Roman"/>
                <w:bCs/>
                <w:color w:val="auto"/>
                <w:spacing w:val="0"/>
                <w:kern w:val="21"/>
                <w:sz w:val="21"/>
                <w:szCs w:val="21"/>
                <w:highlight w:val="none"/>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381"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yellow"/>
              </w:rPr>
            </w:pPr>
            <w:r>
              <w:rPr>
                <w:rFonts w:hint="default" w:ascii="Times New Roman" w:hAnsi="Times New Roman" w:eastAsia="宋体" w:cs="Times New Roman"/>
                <w:bCs/>
                <w:color w:val="auto"/>
                <w:spacing w:val="0"/>
                <w:kern w:val="21"/>
                <w:sz w:val="21"/>
                <w:szCs w:val="21"/>
                <w:highlight w:val="none"/>
              </w:rPr>
              <w:t>公用工程</w:t>
            </w:r>
          </w:p>
        </w:tc>
        <w:tc>
          <w:tcPr>
            <w:tcW w:w="992"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rPr>
            </w:pPr>
            <w:r>
              <w:rPr>
                <w:rFonts w:hint="default" w:ascii="Times New Roman" w:hAnsi="Times New Roman" w:eastAsia="宋体" w:cs="Times New Roman"/>
                <w:bCs/>
                <w:color w:val="auto"/>
                <w:spacing w:val="0"/>
                <w:kern w:val="21"/>
                <w:sz w:val="21"/>
                <w:szCs w:val="21"/>
                <w:highlight w:val="none"/>
              </w:rPr>
              <w:t>供电</w:t>
            </w:r>
          </w:p>
        </w:tc>
        <w:tc>
          <w:tcPr>
            <w:tcW w:w="36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auto"/>
                <w:spacing w:val="0"/>
                <w:kern w:val="21"/>
                <w:sz w:val="21"/>
                <w:szCs w:val="21"/>
                <w:highlight w:val="none"/>
                <w:lang w:val="en-US" w:eastAsia="zh-CN"/>
              </w:rPr>
            </w:pPr>
            <w:r>
              <w:rPr>
                <w:rFonts w:hint="default" w:ascii="Times New Roman" w:hAnsi="Times New Roman" w:eastAsia="宋体" w:cs="Times New Roman"/>
                <w:bCs/>
                <w:color w:val="auto"/>
                <w:spacing w:val="0"/>
                <w:kern w:val="21"/>
                <w:sz w:val="21"/>
                <w:szCs w:val="21"/>
                <w:highlight w:val="none"/>
              </w:rPr>
              <w:t>由</w:t>
            </w:r>
            <w:r>
              <w:rPr>
                <w:rFonts w:hint="default" w:ascii="Times New Roman" w:hAnsi="Times New Roman" w:cs="Times New Roman"/>
                <w:bCs/>
                <w:color w:val="auto"/>
                <w:spacing w:val="0"/>
                <w:kern w:val="21"/>
                <w:sz w:val="21"/>
                <w:szCs w:val="21"/>
                <w:highlight w:val="none"/>
                <w:lang w:val="en-US" w:eastAsia="zh-CN"/>
              </w:rPr>
              <w:t>乡</w:t>
            </w:r>
            <w:r>
              <w:rPr>
                <w:rFonts w:hint="default" w:ascii="Times New Roman" w:hAnsi="Times New Roman" w:eastAsia="宋体" w:cs="Times New Roman"/>
                <w:bCs/>
                <w:color w:val="auto"/>
                <w:spacing w:val="0"/>
                <w:kern w:val="21"/>
                <w:sz w:val="21"/>
                <w:szCs w:val="21"/>
                <w:highlight w:val="none"/>
              </w:rPr>
              <w:t>镇供电电网</w:t>
            </w:r>
            <w:r>
              <w:rPr>
                <w:rFonts w:hint="default" w:ascii="Times New Roman" w:hAnsi="Times New Roman" w:eastAsia="宋体" w:cs="Times New Roman"/>
                <w:bCs/>
                <w:color w:val="auto"/>
                <w:spacing w:val="0"/>
                <w:kern w:val="21"/>
                <w:sz w:val="21"/>
                <w:szCs w:val="21"/>
                <w:highlight w:val="none"/>
                <w:lang w:val="en-US" w:eastAsia="zh-CN"/>
              </w:rPr>
              <w:t>供给</w:t>
            </w:r>
            <w:r>
              <w:rPr>
                <w:rFonts w:hint="eastAsia" w:ascii="Times New Roman" w:hAnsi="Times New Roman" w:eastAsia="宋体" w:cs="Times New Roman"/>
                <w:bCs/>
                <w:color w:val="auto"/>
                <w:spacing w:val="0"/>
                <w:kern w:val="21"/>
                <w:sz w:val="21"/>
                <w:szCs w:val="21"/>
                <w:highlight w:val="none"/>
                <w:lang w:val="en-US" w:eastAsia="zh-CN"/>
              </w:rPr>
              <w:t>，场区内建有配电室</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38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yellow"/>
              </w:rPr>
            </w:pPr>
          </w:p>
        </w:tc>
        <w:tc>
          <w:tcPr>
            <w:tcW w:w="992"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rPr>
            </w:pPr>
            <w:r>
              <w:rPr>
                <w:rFonts w:hint="default" w:ascii="Times New Roman" w:hAnsi="Times New Roman" w:eastAsia="宋体" w:cs="Times New Roman"/>
                <w:bCs/>
                <w:color w:val="auto"/>
                <w:spacing w:val="0"/>
                <w:kern w:val="21"/>
                <w:sz w:val="21"/>
                <w:szCs w:val="21"/>
                <w:highlight w:val="none"/>
              </w:rPr>
              <w:t>供水</w:t>
            </w:r>
          </w:p>
        </w:tc>
        <w:tc>
          <w:tcPr>
            <w:tcW w:w="36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auto"/>
                <w:spacing w:val="0"/>
                <w:kern w:val="21"/>
                <w:sz w:val="21"/>
                <w:szCs w:val="21"/>
                <w:highlight w:val="none"/>
                <w:lang w:val="en-US" w:eastAsia="zh-CN"/>
              </w:rPr>
            </w:pPr>
            <w:r>
              <w:rPr>
                <w:rFonts w:hint="default" w:ascii="Times New Roman" w:hAnsi="Times New Roman" w:cs="Times New Roman"/>
                <w:bCs/>
                <w:color w:val="auto"/>
                <w:spacing w:val="0"/>
                <w:kern w:val="21"/>
                <w:sz w:val="21"/>
                <w:szCs w:val="21"/>
                <w:highlight w:val="none"/>
                <w:lang w:eastAsia="zh-CN"/>
              </w:rPr>
              <w:t>由</w:t>
            </w:r>
            <w:r>
              <w:rPr>
                <w:rFonts w:hint="default" w:ascii="Times New Roman" w:hAnsi="Times New Roman" w:cs="Times New Roman"/>
                <w:bCs/>
                <w:color w:val="auto"/>
                <w:spacing w:val="0"/>
                <w:kern w:val="21"/>
                <w:sz w:val="21"/>
                <w:szCs w:val="21"/>
                <w:highlight w:val="none"/>
                <w:lang w:val="en-US" w:eastAsia="zh-CN"/>
              </w:rPr>
              <w:t>地下水井供给</w:t>
            </w:r>
            <w:r>
              <w:rPr>
                <w:rFonts w:hint="eastAsia" w:ascii="Times New Roman" w:hAnsi="Times New Roman" w:cs="Times New Roman"/>
                <w:color w:val="auto"/>
                <w:lang w:val="en-US" w:eastAsia="zh-CN"/>
              </w:rPr>
              <w:t xml:space="preserve">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38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yellow"/>
              </w:rPr>
            </w:pPr>
          </w:p>
        </w:tc>
        <w:tc>
          <w:tcPr>
            <w:tcW w:w="992"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rPr>
            </w:pPr>
            <w:r>
              <w:rPr>
                <w:rFonts w:hint="default" w:ascii="Times New Roman" w:hAnsi="Times New Roman" w:eastAsia="宋体" w:cs="Times New Roman"/>
                <w:bCs/>
                <w:color w:val="auto"/>
                <w:spacing w:val="0"/>
                <w:kern w:val="21"/>
                <w:sz w:val="21"/>
                <w:szCs w:val="21"/>
                <w:highlight w:val="none"/>
              </w:rPr>
              <w:t>排水</w:t>
            </w:r>
          </w:p>
        </w:tc>
        <w:tc>
          <w:tcPr>
            <w:tcW w:w="36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lang w:val="en-US" w:eastAsia="zh-CN"/>
              </w:rPr>
            </w:pPr>
            <w:r>
              <w:rPr>
                <w:rFonts w:hint="eastAsia" w:cs="Times New Roman"/>
                <w:bCs/>
                <w:color w:val="auto"/>
                <w:spacing w:val="0"/>
                <w:kern w:val="21"/>
                <w:sz w:val="21"/>
                <w:szCs w:val="21"/>
                <w:highlight w:val="none"/>
                <w:lang w:eastAsia="zh-CN"/>
              </w:rPr>
              <w:t>挤奶厅设备和地面清洗废水</w:t>
            </w:r>
            <w:r>
              <w:rPr>
                <w:rFonts w:hint="default" w:ascii="Times New Roman" w:hAnsi="Times New Roman" w:eastAsia="宋体" w:cs="Times New Roman"/>
                <w:bCs/>
                <w:color w:val="auto"/>
                <w:spacing w:val="0"/>
                <w:kern w:val="21"/>
                <w:sz w:val="21"/>
                <w:szCs w:val="21"/>
                <w:highlight w:val="none"/>
              </w:rPr>
              <w:t>，生活污水经</w:t>
            </w:r>
            <w:r>
              <w:rPr>
                <w:rFonts w:hint="default" w:ascii="Times New Roman" w:hAnsi="Times New Roman" w:cs="Times New Roman"/>
                <w:bCs/>
                <w:color w:val="auto"/>
                <w:spacing w:val="0"/>
                <w:kern w:val="21"/>
                <w:sz w:val="21"/>
                <w:szCs w:val="21"/>
                <w:highlight w:val="none"/>
                <w:lang w:eastAsia="zh-CN"/>
              </w:rPr>
              <w:t>收集后定期清掏</w:t>
            </w:r>
            <w:r>
              <w:rPr>
                <w:rFonts w:hint="eastAsia" w:cs="Times New Roman"/>
                <w:bCs/>
                <w:color w:val="auto"/>
                <w:spacing w:val="0"/>
                <w:kern w:val="21"/>
                <w:sz w:val="21"/>
                <w:szCs w:val="21"/>
                <w:highlight w:val="none"/>
                <w:lang w:val="en-US" w:eastAsia="zh-CN"/>
              </w:rPr>
              <w:t>至塔城市污水厂</w:t>
            </w:r>
            <w:r>
              <w:rPr>
                <w:rFonts w:hint="default" w:ascii="Times New Roman" w:hAnsi="Times New Roman" w:eastAsia="宋体" w:cs="Times New Roman"/>
                <w:bCs/>
                <w:color w:val="auto"/>
                <w:spacing w:val="0"/>
                <w:kern w:val="21"/>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38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yellow"/>
              </w:rPr>
            </w:pPr>
          </w:p>
        </w:tc>
        <w:tc>
          <w:tcPr>
            <w:tcW w:w="992"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rPr>
            </w:pPr>
            <w:r>
              <w:rPr>
                <w:rFonts w:hint="default" w:ascii="Times New Roman" w:hAnsi="Times New Roman" w:eastAsia="宋体" w:cs="Times New Roman"/>
                <w:bCs/>
                <w:color w:val="auto"/>
                <w:spacing w:val="0"/>
                <w:kern w:val="21"/>
                <w:sz w:val="21"/>
                <w:szCs w:val="21"/>
                <w:highlight w:val="none"/>
              </w:rPr>
              <w:t>供暖</w:t>
            </w:r>
          </w:p>
        </w:tc>
        <w:tc>
          <w:tcPr>
            <w:tcW w:w="36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rPr>
            </w:pPr>
            <w:r>
              <w:rPr>
                <w:rFonts w:hint="default" w:ascii="Times New Roman" w:hAnsi="Times New Roman" w:cs="Times New Roman"/>
                <w:bCs/>
                <w:color w:val="auto"/>
                <w:spacing w:val="0"/>
                <w:kern w:val="21"/>
                <w:sz w:val="21"/>
                <w:szCs w:val="21"/>
                <w:highlight w:val="none"/>
                <w:lang w:val="en-US" w:eastAsia="zh-CN"/>
              </w:rPr>
              <w:t>采用</w:t>
            </w:r>
            <w:r>
              <w:rPr>
                <w:rFonts w:hint="default" w:ascii="Times New Roman" w:hAnsi="Times New Roman" w:cs="Times New Roman"/>
                <w:bCs/>
                <w:color w:val="auto"/>
                <w:spacing w:val="0"/>
                <w:kern w:val="21"/>
                <w:sz w:val="21"/>
                <w:szCs w:val="21"/>
                <w:highlight w:val="none"/>
                <w:lang w:eastAsia="zh-CN"/>
              </w:rPr>
              <w:t>电</w:t>
            </w:r>
            <w:r>
              <w:rPr>
                <w:rFonts w:hint="default" w:ascii="Times New Roman" w:hAnsi="Times New Roman" w:cs="Times New Roman"/>
                <w:bCs/>
                <w:color w:val="auto"/>
                <w:spacing w:val="0"/>
                <w:kern w:val="21"/>
                <w:sz w:val="21"/>
                <w:szCs w:val="21"/>
                <w:highlight w:val="none"/>
                <w:lang w:val="en-US" w:eastAsia="zh-CN"/>
              </w:rPr>
              <w:t>锅炉</w:t>
            </w:r>
            <w:r>
              <w:rPr>
                <w:rFonts w:hint="default" w:ascii="Times New Roman" w:hAnsi="Times New Roman" w:eastAsia="宋体" w:cs="Times New Roman"/>
                <w:bCs/>
                <w:color w:val="auto"/>
                <w:spacing w:val="0"/>
                <w:kern w:val="21"/>
                <w:sz w:val="21"/>
                <w:szCs w:val="21"/>
                <w:highlight w:val="none"/>
              </w:rPr>
              <w:t>供暖</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81"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yellow"/>
              </w:rPr>
            </w:pPr>
            <w:r>
              <w:rPr>
                <w:rFonts w:hint="default" w:ascii="Times New Roman" w:hAnsi="Times New Roman" w:eastAsia="宋体" w:cs="Times New Roman"/>
                <w:bCs/>
                <w:color w:val="auto"/>
                <w:spacing w:val="0"/>
                <w:kern w:val="21"/>
                <w:sz w:val="21"/>
                <w:szCs w:val="21"/>
                <w:highlight w:val="none"/>
              </w:rPr>
              <w:t>环保工程</w:t>
            </w:r>
          </w:p>
        </w:tc>
        <w:tc>
          <w:tcPr>
            <w:tcW w:w="249"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rPr>
            </w:pPr>
            <w:r>
              <w:rPr>
                <w:rFonts w:hint="default" w:ascii="Times New Roman" w:hAnsi="Times New Roman" w:eastAsia="宋体" w:cs="Times New Roman"/>
                <w:bCs/>
                <w:color w:val="auto"/>
                <w:spacing w:val="0"/>
                <w:kern w:val="21"/>
                <w:sz w:val="21"/>
                <w:szCs w:val="21"/>
                <w:highlight w:val="none"/>
              </w:rPr>
              <w:t>废气</w:t>
            </w:r>
            <w:r>
              <w:rPr>
                <w:rFonts w:hint="eastAsia" w:ascii="Times New Roman" w:hAnsi="Times New Roman" w:cs="Times New Roman"/>
                <w:bCs/>
                <w:color w:val="auto"/>
                <w:spacing w:val="0"/>
                <w:kern w:val="21"/>
                <w:sz w:val="21"/>
                <w:szCs w:val="21"/>
                <w:highlight w:val="none"/>
                <w:lang w:val="en-US" w:eastAsia="zh-CN"/>
              </w:rPr>
              <w:t>治理</w:t>
            </w:r>
          </w:p>
        </w:tc>
        <w:tc>
          <w:tcPr>
            <w:tcW w:w="74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rPr>
            </w:pPr>
            <w:r>
              <w:rPr>
                <w:rFonts w:hint="default" w:ascii="Times New Roman" w:hAnsi="Times New Roman" w:eastAsia="宋体" w:cs="Times New Roman"/>
                <w:bCs/>
                <w:color w:val="auto"/>
                <w:spacing w:val="0"/>
                <w:kern w:val="21"/>
                <w:sz w:val="21"/>
                <w:szCs w:val="21"/>
                <w:highlight w:val="none"/>
              </w:rPr>
              <w:t>牛舍臭气</w:t>
            </w:r>
          </w:p>
        </w:tc>
        <w:tc>
          <w:tcPr>
            <w:tcW w:w="36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1"/>
                <w:sz w:val="21"/>
                <w:szCs w:val="21"/>
                <w:highlight w:val="none"/>
              </w:rPr>
            </w:pPr>
            <w:r>
              <w:rPr>
                <w:rFonts w:hint="default" w:ascii="Times New Roman" w:hAnsi="Times New Roman" w:eastAsia="宋体" w:cs="Times New Roman"/>
                <w:color w:val="auto"/>
                <w:spacing w:val="0"/>
                <w:kern w:val="21"/>
                <w:sz w:val="21"/>
                <w:szCs w:val="21"/>
                <w:highlight w:val="none"/>
              </w:rPr>
              <w:t>牛舍采用干清粪、粪污日产日清、加强牛舍通风</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8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yellow"/>
              </w:rPr>
            </w:pPr>
          </w:p>
        </w:tc>
        <w:tc>
          <w:tcPr>
            <w:tcW w:w="24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rPr>
            </w:pPr>
          </w:p>
        </w:tc>
        <w:tc>
          <w:tcPr>
            <w:tcW w:w="74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rPr>
            </w:pPr>
            <w:r>
              <w:rPr>
                <w:rFonts w:hint="default" w:ascii="Times New Roman" w:hAnsi="Times New Roman" w:cs="Times New Roman"/>
                <w:bCs/>
                <w:color w:val="auto"/>
                <w:spacing w:val="0"/>
                <w:kern w:val="21"/>
                <w:sz w:val="21"/>
                <w:szCs w:val="21"/>
                <w:highlight w:val="none"/>
                <w:lang w:eastAsia="zh-CN"/>
              </w:rPr>
              <w:t>堆粪场</w:t>
            </w:r>
            <w:r>
              <w:rPr>
                <w:rFonts w:hint="default" w:ascii="Times New Roman" w:hAnsi="Times New Roman" w:eastAsia="宋体" w:cs="Times New Roman"/>
                <w:bCs/>
                <w:color w:val="auto"/>
                <w:spacing w:val="0"/>
                <w:kern w:val="21"/>
                <w:sz w:val="21"/>
                <w:szCs w:val="21"/>
                <w:highlight w:val="none"/>
              </w:rPr>
              <w:t>臭气</w:t>
            </w:r>
          </w:p>
        </w:tc>
        <w:tc>
          <w:tcPr>
            <w:tcW w:w="36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1"/>
                <w:sz w:val="21"/>
                <w:szCs w:val="21"/>
                <w:highlight w:val="none"/>
                <w:lang w:val="en-US" w:eastAsia="zh-CN"/>
              </w:rPr>
            </w:pPr>
            <w:r>
              <w:rPr>
                <w:rFonts w:hint="default" w:ascii="Times New Roman" w:hAnsi="Times New Roman" w:eastAsia="宋体" w:cs="Times New Roman"/>
                <w:color w:val="auto"/>
                <w:spacing w:val="0"/>
                <w:kern w:val="21"/>
                <w:sz w:val="21"/>
                <w:szCs w:val="21"/>
                <w:highlight w:val="none"/>
              </w:rPr>
              <w:t>合理选址，远离环境敏感点；增加</w:t>
            </w:r>
            <w:r>
              <w:rPr>
                <w:rFonts w:hint="default" w:ascii="Times New Roman" w:hAnsi="Times New Roman" w:cs="Times New Roman"/>
                <w:color w:val="auto"/>
                <w:spacing w:val="0"/>
                <w:kern w:val="21"/>
                <w:sz w:val="21"/>
                <w:szCs w:val="21"/>
                <w:highlight w:val="none"/>
                <w:lang w:val="en-US" w:eastAsia="zh-CN"/>
              </w:rPr>
              <w:t>堆粪场</w:t>
            </w:r>
            <w:r>
              <w:rPr>
                <w:rFonts w:hint="default" w:ascii="Times New Roman" w:hAnsi="Times New Roman" w:eastAsia="宋体" w:cs="Times New Roman"/>
                <w:color w:val="auto"/>
                <w:spacing w:val="0"/>
                <w:kern w:val="21"/>
                <w:sz w:val="21"/>
                <w:szCs w:val="21"/>
                <w:highlight w:val="none"/>
              </w:rPr>
              <w:t>翻堆次数，降低臭气产生量；定期喷洒除臭</w:t>
            </w:r>
            <w:r>
              <w:rPr>
                <w:rFonts w:hint="default" w:ascii="Times New Roman" w:hAnsi="Times New Roman" w:cs="Times New Roman"/>
                <w:color w:val="auto"/>
                <w:spacing w:val="0"/>
                <w:kern w:val="21"/>
                <w:sz w:val="21"/>
                <w:szCs w:val="21"/>
                <w:highlight w:val="none"/>
                <w:lang w:val="en-US" w:eastAsia="zh-CN"/>
              </w:rPr>
              <w:t>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38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yellow"/>
              </w:rPr>
            </w:pPr>
          </w:p>
        </w:tc>
        <w:tc>
          <w:tcPr>
            <w:tcW w:w="24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rPr>
            </w:pPr>
          </w:p>
        </w:tc>
        <w:tc>
          <w:tcPr>
            <w:tcW w:w="74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rPr>
            </w:pPr>
            <w:r>
              <w:rPr>
                <w:rFonts w:hint="default" w:ascii="Times New Roman" w:hAnsi="Times New Roman" w:eastAsia="宋体" w:cs="Times New Roman"/>
                <w:bCs/>
                <w:color w:val="auto"/>
                <w:spacing w:val="0"/>
                <w:kern w:val="21"/>
                <w:sz w:val="21"/>
                <w:szCs w:val="21"/>
                <w:highlight w:val="none"/>
              </w:rPr>
              <w:t>粉尘</w:t>
            </w:r>
          </w:p>
        </w:tc>
        <w:tc>
          <w:tcPr>
            <w:tcW w:w="36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yellow"/>
              </w:rPr>
            </w:pPr>
            <w:r>
              <w:rPr>
                <w:rFonts w:hint="default" w:ascii="Times New Roman" w:hAnsi="Times New Roman" w:eastAsia="宋体" w:cs="Times New Roman"/>
                <w:bCs/>
                <w:color w:val="auto"/>
                <w:spacing w:val="0"/>
                <w:kern w:val="21"/>
                <w:sz w:val="21"/>
                <w:szCs w:val="21"/>
                <w:highlight w:val="none"/>
              </w:rPr>
              <w:t>饲料</w:t>
            </w:r>
            <w:r>
              <w:rPr>
                <w:rFonts w:hint="default" w:ascii="Times New Roman" w:hAnsi="Times New Roman" w:cs="Times New Roman"/>
                <w:bCs/>
                <w:color w:val="auto"/>
                <w:spacing w:val="0"/>
                <w:kern w:val="21"/>
                <w:sz w:val="21"/>
                <w:szCs w:val="21"/>
                <w:highlight w:val="none"/>
                <w:lang w:val="en-US" w:eastAsia="zh-CN"/>
              </w:rPr>
              <w:t>加工车间</w:t>
            </w:r>
            <w:r>
              <w:rPr>
                <w:rFonts w:hint="default" w:ascii="Times New Roman" w:hAnsi="Times New Roman" w:eastAsia="宋体" w:cs="Times New Roman"/>
                <w:bCs/>
                <w:color w:val="auto"/>
                <w:spacing w:val="0"/>
                <w:kern w:val="21"/>
                <w:sz w:val="21"/>
                <w:szCs w:val="21"/>
                <w:highlight w:val="none"/>
              </w:rPr>
              <w:t>投料口、出料口</w:t>
            </w:r>
            <w:r>
              <w:rPr>
                <w:rFonts w:hint="default" w:ascii="Times New Roman" w:hAnsi="Times New Roman" w:cs="Times New Roman"/>
                <w:bCs/>
                <w:color w:val="auto"/>
                <w:spacing w:val="0"/>
                <w:kern w:val="21"/>
                <w:sz w:val="21"/>
                <w:szCs w:val="21"/>
                <w:highlight w:val="none"/>
                <w:lang w:val="en-US" w:eastAsia="zh-CN"/>
              </w:rPr>
              <w:t>使用</w:t>
            </w:r>
            <w:r>
              <w:rPr>
                <w:rFonts w:hint="default" w:ascii="Times New Roman" w:hAnsi="Times New Roman" w:cs="Times New Roman"/>
                <w:bCs/>
                <w:color w:val="auto"/>
                <w:spacing w:val="0"/>
                <w:kern w:val="21"/>
                <w:sz w:val="21"/>
                <w:szCs w:val="21"/>
                <w:highlight w:val="none"/>
                <w:lang w:eastAsia="zh-CN"/>
              </w:rPr>
              <w:t>集气罩进行收集</w:t>
            </w:r>
            <w:r>
              <w:rPr>
                <w:rFonts w:hint="default" w:ascii="Times New Roman" w:hAnsi="Times New Roman" w:cs="Times New Roman"/>
                <w:bCs/>
                <w:color w:val="auto"/>
                <w:spacing w:val="0"/>
                <w:kern w:val="21"/>
                <w:sz w:val="21"/>
                <w:szCs w:val="21"/>
                <w:highlight w:val="none"/>
                <w:lang w:val="en-US" w:eastAsia="zh-CN"/>
              </w:rPr>
              <w:t>粉尘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38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yellow"/>
              </w:rPr>
            </w:pPr>
          </w:p>
        </w:tc>
        <w:tc>
          <w:tcPr>
            <w:tcW w:w="249"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auto"/>
                <w:spacing w:val="0"/>
                <w:kern w:val="21"/>
                <w:sz w:val="21"/>
                <w:szCs w:val="21"/>
                <w:highlight w:val="none"/>
                <w:lang w:val="en-US" w:eastAsia="zh-CN"/>
              </w:rPr>
            </w:pPr>
            <w:r>
              <w:rPr>
                <w:rFonts w:hint="default" w:ascii="Times New Roman" w:hAnsi="Times New Roman" w:eastAsia="宋体" w:cs="Times New Roman"/>
                <w:bCs/>
                <w:color w:val="auto"/>
                <w:spacing w:val="0"/>
                <w:kern w:val="21"/>
                <w:sz w:val="21"/>
                <w:szCs w:val="21"/>
                <w:highlight w:val="none"/>
              </w:rPr>
              <w:t>废水</w:t>
            </w:r>
            <w:r>
              <w:rPr>
                <w:rFonts w:hint="eastAsia" w:ascii="Times New Roman" w:hAnsi="Times New Roman" w:cs="Times New Roman"/>
                <w:bCs/>
                <w:color w:val="auto"/>
                <w:spacing w:val="0"/>
                <w:kern w:val="21"/>
                <w:sz w:val="21"/>
                <w:szCs w:val="21"/>
                <w:highlight w:val="none"/>
                <w:lang w:val="en-US" w:eastAsia="zh-CN"/>
              </w:rPr>
              <w:t>治理</w:t>
            </w:r>
          </w:p>
        </w:tc>
        <w:tc>
          <w:tcPr>
            <w:tcW w:w="74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rPr>
            </w:pPr>
            <w:r>
              <w:rPr>
                <w:rFonts w:hint="default" w:ascii="Times New Roman" w:hAnsi="Times New Roman" w:eastAsia="宋体" w:cs="Times New Roman"/>
                <w:bCs/>
                <w:color w:val="auto"/>
                <w:spacing w:val="0"/>
                <w:kern w:val="21"/>
                <w:sz w:val="21"/>
                <w:szCs w:val="21"/>
                <w:highlight w:val="none"/>
              </w:rPr>
              <w:t>生产废水</w:t>
            </w:r>
          </w:p>
        </w:tc>
        <w:tc>
          <w:tcPr>
            <w:tcW w:w="36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rPr>
            </w:pPr>
            <w:r>
              <w:rPr>
                <w:rFonts w:hint="default" w:ascii="Times New Roman" w:hAnsi="Times New Roman" w:eastAsia="宋体" w:cs="Times New Roman"/>
                <w:color w:val="auto"/>
                <w:spacing w:val="0"/>
                <w:kern w:val="21"/>
                <w:position w:val="0"/>
                <w:sz w:val="21"/>
                <w:szCs w:val="21"/>
                <w:highlight w:val="none"/>
                <w:lang w:eastAsia="zh-CN"/>
              </w:rPr>
              <w:t>牛尿进入垫料中，部分自然蒸发，剩余部分与垫料一起进入堆粪场，不外排；</w:t>
            </w:r>
            <w:r>
              <w:rPr>
                <w:rFonts w:hint="eastAsia" w:cs="Times New Roman"/>
                <w:color w:val="auto"/>
                <w:spacing w:val="0"/>
                <w:kern w:val="21"/>
                <w:position w:val="0"/>
                <w:sz w:val="21"/>
                <w:szCs w:val="21"/>
                <w:highlight w:val="none"/>
                <w:lang w:eastAsia="zh-CN"/>
              </w:rPr>
              <w:t>挤奶厅设备和地面清洗废水</w:t>
            </w:r>
            <w:r>
              <w:rPr>
                <w:rFonts w:hint="default" w:ascii="Times New Roman" w:hAnsi="Times New Roman" w:eastAsia="宋体" w:cs="Times New Roman"/>
                <w:color w:val="auto"/>
                <w:spacing w:val="0"/>
                <w:kern w:val="21"/>
                <w:position w:val="0"/>
                <w:sz w:val="21"/>
                <w:szCs w:val="21"/>
                <w:highlight w:val="none"/>
              </w:rPr>
              <w:t>全部排入</w:t>
            </w:r>
            <w:r>
              <w:rPr>
                <w:rFonts w:hint="default" w:ascii="Times New Roman" w:hAnsi="Times New Roman" w:cs="Times New Roman"/>
                <w:color w:val="auto"/>
                <w:spacing w:val="0"/>
                <w:kern w:val="21"/>
                <w:position w:val="0"/>
                <w:sz w:val="21"/>
                <w:szCs w:val="21"/>
                <w:highlight w:val="none"/>
                <w:lang w:eastAsia="zh-CN"/>
              </w:rPr>
              <w:t>集污池</w:t>
            </w:r>
            <w:r>
              <w:rPr>
                <w:rFonts w:hint="default" w:ascii="Times New Roman" w:hAnsi="Times New Roman" w:eastAsia="宋体" w:cs="Times New Roman"/>
                <w:color w:val="auto"/>
                <w:spacing w:val="0"/>
                <w:kern w:val="21"/>
                <w:position w:val="0"/>
                <w:sz w:val="21"/>
                <w:szCs w:val="21"/>
                <w:highlight w:val="none"/>
                <w:lang w:eastAsia="zh-CN"/>
              </w:rPr>
              <w:t>后定期清掏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4" w:hRule="atLeast"/>
          <w:jc w:val="center"/>
        </w:trPr>
        <w:tc>
          <w:tcPr>
            <w:tcW w:w="38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yellow"/>
              </w:rPr>
            </w:pPr>
          </w:p>
        </w:tc>
        <w:tc>
          <w:tcPr>
            <w:tcW w:w="24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rPr>
            </w:pPr>
          </w:p>
        </w:tc>
        <w:tc>
          <w:tcPr>
            <w:tcW w:w="74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rPr>
            </w:pPr>
            <w:r>
              <w:rPr>
                <w:rFonts w:hint="default" w:ascii="Times New Roman" w:hAnsi="Times New Roman" w:eastAsia="宋体" w:cs="Times New Roman"/>
                <w:bCs/>
                <w:color w:val="auto"/>
                <w:spacing w:val="0"/>
                <w:kern w:val="21"/>
                <w:sz w:val="21"/>
                <w:szCs w:val="21"/>
                <w:highlight w:val="none"/>
              </w:rPr>
              <w:t>生活污水</w:t>
            </w:r>
          </w:p>
        </w:tc>
        <w:tc>
          <w:tcPr>
            <w:tcW w:w="36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rPr>
            </w:pPr>
            <w:r>
              <w:rPr>
                <w:rFonts w:hint="default" w:ascii="Times New Roman" w:hAnsi="Times New Roman" w:cs="Times New Roman"/>
                <w:color w:val="auto"/>
                <w:sz w:val="21"/>
                <w:szCs w:val="21"/>
                <w:highlight w:val="none"/>
              </w:rPr>
              <w:t>生活污水暂存于</w:t>
            </w:r>
            <w:r>
              <w:rPr>
                <w:rFonts w:hint="default" w:ascii="Times New Roman" w:hAnsi="Times New Roman" w:cs="Times New Roman"/>
                <w:color w:val="auto"/>
                <w:sz w:val="21"/>
                <w:szCs w:val="21"/>
                <w:highlight w:val="none"/>
                <w:lang w:eastAsia="zh-CN"/>
              </w:rPr>
              <w:t>集污池</w:t>
            </w:r>
            <w:r>
              <w:rPr>
                <w:rFonts w:hint="default" w:ascii="Times New Roman" w:hAnsi="Times New Roman" w:cs="Times New Roman"/>
                <w:color w:val="auto"/>
                <w:sz w:val="21"/>
                <w:szCs w:val="21"/>
                <w:highlight w:val="none"/>
              </w:rPr>
              <w:t>，定期拉运</w:t>
            </w:r>
            <w:r>
              <w:rPr>
                <w:rFonts w:hint="default" w:ascii="Times New Roman" w:hAnsi="Times New Roman" w:cs="Times New Roman"/>
                <w:color w:val="auto"/>
                <w:sz w:val="21"/>
                <w:szCs w:val="21"/>
                <w:highlight w:val="none"/>
                <w:lang w:val="en-US" w:eastAsia="zh-CN"/>
              </w:rPr>
              <w:t>至</w:t>
            </w:r>
            <w:r>
              <w:rPr>
                <w:rFonts w:hint="eastAsia" w:cs="Times New Roman"/>
                <w:color w:val="auto"/>
                <w:sz w:val="21"/>
                <w:szCs w:val="21"/>
                <w:highlight w:val="none"/>
                <w:lang w:val="en-US" w:eastAsia="zh-CN"/>
              </w:rPr>
              <w:t>周边塔城市污水厂</w:t>
            </w:r>
            <w:r>
              <w:rPr>
                <w:rFonts w:hint="default" w:ascii="Times New Roman" w:hAnsi="Times New Roman" w:cs="Times New Roman"/>
                <w:color w:val="auto"/>
                <w:sz w:val="21"/>
                <w:szCs w:val="21"/>
                <w:highlight w:val="none"/>
              </w:rPr>
              <w:t>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38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yellow"/>
              </w:rPr>
            </w:pPr>
          </w:p>
        </w:tc>
        <w:tc>
          <w:tcPr>
            <w:tcW w:w="249"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auto"/>
                <w:spacing w:val="0"/>
                <w:kern w:val="21"/>
                <w:sz w:val="21"/>
                <w:szCs w:val="21"/>
                <w:highlight w:val="yellow"/>
                <w:lang w:val="en-US" w:eastAsia="zh-CN"/>
              </w:rPr>
            </w:pPr>
            <w:r>
              <w:rPr>
                <w:rFonts w:hint="default" w:ascii="Times New Roman" w:hAnsi="Times New Roman" w:eastAsia="宋体" w:cs="Times New Roman"/>
                <w:bCs/>
                <w:color w:val="auto"/>
                <w:spacing w:val="0"/>
                <w:kern w:val="21"/>
                <w:sz w:val="21"/>
                <w:szCs w:val="21"/>
                <w:highlight w:val="none"/>
              </w:rPr>
              <w:t>固废</w:t>
            </w:r>
            <w:r>
              <w:rPr>
                <w:rFonts w:hint="eastAsia" w:ascii="Times New Roman" w:hAnsi="Times New Roman" w:cs="Times New Roman"/>
                <w:bCs/>
                <w:color w:val="auto"/>
                <w:spacing w:val="0"/>
                <w:kern w:val="21"/>
                <w:sz w:val="21"/>
                <w:szCs w:val="21"/>
                <w:highlight w:val="none"/>
                <w:lang w:val="en-US" w:eastAsia="zh-CN"/>
              </w:rPr>
              <w:t>治理</w:t>
            </w:r>
          </w:p>
        </w:tc>
        <w:tc>
          <w:tcPr>
            <w:tcW w:w="74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1"/>
                <w:sz w:val="21"/>
                <w:szCs w:val="21"/>
                <w:highlight w:val="none"/>
              </w:rPr>
            </w:pPr>
            <w:r>
              <w:rPr>
                <w:rFonts w:hint="default" w:ascii="Times New Roman" w:hAnsi="Times New Roman" w:eastAsia="宋体" w:cs="Times New Roman"/>
                <w:color w:val="auto"/>
                <w:spacing w:val="0"/>
                <w:kern w:val="21"/>
                <w:sz w:val="21"/>
                <w:szCs w:val="21"/>
                <w:highlight w:val="none"/>
              </w:rPr>
              <w:t>牛粪</w:t>
            </w:r>
          </w:p>
        </w:tc>
        <w:tc>
          <w:tcPr>
            <w:tcW w:w="36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1"/>
                <w:sz w:val="21"/>
                <w:szCs w:val="21"/>
                <w:highlight w:val="none"/>
              </w:rPr>
            </w:pPr>
            <w:r>
              <w:rPr>
                <w:rFonts w:hint="default" w:ascii="Times New Roman" w:hAnsi="Times New Roman" w:cs="Times New Roman"/>
                <w:color w:val="auto"/>
                <w:sz w:val="21"/>
                <w:szCs w:val="21"/>
                <w:highlight w:val="none"/>
                <w:lang w:val="en-US" w:eastAsia="zh-CN"/>
              </w:rPr>
              <w:t>集中至</w:t>
            </w:r>
            <w:r>
              <w:rPr>
                <w:rFonts w:hint="default" w:ascii="Times New Roman" w:hAnsi="Times New Roman" w:cs="Times New Roman"/>
                <w:color w:val="auto"/>
                <w:sz w:val="21"/>
                <w:szCs w:val="21"/>
                <w:highlight w:val="none"/>
                <w:lang w:eastAsia="zh-CN"/>
              </w:rPr>
              <w:t>堆粪场</w:t>
            </w:r>
            <w:r>
              <w:rPr>
                <w:rFonts w:hint="default" w:ascii="Times New Roman" w:hAnsi="Times New Roman" w:cs="Times New Roman"/>
                <w:color w:val="auto"/>
                <w:sz w:val="21"/>
                <w:szCs w:val="21"/>
                <w:highlight w:val="none"/>
              </w:rPr>
              <w:t>，</w:t>
            </w:r>
            <w:r>
              <w:rPr>
                <w:rFonts w:hint="default" w:ascii="Times New Roman" w:hAnsi="Times New Roman" w:eastAsia="宋体" w:cs="Times New Roman"/>
                <w:color w:val="auto"/>
                <w:spacing w:val="-6"/>
                <w:sz w:val="21"/>
                <w:szCs w:val="21"/>
                <w:highlight w:val="none"/>
              </w:rPr>
              <w:t>粪污经过堆肥后</w:t>
            </w:r>
            <w:r>
              <w:rPr>
                <w:rFonts w:hint="eastAsia" w:cs="Times New Roman"/>
                <w:color w:val="auto"/>
                <w:spacing w:val="-6"/>
                <w:sz w:val="21"/>
                <w:szCs w:val="21"/>
                <w:highlight w:val="none"/>
                <w:lang w:eastAsia="zh-CN"/>
              </w:rPr>
              <w:t>用于垫料及还田利用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38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yellow"/>
              </w:rPr>
            </w:pPr>
          </w:p>
        </w:tc>
        <w:tc>
          <w:tcPr>
            <w:tcW w:w="24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yellow"/>
              </w:rPr>
            </w:pPr>
          </w:p>
        </w:tc>
        <w:tc>
          <w:tcPr>
            <w:tcW w:w="74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1"/>
                <w:sz w:val="21"/>
                <w:szCs w:val="21"/>
                <w:highlight w:val="none"/>
              </w:rPr>
            </w:pPr>
            <w:r>
              <w:rPr>
                <w:rFonts w:hint="default" w:ascii="Times New Roman" w:hAnsi="Times New Roman" w:cs="Times New Roman"/>
                <w:color w:val="auto"/>
                <w:spacing w:val="0"/>
                <w:kern w:val="21"/>
                <w:sz w:val="21"/>
                <w:szCs w:val="21"/>
                <w:highlight w:val="none"/>
                <w:lang w:val="en-US" w:eastAsia="zh-CN"/>
              </w:rPr>
              <w:t>医疗</w:t>
            </w:r>
            <w:r>
              <w:rPr>
                <w:rFonts w:hint="default" w:ascii="Times New Roman" w:hAnsi="Times New Roman" w:eastAsia="宋体" w:cs="Times New Roman"/>
                <w:color w:val="auto"/>
                <w:spacing w:val="0"/>
                <w:kern w:val="21"/>
                <w:sz w:val="21"/>
                <w:szCs w:val="21"/>
                <w:highlight w:val="none"/>
              </w:rPr>
              <w:t>废物</w:t>
            </w:r>
          </w:p>
        </w:tc>
        <w:tc>
          <w:tcPr>
            <w:tcW w:w="36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0"/>
                <w:kern w:val="21"/>
                <w:sz w:val="21"/>
                <w:szCs w:val="21"/>
                <w:highlight w:val="none"/>
                <w:lang w:val="en-US" w:eastAsia="zh-CN"/>
              </w:rPr>
            </w:pPr>
            <w:r>
              <w:rPr>
                <w:rFonts w:hint="default" w:ascii="Times New Roman" w:hAnsi="Times New Roman" w:cs="Times New Roman"/>
                <w:color w:val="auto"/>
                <w:kern w:val="0"/>
                <w:sz w:val="21"/>
                <w:szCs w:val="21"/>
                <w:highlight w:val="none"/>
                <w:lang w:val="en-US" w:eastAsia="zh-CN" w:bidi="ar-SA"/>
              </w:rPr>
              <w:t>医疗废物暂存间</w:t>
            </w:r>
            <w:r>
              <w:rPr>
                <w:rFonts w:hint="eastAsia" w:cs="Times New Roman"/>
                <w:color w:val="auto"/>
                <w:kern w:val="0"/>
                <w:sz w:val="21"/>
                <w:szCs w:val="21"/>
                <w:highlight w:val="none"/>
                <w:lang w:val="en-US" w:eastAsia="zh-CN" w:bidi="ar-SA"/>
              </w:rPr>
              <w:t>（5m</w:t>
            </w:r>
            <w:r>
              <w:rPr>
                <w:rFonts w:hint="eastAsia" w:cs="Times New Roman"/>
                <w:color w:val="auto"/>
                <w:kern w:val="0"/>
                <w:sz w:val="21"/>
                <w:szCs w:val="21"/>
                <w:highlight w:val="none"/>
                <w:vertAlign w:val="superscript"/>
                <w:lang w:val="en-US" w:eastAsia="zh-CN" w:bidi="ar-SA"/>
              </w:rPr>
              <w:t>2</w:t>
            </w:r>
            <w:r>
              <w:rPr>
                <w:rFonts w:hint="eastAsia" w:cs="Times New Roman"/>
                <w:color w:val="auto"/>
                <w:kern w:val="0"/>
                <w:sz w:val="21"/>
                <w:szCs w:val="21"/>
                <w:highlight w:val="none"/>
                <w:lang w:val="en-US" w:eastAsia="zh-CN" w:bidi="ar-SA"/>
              </w:rPr>
              <w:t>）</w:t>
            </w:r>
            <w:r>
              <w:rPr>
                <w:rFonts w:hint="default" w:ascii="Times New Roman" w:hAnsi="Times New Roman" w:cs="Times New Roman"/>
                <w:color w:val="auto"/>
                <w:kern w:val="0"/>
                <w:sz w:val="21"/>
                <w:szCs w:val="21"/>
                <w:highlight w:val="none"/>
                <w:lang w:val="en-US" w:eastAsia="zh-CN" w:bidi="ar-SA"/>
              </w:rPr>
              <w:t>暂存后</w:t>
            </w:r>
            <w:r>
              <w:rPr>
                <w:rFonts w:hint="default" w:ascii="Times New Roman" w:hAnsi="Times New Roman" w:eastAsia="宋体" w:cs="Times New Roman"/>
                <w:color w:val="auto"/>
                <w:spacing w:val="0"/>
                <w:kern w:val="21"/>
                <w:sz w:val="21"/>
                <w:szCs w:val="21"/>
                <w:highlight w:val="none"/>
              </w:rPr>
              <w:t>定期由有资质单位处理</w:t>
            </w:r>
            <w:r>
              <w:rPr>
                <w:rFonts w:hint="eastAsia" w:ascii="Times New Roman" w:hAnsi="Times New Roman" w:cs="Times New Roman"/>
                <w:color w:val="auto"/>
                <w:spacing w:val="0"/>
                <w:kern w:val="21"/>
                <w:sz w:val="21"/>
                <w:szCs w:val="21"/>
                <w:highlight w:val="none"/>
                <w:lang w:val="en-US" w:eastAsia="zh-CN"/>
              </w:rPr>
              <w:t xml:space="preserve">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8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yellow"/>
              </w:rPr>
            </w:pPr>
          </w:p>
        </w:tc>
        <w:tc>
          <w:tcPr>
            <w:tcW w:w="24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yellow"/>
              </w:rPr>
            </w:pPr>
          </w:p>
        </w:tc>
        <w:tc>
          <w:tcPr>
            <w:tcW w:w="74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1"/>
                <w:sz w:val="21"/>
                <w:szCs w:val="21"/>
                <w:highlight w:val="none"/>
              </w:rPr>
            </w:pPr>
            <w:r>
              <w:rPr>
                <w:rFonts w:hint="default" w:ascii="Times New Roman" w:hAnsi="Times New Roman" w:eastAsia="宋体" w:cs="Times New Roman"/>
                <w:color w:val="auto"/>
                <w:spacing w:val="0"/>
                <w:kern w:val="21"/>
                <w:sz w:val="21"/>
                <w:szCs w:val="21"/>
                <w:highlight w:val="none"/>
              </w:rPr>
              <w:t>病死牛</w:t>
            </w:r>
          </w:p>
        </w:tc>
        <w:tc>
          <w:tcPr>
            <w:tcW w:w="36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1"/>
                <w:sz w:val="21"/>
                <w:szCs w:val="21"/>
                <w:highlight w:val="none"/>
                <w:lang w:val="en-US"/>
              </w:rPr>
            </w:pPr>
            <w:r>
              <w:rPr>
                <w:rFonts w:hint="default" w:ascii="Times New Roman" w:hAnsi="Times New Roman" w:eastAsia="宋体" w:cs="Times New Roman"/>
                <w:color w:val="auto"/>
                <w:spacing w:val="0"/>
                <w:kern w:val="21"/>
                <w:sz w:val="21"/>
                <w:szCs w:val="21"/>
                <w:highlight w:val="none"/>
                <w:lang w:val="en-US" w:eastAsia="zh-CN"/>
              </w:rPr>
              <w:t>病死牛尸体</w:t>
            </w:r>
            <w:r>
              <w:rPr>
                <w:rFonts w:hint="default" w:ascii="Times New Roman" w:hAnsi="Times New Roman" w:eastAsia="宋体" w:cs="Times New Roman"/>
                <w:color w:val="auto"/>
                <w:spacing w:val="0"/>
                <w:kern w:val="21"/>
                <w:sz w:val="21"/>
                <w:szCs w:val="21"/>
                <w:highlight w:val="none"/>
              </w:rPr>
              <w:t>由</w:t>
            </w:r>
            <w:r>
              <w:rPr>
                <w:rFonts w:hint="default" w:ascii="Times New Roman" w:hAnsi="Times New Roman" w:eastAsia="宋体" w:cs="Times New Roman"/>
                <w:color w:val="auto"/>
                <w:spacing w:val="0"/>
                <w:kern w:val="21"/>
                <w:sz w:val="21"/>
                <w:szCs w:val="21"/>
                <w:highlight w:val="none"/>
                <w:lang w:val="en-US" w:eastAsia="zh-CN"/>
              </w:rPr>
              <w:t>安全填埋井填埋</w:t>
            </w:r>
            <w:r>
              <w:rPr>
                <w:rFonts w:hint="eastAsia" w:ascii="Times New Roman" w:hAnsi="Times New Roman" w:cs="Times New Roman"/>
                <w:color w:val="auto"/>
                <w:spacing w:val="0"/>
                <w:kern w:val="21"/>
                <w:sz w:val="21"/>
                <w:szCs w:val="21"/>
                <w:highlight w:val="none"/>
                <w:lang w:val="en-US" w:eastAsia="zh-CN"/>
              </w:rPr>
              <w:t xml:space="preserve">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1" w:hRule="atLeast"/>
          <w:jc w:val="center"/>
        </w:trPr>
        <w:tc>
          <w:tcPr>
            <w:tcW w:w="38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yellow"/>
              </w:rPr>
            </w:pPr>
          </w:p>
        </w:tc>
        <w:tc>
          <w:tcPr>
            <w:tcW w:w="24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yellow"/>
              </w:rPr>
            </w:pPr>
          </w:p>
        </w:tc>
        <w:tc>
          <w:tcPr>
            <w:tcW w:w="74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1"/>
                <w:sz w:val="21"/>
                <w:szCs w:val="21"/>
                <w:highlight w:val="none"/>
              </w:rPr>
            </w:pPr>
            <w:r>
              <w:rPr>
                <w:rFonts w:hint="default" w:ascii="Times New Roman" w:hAnsi="Times New Roman" w:eastAsia="宋体" w:cs="Times New Roman"/>
                <w:color w:val="auto"/>
                <w:spacing w:val="0"/>
                <w:kern w:val="21"/>
                <w:sz w:val="21"/>
                <w:szCs w:val="21"/>
                <w:highlight w:val="none"/>
              </w:rPr>
              <w:t>生活垃圾</w:t>
            </w:r>
          </w:p>
        </w:tc>
        <w:tc>
          <w:tcPr>
            <w:tcW w:w="36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1"/>
                <w:sz w:val="21"/>
                <w:szCs w:val="21"/>
                <w:highlight w:val="none"/>
              </w:rPr>
            </w:pPr>
            <w:r>
              <w:rPr>
                <w:rFonts w:hint="default" w:ascii="Times New Roman" w:hAnsi="Times New Roman" w:eastAsia="宋体" w:cs="Times New Roman"/>
                <w:color w:val="auto"/>
                <w:spacing w:val="0"/>
                <w:kern w:val="21"/>
                <w:sz w:val="21"/>
                <w:szCs w:val="21"/>
                <w:highlight w:val="none"/>
              </w:rPr>
              <w:t>委托当地环卫部门定期清运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38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yellow"/>
              </w:rPr>
            </w:pPr>
          </w:p>
        </w:tc>
        <w:tc>
          <w:tcPr>
            <w:tcW w:w="992"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auto"/>
                <w:spacing w:val="0"/>
                <w:kern w:val="21"/>
                <w:sz w:val="21"/>
                <w:szCs w:val="21"/>
                <w:highlight w:val="none"/>
                <w:lang w:val="en-US" w:eastAsia="zh-CN"/>
              </w:rPr>
            </w:pPr>
            <w:r>
              <w:rPr>
                <w:rFonts w:hint="default" w:ascii="Times New Roman" w:hAnsi="Times New Roman" w:eastAsia="宋体" w:cs="Times New Roman"/>
                <w:bCs/>
                <w:color w:val="auto"/>
                <w:spacing w:val="0"/>
                <w:kern w:val="21"/>
                <w:sz w:val="21"/>
                <w:szCs w:val="21"/>
                <w:highlight w:val="none"/>
              </w:rPr>
              <w:t>噪声</w:t>
            </w:r>
            <w:r>
              <w:rPr>
                <w:rFonts w:hint="eastAsia" w:ascii="Times New Roman" w:hAnsi="Times New Roman" w:cs="Times New Roman"/>
                <w:bCs/>
                <w:color w:val="auto"/>
                <w:spacing w:val="0"/>
                <w:kern w:val="21"/>
                <w:sz w:val="21"/>
                <w:szCs w:val="21"/>
                <w:highlight w:val="none"/>
                <w:lang w:val="en-US" w:eastAsia="zh-CN"/>
              </w:rPr>
              <w:t>治理</w:t>
            </w:r>
          </w:p>
        </w:tc>
        <w:tc>
          <w:tcPr>
            <w:tcW w:w="36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rPr>
            </w:pPr>
            <w:r>
              <w:rPr>
                <w:rFonts w:hint="default" w:ascii="Times New Roman" w:hAnsi="Times New Roman" w:eastAsia="宋体" w:cs="Times New Roman"/>
                <w:color w:val="auto"/>
                <w:spacing w:val="0"/>
                <w:kern w:val="21"/>
                <w:sz w:val="21"/>
                <w:szCs w:val="21"/>
                <w:highlight w:val="none"/>
              </w:rPr>
              <w:t>采取减振、隔声、合理布局等降噪措施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8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yellow"/>
              </w:rPr>
            </w:pPr>
          </w:p>
        </w:tc>
        <w:tc>
          <w:tcPr>
            <w:tcW w:w="992"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rPr>
              <w:t>硬化及防渗</w:t>
            </w:r>
          </w:p>
        </w:tc>
        <w:tc>
          <w:tcPr>
            <w:tcW w:w="36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rPr>
              <w:t>牛舍、堆</w:t>
            </w:r>
            <w:r>
              <w:rPr>
                <w:rFonts w:hint="default" w:ascii="Times New Roman" w:hAnsi="Times New Roman" w:cs="Times New Roman"/>
                <w:color w:val="auto"/>
                <w:spacing w:val="0"/>
                <w:kern w:val="21"/>
                <w:sz w:val="21"/>
                <w:szCs w:val="21"/>
                <w:highlight w:val="none"/>
                <w:lang w:eastAsia="zh-CN"/>
              </w:rPr>
              <w:t>粪</w:t>
            </w:r>
            <w:r>
              <w:rPr>
                <w:rFonts w:hint="default" w:ascii="Times New Roman" w:hAnsi="Times New Roman" w:eastAsia="宋体" w:cs="Times New Roman"/>
                <w:color w:val="auto"/>
                <w:spacing w:val="0"/>
                <w:kern w:val="21"/>
                <w:sz w:val="21"/>
                <w:szCs w:val="21"/>
                <w:highlight w:val="none"/>
              </w:rPr>
              <w:t>场</w:t>
            </w:r>
            <w:r>
              <w:rPr>
                <w:rFonts w:hint="default" w:ascii="Times New Roman" w:hAnsi="Times New Roman" w:cs="Times New Roman"/>
                <w:color w:val="auto"/>
                <w:spacing w:val="0"/>
                <w:kern w:val="21"/>
                <w:sz w:val="21"/>
                <w:szCs w:val="21"/>
                <w:highlight w:val="none"/>
                <w:lang w:eastAsia="zh-CN"/>
              </w:rPr>
              <w:t>、</w:t>
            </w:r>
            <w:r>
              <w:rPr>
                <w:rFonts w:hint="default" w:ascii="Times New Roman" w:hAnsi="Times New Roman" w:eastAsia="宋体" w:cs="Times New Roman"/>
                <w:bCs/>
                <w:color w:val="auto"/>
                <w:spacing w:val="0"/>
                <w:kern w:val="21"/>
                <w:sz w:val="21"/>
                <w:szCs w:val="21"/>
                <w:highlight w:val="none"/>
                <w:lang w:val="en-US" w:eastAsia="zh-CN"/>
              </w:rPr>
              <w:t>生活管理用房</w:t>
            </w:r>
            <w:r>
              <w:rPr>
                <w:rFonts w:hint="default" w:ascii="Times New Roman" w:hAnsi="Times New Roman" w:cs="Times New Roman"/>
                <w:color w:val="auto"/>
                <w:spacing w:val="0"/>
                <w:kern w:val="21"/>
                <w:sz w:val="21"/>
                <w:szCs w:val="21"/>
                <w:highlight w:val="none"/>
                <w:lang w:val="en-US" w:eastAsia="zh-CN"/>
              </w:rPr>
              <w:t>等</w:t>
            </w:r>
            <w:r>
              <w:rPr>
                <w:rFonts w:hint="default" w:ascii="Times New Roman" w:hAnsi="Times New Roman" w:eastAsia="宋体" w:cs="Times New Roman"/>
                <w:color w:val="auto"/>
                <w:spacing w:val="0"/>
                <w:kern w:val="21"/>
                <w:sz w:val="21"/>
                <w:szCs w:val="21"/>
                <w:highlight w:val="none"/>
              </w:rPr>
              <w:t>采用硬化地面</w:t>
            </w:r>
            <w:r>
              <w:rPr>
                <w:rFonts w:hint="default" w:ascii="Times New Roman" w:hAnsi="Times New Roman" w:cs="Times New Roman"/>
                <w:color w:val="auto"/>
                <w:spacing w:val="0"/>
                <w:kern w:val="21"/>
                <w:sz w:val="21"/>
                <w:szCs w:val="21"/>
                <w:highlight w:val="none"/>
                <w:lang w:eastAsia="zh-CN"/>
              </w:rPr>
              <w:t>；</w:t>
            </w:r>
            <w:r>
              <w:rPr>
                <w:rFonts w:hint="default" w:ascii="Times New Roman" w:hAnsi="Times New Roman" w:cs="Times New Roman"/>
                <w:color w:val="auto"/>
                <w:spacing w:val="0"/>
                <w:kern w:val="21"/>
                <w:sz w:val="21"/>
                <w:szCs w:val="21"/>
                <w:highlight w:val="none"/>
                <w:lang w:val="en-US" w:eastAsia="zh-CN"/>
              </w:rPr>
              <w:t>采取分区防渗措施</w:t>
            </w:r>
            <w:r>
              <w:rPr>
                <w:rFonts w:hint="default" w:ascii="Times New Roman" w:hAnsi="Times New Roman"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8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yellow"/>
              </w:rPr>
            </w:pPr>
          </w:p>
        </w:tc>
        <w:tc>
          <w:tcPr>
            <w:tcW w:w="992"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1"/>
                <w:sz w:val="21"/>
                <w:szCs w:val="21"/>
                <w:highlight w:val="none"/>
                <w:lang w:val="en-US" w:eastAsia="zh-CN"/>
              </w:rPr>
            </w:pPr>
            <w:r>
              <w:rPr>
                <w:rFonts w:hint="default" w:ascii="Times New Roman" w:hAnsi="Times New Roman" w:cs="Times New Roman"/>
                <w:color w:val="auto"/>
                <w:spacing w:val="0"/>
                <w:kern w:val="21"/>
                <w:sz w:val="21"/>
                <w:szCs w:val="21"/>
                <w:highlight w:val="none"/>
                <w:lang w:val="en-US" w:eastAsia="zh-CN"/>
              </w:rPr>
              <w:t>绿化</w:t>
            </w:r>
          </w:p>
        </w:tc>
        <w:tc>
          <w:tcPr>
            <w:tcW w:w="36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1"/>
                <w:sz w:val="21"/>
                <w:szCs w:val="21"/>
                <w:highlight w:val="none"/>
                <w:lang w:val="en-US" w:eastAsia="zh-CN"/>
              </w:rPr>
            </w:pPr>
            <w:r>
              <w:rPr>
                <w:rFonts w:hint="default" w:ascii="Times New Roman" w:hAnsi="Times New Roman" w:cs="Times New Roman"/>
                <w:color w:val="auto"/>
                <w:spacing w:val="0"/>
                <w:kern w:val="21"/>
                <w:sz w:val="21"/>
                <w:szCs w:val="21"/>
                <w:highlight w:val="none"/>
                <w:lang w:val="en-US" w:eastAsia="zh-CN"/>
              </w:rPr>
              <w:t>项目区内进行绿化</w:t>
            </w:r>
            <w:r>
              <w:rPr>
                <w:rFonts w:hint="eastAsia" w:ascii="Times New Roman" w:hAnsi="Times New Roman" w:cs="Times New Roman"/>
                <w:color w:val="auto"/>
                <w:spacing w:val="0"/>
                <w:kern w:val="21"/>
                <w:sz w:val="21"/>
                <w:szCs w:val="21"/>
                <w:highlight w:val="none"/>
                <w:lang w:val="en-US" w:eastAsia="zh-CN"/>
              </w:rPr>
              <w:t xml:space="preserve"> </w:t>
            </w:r>
          </w:p>
        </w:tc>
      </w:tr>
    </w:tbl>
    <w:p>
      <w:pPr>
        <w:pStyle w:val="17"/>
        <w:pageBreakBefore w:val="0"/>
        <w:wordWrap/>
        <w:bidi w:val="0"/>
        <w:adjustRightInd w:val="0"/>
        <w:ind w:left="0" w:leftChars="0" w:right="0" w:rightChars="0" w:firstLine="420"/>
        <w:rPr>
          <w:rFonts w:hint="default" w:ascii="Times New Roman" w:hAnsi="Times New Roman" w:cs="Times New Roman"/>
          <w:color w:val="auto"/>
          <w:highlight w:val="none"/>
        </w:rPr>
      </w:pPr>
    </w:p>
    <w:p>
      <w:pPr>
        <w:pStyle w:val="5"/>
        <w:keepNext/>
        <w:keepLines/>
        <w:pageBreakBefore w:val="0"/>
        <w:widowControl w:val="0"/>
        <w:kinsoku/>
        <w:wordWrap/>
        <w:overflowPunct/>
        <w:topLinePunct w:val="0"/>
        <w:autoSpaceDE/>
        <w:autoSpaceDN/>
        <w:bidi w:val="0"/>
        <w:adjustRightInd w:val="0"/>
        <w:snapToGrid w:val="0"/>
        <w:spacing w:before="157" w:beforeLines="50"/>
        <w:ind w:left="0" w:leftChars="0" w:right="0" w:rightChars="0"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主要原辅材料</w:t>
      </w:r>
      <w:bookmarkEnd w:id="123"/>
      <w:bookmarkEnd w:id="124"/>
      <w:r>
        <w:rPr>
          <w:rFonts w:hint="default" w:ascii="Times New Roman" w:hAnsi="Times New Roman" w:cs="Times New Roman"/>
          <w:color w:val="auto"/>
          <w:highlight w:val="none"/>
          <w:lang w:val="en-US" w:eastAsia="zh-CN"/>
        </w:rPr>
        <w:t>及能源消耗</w:t>
      </w:r>
    </w:p>
    <w:p>
      <w:pPr>
        <w:pStyle w:val="17"/>
        <w:pageBreakBefore w:val="0"/>
        <w:wordWrap/>
        <w:bidi w:val="0"/>
        <w:adjustRightInd w:val="0"/>
        <w:ind w:left="0" w:leftChars="0" w:right="0" w:rightChars="0"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本项目主要原辅材料及能源消耗情况见表3.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-2。</w:t>
      </w:r>
    </w:p>
    <w:p>
      <w:pPr>
        <w:pStyle w:val="50"/>
        <w:pageBreakBefore w:val="0"/>
        <w:kinsoku/>
        <w:wordWrap/>
        <w:overflowPunct/>
        <w:topLinePunct w:val="0"/>
        <w:autoSpaceDE/>
        <w:autoSpaceDN/>
        <w:bidi w:val="0"/>
        <w:adjustRightInd w:val="0"/>
        <w:snapToGrid w:val="0"/>
        <w:spacing w:afterLines="0" w:line="240" w:lineRule="auto"/>
        <w:ind w:left="0" w:leftChars="0" w:right="0" w:right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表3.</w:t>
      </w:r>
      <w:r>
        <w:rPr>
          <w:rFonts w:hint="default" w:ascii="Times New Roman" w:hAnsi="Times New Roman" w:cs="Times New Roman"/>
          <w:color w:val="auto"/>
          <w:highlight w:val="none"/>
          <w:lang w:val="en-US" w:eastAsia="zh-CN"/>
        </w:rPr>
        <w:t>1</w:t>
      </w:r>
      <w:r>
        <w:rPr>
          <w:rFonts w:hint="default" w:ascii="Times New Roman" w:hAnsi="Times New Roman" w:eastAsia="宋体" w:cs="Times New Roman"/>
          <w:color w:val="auto"/>
          <w:highlight w:val="none"/>
        </w:rPr>
        <w:t>-2</w:t>
      </w:r>
      <w:r>
        <w:rPr>
          <w:rFonts w:hint="default" w:ascii="Times New Roman" w:hAnsi="Times New Roman" w:eastAsia="宋体" w:cs="Times New Roman"/>
          <w:color w:val="auto"/>
          <w:highlight w:val="none"/>
        </w:rPr>
        <w:tab/>
      </w:r>
      <w:r>
        <w:rPr>
          <w:rFonts w:hint="default" w:ascii="Times New Roman" w:hAnsi="Times New Roman" w:eastAsia="宋体" w:cs="Times New Roman"/>
          <w:color w:val="auto"/>
          <w:highlight w:val="none"/>
        </w:rPr>
        <w:t xml:space="preserve">  本项目主要原辅材料及能源消耗情况一览表</w:t>
      </w:r>
    </w:p>
    <w:tbl>
      <w:tblPr>
        <w:tblStyle w:val="39"/>
        <w:tblpPr w:leftFromText="180" w:rightFromText="180" w:vertAnchor="text" w:tblpY="1"/>
        <w:tblOverlap w:val="never"/>
        <w:tblW w:w="5001"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343"/>
        <w:gridCol w:w="1075"/>
        <w:gridCol w:w="1118"/>
        <w:gridCol w:w="747"/>
        <w:gridCol w:w="1410"/>
        <w:gridCol w:w="39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35" w:hRule="atLeast"/>
        </w:trPr>
        <w:tc>
          <w:tcPr>
            <w:tcW w:w="816" w:type="pct"/>
            <w:gridSpan w:val="2"/>
            <w:tcBorders>
              <w:tl2br w:val="nil"/>
              <w:tr2bl w:val="nil"/>
            </w:tcBorders>
            <w:noWrap w:val="0"/>
            <w:vAlign w:val="center"/>
          </w:tcPr>
          <w:p>
            <w:pPr>
              <w:pStyle w:val="55"/>
              <w:pageBreakBefore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原辅材料</w:t>
            </w:r>
          </w:p>
        </w:tc>
        <w:tc>
          <w:tcPr>
            <w:tcW w:w="643" w:type="pct"/>
            <w:tcBorders>
              <w:tl2br w:val="nil"/>
              <w:tr2bl w:val="nil"/>
            </w:tcBorders>
            <w:noWrap w:val="0"/>
            <w:vAlign w:val="center"/>
          </w:tcPr>
          <w:p>
            <w:pPr>
              <w:pStyle w:val="55"/>
              <w:pageBreakBefore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单位</w:t>
            </w:r>
          </w:p>
        </w:tc>
        <w:tc>
          <w:tcPr>
            <w:tcW w:w="430" w:type="pct"/>
            <w:tcBorders>
              <w:tl2br w:val="nil"/>
              <w:tr2bl w:val="nil"/>
            </w:tcBorders>
            <w:noWrap w:val="0"/>
            <w:vAlign w:val="center"/>
          </w:tcPr>
          <w:p>
            <w:pPr>
              <w:pStyle w:val="55"/>
              <w:pageBreakBefore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消耗量</w:t>
            </w:r>
          </w:p>
        </w:tc>
        <w:tc>
          <w:tcPr>
            <w:tcW w:w="811" w:type="pct"/>
            <w:tcBorders>
              <w:tl2br w:val="nil"/>
              <w:tr2bl w:val="nil"/>
            </w:tcBorders>
            <w:noWrap w:val="0"/>
            <w:vAlign w:val="center"/>
          </w:tcPr>
          <w:p>
            <w:pPr>
              <w:pStyle w:val="55"/>
              <w:pageBreakBefore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来源</w:t>
            </w:r>
          </w:p>
        </w:tc>
        <w:tc>
          <w:tcPr>
            <w:tcW w:w="2297" w:type="pct"/>
            <w:tcBorders>
              <w:tl2br w:val="nil"/>
              <w:tr2bl w:val="nil"/>
            </w:tcBorders>
            <w:noWrap w:val="0"/>
            <w:vAlign w:val="center"/>
          </w:tcPr>
          <w:p>
            <w:pPr>
              <w:pStyle w:val="55"/>
              <w:pageBreakBefore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197" w:type="pct"/>
            <w:vMerge w:val="restart"/>
            <w:tcBorders>
              <w:tl2br w:val="nil"/>
              <w:tr2bl w:val="nil"/>
            </w:tcBorders>
            <w:noWrap w:val="0"/>
            <w:vAlign w:val="center"/>
          </w:tcPr>
          <w:p>
            <w:pPr>
              <w:pStyle w:val="55"/>
              <w:pageBreakBefore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饲料</w:t>
            </w:r>
          </w:p>
        </w:tc>
        <w:tc>
          <w:tcPr>
            <w:tcW w:w="619" w:type="pct"/>
            <w:tcBorders>
              <w:tl2br w:val="nil"/>
              <w:tr2bl w:val="nil"/>
            </w:tcBorders>
            <w:noWrap w:val="0"/>
            <w:vAlign w:val="center"/>
          </w:tcPr>
          <w:p>
            <w:pPr>
              <w:pStyle w:val="55"/>
              <w:pageBreakBefore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粗</w:t>
            </w:r>
            <w:r>
              <w:rPr>
                <w:rFonts w:hint="default" w:ascii="Times New Roman" w:hAnsi="Times New Roman" w:eastAsia="宋体" w:cs="Times New Roman"/>
                <w:color w:val="auto"/>
                <w:sz w:val="21"/>
                <w:szCs w:val="21"/>
                <w:highlight w:val="none"/>
              </w:rPr>
              <w:t>饲料</w:t>
            </w:r>
          </w:p>
        </w:tc>
        <w:tc>
          <w:tcPr>
            <w:tcW w:w="643" w:type="pct"/>
            <w:tcBorders>
              <w:tl2br w:val="nil"/>
              <w:tr2bl w:val="nil"/>
            </w:tcBorders>
            <w:noWrap w:val="0"/>
            <w:vAlign w:val="center"/>
          </w:tcPr>
          <w:p>
            <w:pPr>
              <w:pStyle w:val="55"/>
              <w:pageBreakBefore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t/a</w:t>
            </w:r>
          </w:p>
        </w:tc>
        <w:tc>
          <w:tcPr>
            <w:tcW w:w="430" w:type="pct"/>
            <w:tcBorders>
              <w:tl2br w:val="nil"/>
              <w:tr2bl w:val="nil"/>
            </w:tcBorders>
            <w:noWrap w:val="0"/>
            <w:vAlign w:val="center"/>
          </w:tcPr>
          <w:p>
            <w:pPr>
              <w:pStyle w:val="75"/>
              <w:pageBreakBefore w:val="0"/>
              <w:kinsoku/>
              <w:wordWrap/>
              <w:overflowPunct/>
              <w:topLinePunct w:val="0"/>
              <w:autoSpaceDE/>
              <w:autoSpaceDN/>
              <w:bidi w:val="0"/>
              <w:adjustRightInd w:val="0"/>
              <w:snapToGrid w:val="0"/>
              <w:spacing w:before="0" w:beforeLines="0"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18615</w:t>
            </w:r>
          </w:p>
        </w:tc>
        <w:tc>
          <w:tcPr>
            <w:tcW w:w="811" w:type="pct"/>
            <w:tcBorders>
              <w:tl2br w:val="nil"/>
              <w:tr2bl w:val="nil"/>
            </w:tcBorders>
            <w:noWrap w:val="0"/>
            <w:vAlign w:val="center"/>
          </w:tcPr>
          <w:p>
            <w:pPr>
              <w:pStyle w:val="55"/>
              <w:pageBreakBefore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市场购买</w:t>
            </w:r>
          </w:p>
        </w:tc>
        <w:tc>
          <w:tcPr>
            <w:tcW w:w="2297" w:type="pct"/>
            <w:tcBorders>
              <w:tl2br w:val="nil"/>
              <w:tr2bl w:val="nil"/>
            </w:tcBorders>
            <w:noWrap w:val="0"/>
            <w:vAlign w:val="center"/>
          </w:tcPr>
          <w:p>
            <w:pPr>
              <w:pStyle w:val="55"/>
              <w:pageBreakBefore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主要为</w:t>
            </w:r>
            <w:r>
              <w:rPr>
                <w:rFonts w:hint="default" w:ascii="Times New Roman" w:hAnsi="Times New Roman" w:eastAsia="宋体" w:cs="Times New Roman"/>
                <w:color w:val="auto"/>
                <w:sz w:val="21"/>
                <w:szCs w:val="21"/>
                <w:highlight w:val="none"/>
                <w:lang w:val="en-US" w:eastAsia="zh-CN"/>
              </w:rPr>
              <w:t>干草、苜蓿及青贮饲料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197" w:type="pct"/>
            <w:vMerge w:val="continue"/>
            <w:tcBorders>
              <w:tl2br w:val="nil"/>
              <w:tr2bl w:val="nil"/>
            </w:tcBorders>
            <w:noWrap w:val="0"/>
            <w:vAlign w:val="center"/>
          </w:tcPr>
          <w:p>
            <w:pPr>
              <w:pStyle w:val="55"/>
              <w:pageBreakBefore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rPr>
            </w:pPr>
          </w:p>
        </w:tc>
        <w:tc>
          <w:tcPr>
            <w:tcW w:w="619" w:type="pct"/>
            <w:tcBorders>
              <w:tl2br w:val="nil"/>
              <w:tr2bl w:val="nil"/>
            </w:tcBorders>
            <w:noWrap w:val="0"/>
            <w:vAlign w:val="center"/>
          </w:tcPr>
          <w:p>
            <w:pPr>
              <w:pStyle w:val="55"/>
              <w:pageBreakBefore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精饲料</w:t>
            </w:r>
          </w:p>
        </w:tc>
        <w:tc>
          <w:tcPr>
            <w:tcW w:w="643" w:type="pct"/>
            <w:tcBorders>
              <w:tl2br w:val="nil"/>
              <w:tr2bl w:val="nil"/>
            </w:tcBorders>
            <w:noWrap w:val="0"/>
            <w:vAlign w:val="center"/>
          </w:tcPr>
          <w:p>
            <w:pPr>
              <w:pStyle w:val="55"/>
              <w:pageBreakBefore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t/a</w:t>
            </w:r>
          </w:p>
        </w:tc>
        <w:tc>
          <w:tcPr>
            <w:tcW w:w="430" w:type="pct"/>
            <w:tcBorders>
              <w:tl2br w:val="nil"/>
              <w:tr2bl w:val="nil"/>
            </w:tcBorders>
            <w:noWrap w:val="0"/>
            <w:vAlign w:val="center"/>
          </w:tcPr>
          <w:p>
            <w:pPr>
              <w:pStyle w:val="75"/>
              <w:pageBreakBefore w:val="0"/>
              <w:kinsoku/>
              <w:wordWrap/>
              <w:overflowPunct/>
              <w:topLinePunct w:val="0"/>
              <w:autoSpaceDE/>
              <w:autoSpaceDN/>
              <w:bidi w:val="0"/>
              <w:adjustRightInd w:val="0"/>
              <w:snapToGrid w:val="0"/>
              <w:spacing w:before="0" w:beforeLines="0"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8760</w:t>
            </w:r>
          </w:p>
        </w:tc>
        <w:tc>
          <w:tcPr>
            <w:tcW w:w="811" w:type="pct"/>
            <w:tcBorders>
              <w:tl2br w:val="nil"/>
              <w:tr2bl w:val="nil"/>
            </w:tcBorders>
            <w:noWrap w:val="0"/>
            <w:vAlign w:val="center"/>
          </w:tcPr>
          <w:p>
            <w:pPr>
              <w:pStyle w:val="55"/>
              <w:pageBreakBefore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市场购买</w:t>
            </w:r>
          </w:p>
        </w:tc>
        <w:tc>
          <w:tcPr>
            <w:tcW w:w="2297" w:type="pct"/>
            <w:tcBorders>
              <w:tl2br w:val="nil"/>
              <w:tr2bl w:val="nil"/>
            </w:tcBorders>
            <w:noWrap w:val="0"/>
            <w:vAlign w:val="center"/>
          </w:tcPr>
          <w:p>
            <w:pPr>
              <w:pStyle w:val="55"/>
              <w:pageBreakBefore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573" w:hRule="atLeast"/>
        </w:trPr>
        <w:tc>
          <w:tcPr>
            <w:tcW w:w="816" w:type="pct"/>
            <w:gridSpan w:val="2"/>
            <w:tcBorders>
              <w:tl2br w:val="nil"/>
              <w:tr2bl w:val="nil"/>
            </w:tcBorders>
            <w:noWrap w:val="0"/>
            <w:vAlign w:val="center"/>
          </w:tcPr>
          <w:p>
            <w:pPr>
              <w:pStyle w:val="55"/>
              <w:pageBreakBefore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药剂及消毒剂</w:t>
            </w:r>
          </w:p>
        </w:tc>
        <w:tc>
          <w:tcPr>
            <w:tcW w:w="643" w:type="pct"/>
            <w:tcBorders>
              <w:tl2br w:val="nil"/>
              <w:tr2bl w:val="nil"/>
            </w:tcBorders>
            <w:noWrap w:val="0"/>
            <w:vAlign w:val="center"/>
          </w:tcPr>
          <w:p>
            <w:pPr>
              <w:pStyle w:val="55"/>
              <w:pageBreakBefore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t/a</w:t>
            </w:r>
          </w:p>
        </w:tc>
        <w:tc>
          <w:tcPr>
            <w:tcW w:w="430" w:type="pct"/>
            <w:tcBorders>
              <w:tl2br w:val="nil"/>
              <w:tr2bl w:val="nil"/>
            </w:tcBorders>
            <w:noWrap w:val="0"/>
            <w:vAlign w:val="center"/>
          </w:tcPr>
          <w:p>
            <w:pPr>
              <w:pStyle w:val="75"/>
              <w:pageBreakBefore w:val="0"/>
              <w:kinsoku/>
              <w:wordWrap/>
              <w:overflowPunct/>
              <w:topLinePunct w:val="0"/>
              <w:autoSpaceDE/>
              <w:autoSpaceDN/>
              <w:bidi w:val="0"/>
              <w:adjustRightInd w:val="0"/>
              <w:snapToGrid w:val="0"/>
              <w:spacing w:before="0" w:beforeLines="0" w:line="240" w:lineRule="auto"/>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811" w:type="pct"/>
            <w:tcBorders>
              <w:tl2br w:val="nil"/>
              <w:tr2bl w:val="nil"/>
            </w:tcBorders>
            <w:noWrap w:val="0"/>
            <w:vAlign w:val="center"/>
          </w:tcPr>
          <w:p>
            <w:pPr>
              <w:pStyle w:val="55"/>
              <w:pageBreakBefore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外购</w:t>
            </w:r>
          </w:p>
        </w:tc>
        <w:tc>
          <w:tcPr>
            <w:tcW w:w="2297" w:type="pct"/>
            <w:tcBorders>
              <w:tl2br w:val="nil"/>
              <w:tr2bl w:val="nil"/>
            </w:tcBorders>
            <w:noWrap w:val="0"/>
            <w:vAlign w:val="center"/>
          </w:tcPr>
          <w:p>
            <w:pPr>
              <w:pStyle w:val="55"/>
              <w:pageBreakBefore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药剂：驱虫药、抗菌剂</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催产素、葡萄糖</w:t>
            </w:r>
            <w:r>
              <w:rPr>
                <w:rFonts w:hint="default" w:ascii="Times New Roman" w:hAnsi="Times New Roman" w:eastAsia="宋体" w:cs="Times New Roman"/>
                <w:color w:val="auto"/>
                <w:sz w:val="21"/>
                <w:szCs w:val="21"/>
                <w:highlight w:val="none"/>
              </w:rPr>
              <w:t>等。</w:t>
            </w:r>
          </w:p>
          <w:p>
            <w:pPr>
              <w:pStyle w:val="55"/>
              <w:pageBreakBefore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消毒剂：聚维酮碘溶液</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碘酊</w:t>
            </w:r>
            <w:r>
              <w:rPr>
                <w:rFonts w:hint="default" w:ascii="Times New Roman" w:hAnsi="Times New Roman" w:eastAsia="宋体" w:cs="Times New Roman"/>
                <w:color w:val="auto"/>
                <w:sz w:val="21"/>
                <w:szCs w:val="21"/>
                <w:highlight w:val="none"/>
              </w:rPr>
              <w:t>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816" w:type="pct"/>
            <w:gridSpan w:val="2"/>
            <w:tcBorders>
              <w:tl2br w:val="nil"/>
              <w:tr2bl w:val="nil"/>
            </w:tcBorders>
            <w:noWrap w:val="0"/>
            <w:vAlign w:val="center"/>
          </w:tcPr>
          <w:p>
            <w:pPr>
              <w:pStyle w:val="55"/>
              <w:pageBreakBefore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耗水</w:t>
            </w:r>
          </w:p>
        </w:tc>
        <w:tc>
          <w:tcPr>
            <w:tcW w:w="643" w:type="pct"/>
            <w:tcBorders>
              <w:tl2br w:val="nil"/>
              <w:tr2bl w:val="nil"/>
            </w:tcBorders>
            <w:noWrap w:val="0"/>
            <w:vAlign w:val="center"/>
          </w:tcPr>
          <w:p>
            <w:pPr>
              <w:pStyle w:val="55"/>
              <w:pageBreakBefore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c>
          <w:tcPr>
            <w:tcW w:w="430" w:type="pct"/>
            <w:tcBorders>
              <w:tl2br w:val="nil"/>
              <w:tr2bl w:val="nil"/>
            </w:tcBorders>
            <w:noWrap w:val="0"/>
            <w:vAlign w:val="center"/>
          </w:tcPr>
          <w:p>
            <w:pPr>
              <w:pStyle w:val="75"/>
              <w:pageBreakBefore w:val="0"/>
              <w:kinsoku/>
              <w:wordWrap/>
              <w:overflowPunct/>
              <w:topLinePunct w:val="0"/>
              <w:autoSpaceDE/>
              <w:autoSpaceDN/>
              <w:bidi w:val="0"/>
              <w:adjustRightInd w:val="0"/>
              <w:snapToGrid w:val="0"/>
              <w:spacing w:before="0" w:beforeLines="0"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42924</w:t>
            </w:r>
          </w:p>
        </w:tc>
        <w:tc>
          <w:tcPr>
            <w:tcW w:w="811" w:type="pct"/>
            <w:tcBorders>
              <w:tl2br w:val="nil"/>
              <w:tr2bl w:val="nil"/>
            </w:tcBorders>
            <w:noWrap w:val="0"/>
            <w:vAlign w:val="center"/>
          </w:tcPr>
          <w:p>
            <w:pPr>
              <w:pStyle w:val="55"/>
              <w:pageBreakBefore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地下水井</w:t>
            </w:r>
          </w:p>
        </w:tc>
        <w:tc>
          <w:tcPr>
            <w:tcW w:w="2297" w:type="pct"/>
            <w:tcBorders>
              <w:tl2br w:val="nil"/>
              <w:tr2bl w:val="nil"/>
            </w:tcBorders>
            <w:noWrap w:val="0"/>
            <w:vAlign w:val="center"/>
          </w:tcPr>
          <w:p>
            <w:pPr>
              <w:pStyle w:val="55"/>
              <w:pageBreakBefore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816" w:type="pct"/>
            <w:gridSpan w:val="2"/>
            <w:tcBorders>
              <w:tl2br w:val="nil"/>
              <w:tr2bl w:val="nil"/>
            </w:tcBorders>
            <w:noWrap w:val="0"/>
            <w:vAlign w:val="center"/>
          </w:tcPr>
          <w:p>
            <w:pPr>
              <w:pStyle w:val="55"/>
              <w:pageBreakBefore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耗电</w:t>
            </w:r>
          </w:p>
        </w:tc>
        <w:tc>
          <w:tcPr>
            <w:tcW w:w="643" w:type="pct"/>
            <w:tcBorders>
              <w:tl2br w:val="nil"/>
              <w:tr2bl w:val="nil"/>
            </w:tcBorders>
            <w:noWrap w:val="0"/>
            <w:vAlign w:val="center"/>
          </w:tcPr>
          <w:p>
            <w:pPr>
              <w:pStyle w:val="55"/>
              <w:pageBreakBefore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万k</w:t>
            </w:r>
            <w:r>
              <w:rPr>
                <w:rFonts w:hint="default" w:ascii="Times New Roman" w:hAnsi="Times New Roman" w:eastAsia="宋体" w:cs="Times New Roman"/>
                <w:color w:val="auto"/>
                <w:sz w:val="21"/>
                <w:szCs w:val="21"/>
                <w:highlight w:val="none"/>
                <w:lang w:val="en-US" w:eastAsia="zh-CN"/>
              </w:rPr>
              <w:t>W</w:t>
            </w:r>
            <w:r>
              <w:rPr>
                <w:rFonts w:hint="default" w:ascii="Times New Roman" w:hAnsi="Times New Roman" w:eastAsia="宋体" w:cs="Times New Roman"/>
                <w:color w:val="auto"/>
                <w:sz w:val="21"/>
                <w:szCs w:val="21"/>
                <w:highlight w:val="none"/>
              </w:rPr>
              <w:t>·h/a</w:t>
            </w:r>
          </w:p>
        </w:tc>
        <w:tc>
          <w:tcPr>
            <w:tcW w:w="430" w:type="pct"/>
            <w:tcBorders>
              <w:tl2br w:val="nil"/>
              <w:tr2bl w:val="nil"/>
            </w:tcBorders>
            <w:noWrap w:val="0"/>
            <w:vAlign w:val="center"/>
          </w:tcPr>
          <w:p>
            <w:pPr>
              <w:pStyle w:val="75"/>
              <w:pageBreakBefore w:val="0"/>
              <w:kinsoku/>
              <w:wordWrap/>
              <w:overflowPunct/>
              <w:topLinePunct w:val="0"/>
              <w:autoSpaceDE/>
              <w:autoSpaceDN/>
              <w:bidi w:val="0"/>
              <w:adjustRightInd w:val="0"/>
              <w:snapToGrid w:val="0"/>
              <w:spacing w:before="0" w:beforeLines="0"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36.5</w:t>
            </w:r>
          </w:p>
        </w:tc>
        <w:tc>
          <w:tcPr>
            <w:tcW w:w="811" w:type="pct"/>
            <w:tcBorders>
              <w:tl2br w:val="nil"/>
              <w:tr2bl w:val="nil"/>
            </w:tcBorders>
            <w:noWrap w:val="0"/>
            <w:vAlign w:val="center"/>
          </w:tcPr>
          <w:p>
            <w:pPr>
              <w:pStyle w:val="55"/>
              <w:pageBreakBefore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乡镇</w:t>
            </w:r>
            <w:r>
              <w:rPr>
                <w:rFonts w:hint="default" w:ascii="Times New Roman" w:hAnsi="Times New Roman" w:eastAsia="宋体" w:cs="Times New Roman"/>
                <w:color w:val="auto"/>
                <w:sz w:val="21"/>
                <w:szCs w:val="21"/>
                <w:highlight w:val="none"/>
                <w:lang w:eastAsia="zh-CN"/>
              </w:rPr>
              <w:t>供电电网</w:t>
            </w:r>
          </w:p>
        </w:tc>
        <w:tc>
          <w:tcPr>
            <w:tcW w:w="2297" w:type="pct"/>
            <w:tcBorders>
              <w:tl2br w:val="nil"/>
              <w:tr2bl w:val="nil"/>
            </w:tcBorders>
            <w:noWrap w:val="0"/>
            <w:vAlign w:val="center"/>
          </w:tcPr>
          <w:p>
            <w:pPr>
              <w:pStyle w:val="55"/>
              <w:pageBreakBefore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 </w:t>
            </w:r>
          </w:p>
        </w:tc>
      </w:tr>
    </w:tbl>
    <w:p>
      <w:pPr>
        <w:pStyle w:val="5"/>
        <w:keepNext/>
        <w:keepLines/>
        <w:pageBreakBefore w:val="0"/>
        <w:widowControl w:val="0"/>
        <w:kinsoku/>
        <w:wordWrap/>
        <w:overflowPunct/>
        <w:topLinePunct w:val="0"/>
        <w:autoSpaceDE/>
        <w:autoSpaceDN/>
        <w:bidi w:val="0"/>
        <w:adjustRightInd w:val="0"/>
        <w:snapToGrid w:val="0"/>
        <w:spacing w:before="157" w:beforeLines="50"/>
        <w:ind w:left="0" w:leftChars="0" w:right="0" w:rightChars="0" w:firstLine="0" w:firstLineChars="0"/>
        <w:textAlignment w:val="auto"/>
        <w:rPr>
          <w:rFonts w:hint="default" w:ascii="Times New Roman" w:hAnsi="Times New Roman" w:cs="Times New Roman"/>
          <w:color w:val="auto"/>
          <w:highlight w:val="none"/>
        </w:rPr>
      </w:pPr>
      <w:bookmarkStart w:id="127" w:name="_Toc18910"/>
      <w:r>
        <w:rPr>
          <w:rFonts w:hint="default" w:ascii="Times New Roman" w:hAnsi="Times New Roman" w:cs="Times New Roman"/>
          <w:color w:val="auto"/>
          <w:highlight w:val="none"/>
        </w:rPr>
        <w:t>主要设备</w:t>
      </w:r>
      <w:bookmarkEnd w:id="127"/>
    </w:p>
    <w:p>
      <w:pPr>
        <w:pageBreakBefore w:val="0"/>
        <w:widowControl/>
        <w:wordWrap/>
        <w:bidi w:val="0"/>
        <w:adjustRightInd w:val="0"/>
        <w:ind w:left="0" w:leftChars="0" w:right="0" w:rightChars="0" w:firstLine="480"/>
        <w:jc w:val="left"/>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本项目主要生产设备见表3.</w:t>
      </w:r>
      <w:r>
        <w:rPr>
          <w:rFonts w:hint="default" w:ascii="Times New Roman" w:hAnsi="Times New Roman" w:cs="Times New Roman"/>
          <w:color w:val="auto"/>
          <w:szCs w:val="22"/>
          <w:highlight w:val="none"/>
          <w:lang w:val="en-US" w:eastAsia="zh-CN"/>
        </w:rPr>
        <w:t>1</w:t>
      </w:r>
      <w:r>
        <w:rPr>
          <w:rFonts w:hint="default" w:ascii="Times New Roman" w:hAnsi="Times New Roman" w:cs="Times New Roman"/>
          <w:color w:val="auto"/>
          <w:szCs w:val="22"/>
          <w:highlight w:val="none"/>
        </w:rPr>
        <w:t>-3。</w:t>
      </w:r>
    </w:p>
    <w:p>
      <w:pPr>
        <w:pStyle w:val="50"/>
        <w:keepNext w:val="0"/>
        <w:keepLines w:val="0"/>
        <w:pageBreakBefore w:val="0"/>
        <w:kinsoku/>
        <w:wordWrap/>
        <w:overflowPunct/>
        <w:topLinePunct w:val="0"/>
        <w:autoSpaceDE/>
        <w:autoSpaceDN/>
        <w:bidi w:val="0"/>
        <w:adjustRightInd w:val="0"/>
        <w:snapToGrid w:val="0"/>
        <w:spacing w:afterLines="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REF _Ref276323776 \h  \* MERGEFORMAT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表3.</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-3</w: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t xml:space="preserve">  本项目主要设备一览表</w:t>
      </w:r>
    </w:p>
    <w:tbl>
      <w:tblPr>
        <w:tblStyle w:val="39"/>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22"/>
        <w:gridCol w:w="3218"/>
        <w:gridCol w:w="2810"/>
        <w:gridCol w:w="874"/>
        <w:gridCol w:w="6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blHeader/>
        </w:trPr>
        <w:tc>
          <w:tcPr>
            <w:tcW w:w="6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rPr>
            </w:pPr>
            <w:bookmarkStart w:id="128" w:name="_Toc28714"/>
            <w:r>
              <w:rPr>
                <w:rFonts w:hint="default" w:ascii="Times New Roman" w:hAnsi="Times New Roman" w:eastAsia="宋体" w:cs="Times New Roman"/>
                <w:b/>
                <w:bCs/>
                <w:color w:val="auto"/>
                <w:kern w:val="0"/>
                <w:sz w:val="21"/>
                <w:szCs w:val="21"/>
                <w:highlight w:val="none"/>
              </w:rPr>
              <w:t>类别</w:t>
            </w:r>
          </w:p>
        </w:tc>
        <w:tc>
          <w:tcPr>
            <w:tcW w:w="183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品名</w:t>
            </w:r>
          </w:p>
        </w:tc>
        <w:tc>
          <w:tcPr>
            <w:tcW w:w="159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规格型号</w:t>
            </w:r>
          </w:p>
        </w:tc>
        <w:tc>
          <w:tcPr>
            <w:tcW w:w="49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单位</w:t>
            </w:r>
          </w:p>
        </w:tc>
        <w:tc>
          <w:tcPr>
            <w:tcW w:w="37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95"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饲喂设备</w:t>
            </w:r>
          </w:p>
        </w:tc>
        <w:tc>
          <w:tcPr>
            <w:tcW w:w="183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饲料加工机组</w:t>
            </w:r>
          </w:p>
        </w:tc>
        <w:tc>
          <w:tcPr>
            <w:tcW w:w="159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9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套</w:t>
            </w:r>
          </w:p>
        </w:tc>
        <w:tc>
          <w:tcPr>
            <w:tcW w:w="37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9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183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精料自动配制系统</w:t>
            </w:r>
          </w:p>
        </w:tc>
        <w:tc>
          <w:tcPr>
            <w:tcW w:w="159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9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辆</w:t>
            </w:r>
          </w:p>
        </w:tc>
        <w:tc>
          <w:tcPr>
            <w:tcW w:w="37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9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183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TMR制备机</w:t>
            </w:r>
          </w:p>
        </w:tc>
        <w:tc>
          <w:tcPr>
            <w:tcW w:w="159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20m³</w:t>
            </w:r>
          </w:p>
        </w:tc>
        <w:tc>
          <w:tcPr>
            <w:tcW w:w="49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辆</w:t>
            </w:r>
          </w:p>
        </w:tc>
        <w:tc>
          <w:tcPr>
            <w:tcW w:w="37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9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183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日粮撒料车</w:t>
            </w:r>
          </w:p>
        </w:tc>
        <w:tc>
          <w:tcPr>
            <w:tcW w:w="159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9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辆</w:t>
            </w:r>
          </w:p>
        </w:tc>
        <w:tc>
          <w:tcPr>
            <w:tcW w:w="37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9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183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拖拉机牵引车(135马力以上)</w:t>
            </w:r>
          </w:p>
        </w:tc>
        <w:tc>
          <w:tcPr>
            <w:tcW w:w="159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140-150马力</w:t>
            </w:r>
          </w:p>
        </w:tc>
        <w:tc>
          <w:tcPr>
            <w:tcW w:w="49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台</w:t>
            </w:r>
          </w:p>
        </w:tc>
        <w:tc>
          <w:tcPr>
            <w:tcW w:w="37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9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183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饲料装载机(50型)</w:t>
            </w:r>
          </w:p>
        </w:tc>
        <w:tc>
          <w:tcPr>
            <w:tcW w:w="159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铲斗容量3m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额定载荷5000kg</w:t>
            </w:r>
          </w:p>
        </w:tc>
        <w:tc>
          <w:tcPr>
            <w:tcW w:w="49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台</w:t>
            </w:r>
          </w:p>
        </w:tc>
        <w:tc>
          <w:tcPr>
            <w:tcW w:w="37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9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183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饲料装载机(30型)</w:t>
            </w:r>
          </w:p>
        </w:tc>
        <w:tc>
          <w:tcPr>
            <w:tcW w:w="159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铲斗容量1.7m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额定载荷3000kg</w:t>
            </w:r>
          </w:p>
        </w:tc>
        <w:tc>
          <w:tcPr>
            <w:tcW w:w="49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台</w:t>
            </w:r>
          </w:p>
        </w:tc>
        <w:tc>
          <w:tcPr>
            <w:tcW w:w="37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69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183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电子地磅</w:t>
            </w:r>
          </w:p>
        </w:tc>
        <w:tc>
          <w:tcPr>
            <w:tcW w:w="159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80T，3.4×20米；最小称量400kg</w:t>
            </w:r>
          </w:p>
        </w:tc>
        <w:tc>
          <w:tcPr>
            <w:tcW w:w="49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台</w:t>
            </w:r>
          </w:p>
        </w:tc>
        <w:tc>
          <w:tcPr>
            <w:tcW w:w="37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9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183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小四轮拖拉机(整槽等)</w:t>
            </w:r>
          </w:p>
        </w:tc>
        <w:tc>
          <w:tcPr>
            <w:tcW w:w="159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15-25 马力</w:t>
            </w:r>
          </w:p>
        </w:tc>
        <w:tc>
          <w:tcPr>
            <w:tcW w:w="49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辆</w:t>
            </w:r>
          </w:p>
        </w:tc>
        <w:tc>
          <w:tcPr>
            <w:tcW w:w="37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95"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原奶生产与运输</w:t>
            </w:r>
          </w:p>
        </w:tc>
        <w:tc>
          <w:tcPr>
            <w:tcW w:w="183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Dairymaster (挤奶大师)挤奶系统</w:t>
            </w:r>
          </w:p>
        </w:tc>
        <w:tc>
          <w:tcPr>
            <w:tcW w:w="159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9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套</w:t>
            </w:r>
          </w:p>
        </w:tc>
        <w:tc>
          <w:tcPr>
            <w:tcW w:w="37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9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183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挤奶厅80位转盘挤奶机</w:t>
            </w:r>
          </w:p>
        </w:tc>
        <w:tc>
          <w:tcPr>
            <w:tcW w:w="159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9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台</w:t>
            </w:r>
          </w:p>
        </w:tc>
        <w:tc>
          <w:tcPr>
            <w:tcW w:w="37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9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183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制冷机组</w:t>
            </w:r>
          </w:p>
        </w:tc>
        <w:tc>
          <w:tcPr>
            <w:tcW w:w="159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49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套</w:t>
            </w:r>
          </w:p>
        </w:tc>
        <w:tc>
          <w:tcPr>
            <w:tcW w:w="37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9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183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鲜奶运输车</w:t>
            </w:r>
          </w:p>
        </w:tc>
        <w:tc>
          <w:tcPr>
            <w:tcW w:w="159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车辆罐体为304不锈钢材质，保温罐。奶车车辆符合国标或行业规范</w:t>
            </w:r>
          </w:p>
        </w:tc>
        <w:tc>
          <w:tcPr>
            <w:tcW w:w="49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辆</w:t>
            </w:r>
          </w:p>
        </w:tc>
        <w:tc>
          <w:tcPr>
            <w:tcW w:w="37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粪污收集系统</w:t>
            </w:r>
          </w:p>
        </w:tc>
        <w:tc>
          <w:tcPr>
            <w:tcW w:w="183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清粪车</w:t>
            </w:r>
          </w:p>
        </w:tc>
        <w:tc>
          <w:tcPr>
            <w:tcW w:w="159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w:t>
            </w:r>
          </w:p>
        </w:tc>
        <w:tc>
          <w:tcPr>
            <w:tcW w:w="49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台</w:t>
            </w:r>
          </w:p>
        </w:tc>
        <w:tc>
          <w:tcPr>
            <w:tcW w:w="37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95"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疫病检测、兽医</w:t>
            </w:r>
          </w:p>
        </w:tc>
        <w:tc>
          <w:tcPr>
            <w:tcW w:w="183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兽医诊断处置设备</w:t>
            </w:r>
          </w:p>
        </w:tc>
        <w:tc>
          <w:tcPr>
            <w:tcW w:w="159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w:t>
            </w:r>
          </w:p>
        </w:tc>
        <w:tc>
          <w:tcPr>
            <w:tcW w:w="49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台</w:t>
            </w:r>
          </w:p>
        </w:tc>
        <w:tc>
          <w:tcPr>
            <w:tcW w:w="37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9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yellow"/>
              </w:rPr>
            </w:pPr>
          </w:p>
        </w:tc>
        <w:tc>
          <w:tcPr>
            <w:tcW w:w="183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PCR 仪</w:t>
            </w:r>
          </w:p>
        </w:tc>
        <w:tc>
          <w:tcPr>
            <w:tcW w:w="159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Arktik普通PCR 仪</w:t>
            </w:r>
          </w:p>
        </w:tc>
        <w:tc>
          <w:tcPr>
            <w:tcW w:w="49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台</w:t>
            </w:r>
          </w:p>
        </w:tc>
        <w:tc>
          <w:tcPr>
            <w:tcW w:w="37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9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yellow"/>
              </w:rPr>
            </w:pPr>
          </w:p>
        </w:tc>
        <w:tc>
          <w:tcPr>
            <w:tcW w:w="183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凝胶成像仪</w:t>
            </w:r>
          </w:p>
        </w:tc>
        <w:tc>
          <w:tcPr>
            <w:tcW w:w="159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Geldoc XR+</w:t>
            </w:r>
          </w:p>
        </w:tc>
        <w:tc>
          <w:tcPr>
            <w:tcW w:w="49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套</w:t>
            </w:r>
          </w:p>
        </w:tc>
        <w:tc>
          <w:tcPr>
            <w:tcW w:w="37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9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yellow"/>
              </w:rPr>
            </w:pPr>
          </w:p>
        </w:tc>
        <w:tc>
          <w:tcPr>
            <w:tcW w:w="183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水平电泳仪+电源</w:t>
            </w:r>
          </w:p>
        </w:tc>
        <w:tc>
          <w:tcPr>
            <w:tcW w:w="159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宽式 Mini-Sub</w:t>
            </w:r>
          </w:p>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Cell GT</w:t>
            </w:r>
          </w:p>
        </w:tc>
        <w:tc>
          <w:tcPr>
            <w:tcW w:w="49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套</w:t>
            </w:r>
          </w:p>
        </w:tc>
        <w:tc>
          <w:tcPr>
            <w:tcW w:w="37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9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yellow"/>
              </w:rPr>
            </w:pPr>
          </w:p>
        </w:tc>
        <w:tc>
          <w:tcPr>
            <w:tcW w:w="183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电源</w:t>
            </w:r>
          </w:p>
        </w:tc>
        <w:tc>
          <w:tcPr>
            <w:tcW w:w="159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powerbasic 基础 型</w:t>
            </w:r>
          </w:p>
        </w:tc>
        <w:tc>
          <w:tcPr>
            <w:tcW w:w="49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台</w:t>
            </w:r>
          </w:p>
        </w:tc>
        <w:tc>
          <w:tcPr>
            <w:tcW w:w="37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9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yellow"/>
                <w:lang w:bidi="he-IL"/>
              </w:rPr>
            </w:pPr>
          </w:p>
        </w:tc>
        <w:tc>
          <w:tcPr>
            <w:tcW w:w="183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紫外割胶仪</w:t>
            </w:r>
          </w:p>
        </w:tc>
        <w:tc>
          <w:tcPr>
            <w:tcW w:w="159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UV2000</w:t>
            </w:r>
          </w:p>
        </w:tc>
        <w:tc>
          <w:tcPr>
            <w:tcW w:w="49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台</w:t>
            </w:r>
          </w:p>
        </w:tc>
        <w:tc>
          <w:tcPr>
            <w:tcW w:w="37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9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yellow"/>
                <w:lang w:bidi="he-IL"/>
              </w:rPr>
            </w:pPr>
          </w:p>
        </w:tc>
        <w:tc>
          <w:tcPr>
            <w:tcW w:w="183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生物安全柜</w:t>
            </w:r>
          </w:p>
        </w:tc>
        <w:tc>
          <w:tcPr>
            <w:tcW w:w="159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Hfsafe-900LC</w:t>
            </w:r>
          </w:p>
        </w:tc>
        <w:tc>
          <w:tcPr>
            <w:tcW w:w="49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台</w:t>
            </w:r>
          </w:p>
        </w:tc>
        <w:tc>
          <w:tcPr>
            <w:tcW w:w="37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9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yellow"/>
              </w:rPr>
            </w:pPr>
          </w:p>
        </w:tc>
        <w:tc>
          <w:tcPr>
            <w:tcW w:w="183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小型制冷离心机</w:t>
            </w:r>
          </w:p>
        </w:tc>
        <w:tc>
          <w:tcPr>
            <w:tcW w:w="159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Z326K</w:t>
            </w:r>
          </w:p>
        </w:tc>
        <w:tc>
          <w:tcPr>
            <w:tcW w:w="49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套</w:t>
            </w:r>
          </w:p>
        </w:tc>
        <w:tc>
          <w:tcPr>
            <w:tcW w:w="37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9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yellow"/>
              </w:rPr>
            </w:pPr>
          </w:p>
        </w:tc>
        <w:tc>
          <w:tcPr>
            <w:tcW w:w="183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移液器</w:t>
            </w:r>
          </w:p>
        </w:tc>
        <w:tc>
          <w:tcPr>
            <w:tcW w:w="159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9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套</w:t>
            </w:r>
          </w:p>
        </w:tc>
        <w:tc>
          <w:tcPr>
            <w:tcW w:w="37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9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yellow"/>
              </w:rPr>
            </w:pPr>
          </w:p>
        </w:tc>
        <w:tc>
          <w:tcPr>
            <w:tcW w:w="183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多道移液器</w:t>
            </w:r>
          </w:p>
        </w:tc>
        <w:tc>
          <w:tcPr>
            <w:tcW w:w="159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10ul/100ul/300ul</w:t>
            </w:r>
          </w:p>
        </w:tc>
        <w:tc>
          <w:tcPr>
            <w:tcW w:w="49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台</w:t>
            </w:r>
          </w:p>
        </w:tc>
        <w:tc>
          <w:tcPr>
            <w:tcW w:w="37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9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yellow"/>
              </w:rPr>
            </w:pPr>
          </w:p>
        </w:tc>
        <w:tc>
          <w:tcPr>
            <w:tcW w:w="183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摇床(桌式)</w:t>
            </w:r>
          </w:p>
        </w:tc>
        <w:tc>
          <w:tcPr>
            <w:tcW w:w="159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THZ-100B</w:t>
            </w:r>
          </w:p>
        </w:tc>
        <w:tc>
          <w:tcPr>
            <w:tcW w:w="49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台</w:t>
            </w:r>
          </w:p>
        </w:tc>
        <w:tc>
          <w:tcPr>
            <w:tcW w:w="37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9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yellow"/>
              </w:rPr>
            </w:pPr>
          </w:p>
        </w:tc>
        <w:tc>
          <w:tcPr>
            <w:tcW w:w="183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洗板机</w:t>
            </w:r>
          </w:p>
        </w:tc>
        <w:tc>
          <w:tcPr>
            <w:tcW w:w="159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wellwash</w:t>
            </w:r>
          </w:p>
        </w:tc>
        <w:tc>
          <w:tcPr>
            <w:tcW w:w="49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台</w:t>
            </w:r>
          </w:p>
        </w:tc>
        <w:tc>
          <w:tcPr>
            <w:tcW w:w="37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yellow"/>
              </w:rPr>
            </w:pPr>
          </w:p>
        </w:tc>
        <w:tc>
          <w:tcPr>
            <w:tcW w:w="183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消毒车</w:t>
            </w:r>
          </w:p>
        </w:tc>
        <w:tc>
          <w:tcPr>
            <w:tcW w:w="159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9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台</w:t>
            </w:r>
          </w:p>
        </w:tc>
        <w:tc>
          <w:tcPr>
            <w:tcW w:w="37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9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yellow"/>
              </w:rPr>
            </w:pPr>
          </w:p>
        </w:tc>
        <w:tc>
          <w:tcPr>
            <w:tcW w:w="183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防疫消毒设备</w:t>
            </w:r>
          </w:p>
        </w:tc>
        <w:tc>
          <w:tcPr>
            <w:tcW w:w="159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9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台</w:t>
            </w:r>
          </w:p>
        </w:tc>
        <w:tc>
          <w:tcPr>
            <w:tcW w:w="37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95"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育种器材</w:t>
            </w:r>
          </w:p>
        </w:tc>
        <w:tc>
          <w:tcPr>
            <w:tcW w:w="183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液氮罐</w:t>
            </w:r>
          </w:p>
        </w:tc>
        <w:tc>
          <w:tcPr>
            <w:tcW w:w="159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9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台</w:t>
            </w:r>
          </w:p>
        </w:tc>
        <w:tc>
          <w:tcPr>
            <w:tcW w:w="37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9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183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输精器</w:t>
            </w:r>
          </w:p>
        </w:tc>
        <w:tc>
          <w:tcPr>
            <w:tcW w:w="159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9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套</w:t>
            </w:r>
          </w:p>
        </w:tc>
        <w:tc>
          <w:tcPr>
            <w:tcW w:w="37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9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183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显微镜</w:t>
            </w:r>
          </w:p>
        </w:tc>
        <w:tc>
          <w:tcPr>
            <w:tcW w:w="159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9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台</w:t>
            </w:r>
          </w:p>
        </w:tc>
        <w:tc>
          <w:tcPr>
            <w:tcW w:w="37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9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183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B 超</w:t>
            </w:r>
          </w:p>
        </w:tc>
        <w:tc>
          <w:tcPr>
            <w:tcW w:w="159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9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台</w:t>
            </w:r>
          </w:p>
        </w:tc>
        <w:tc>
          <w:tcPr>
            <w:tcW w:w="37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9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183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水浴锅</w:t>
            </w:r>
          </w:p>
        </w:tc>
        <w:tc>
          <w:tcPr>
            <w:tcW w:w="159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9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台</w:t>
            </w:r>
          </w:p>
        </w:tc>
        <w:tc>
          <w:tcPr>
            <w:tcW w:w="37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9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183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冰箱</w:t>
            </w:r>
          </w:p>
        </w:tc>
        <w:tc>
          <w:tcPr>
            <w:tcW w:w="159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9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台</w:t>
            </w:r>
          </w:p>
        </w:tc>
        <w:tc>
          <w:tcPr>
            <w:tcW w:w="37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9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183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冰柜</w:t>
            </w:r>
          </w:p>
        </w:tc>
        <w:tc>
          <w:tcPr>
            <w:tcW w:w="159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9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台</w:t>
            </w:r>
          </w:p>
        </w:tc>
        <w:tc>
          <w:tcPr>
            <w:tcW w:w="37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95"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管理类</w:t>
            </w:r>
          </w:p>
        </w:tc>
        <w:tc>
          <w:tcPr>
            <w:tcW w:w="183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牛群管理软件</w:t>
            </w:r>
          </w:p>
        </w:tc>
        <w:tc>
          <w:tcPr>
            <w:tcW w:w="159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9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套</w:t>
            </w:r>
          </w:p>
        </w:tc>
        <w:tc>
          <w:tcPr>
            <w:tcW w:w="37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9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183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修蹄车   (进口)</w:t>
            </w:r>
          </w:p>
        </w:tc>
        <w:tc>
          <w:tcPr>
            <w:tcW w:w="159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9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台</w:t>
            </w:r>
          </w:p>
        </w:tc>
        <w:tc>
          <w:tcPr>
            <w:tcW w:w="37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9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183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eastAsia="zh-CN"/>
              </w:rPr>
              <w:t>牛犊</w:t>
            </w:r>
            <w:r>
              <w:rPr>
                <w:rFonts w:hint="default" w:ascii="Times New Roman" w:hAnsi="Times New Roman" w:eastAsia="宋体" w:cs="Times New Roman"/>
                <w:color w:val="auto"/>
                <w:kern w:val="0"/>
                <w:sz w:val="21"/>
                <w:szCs w:val="21"/>
                <w:highlight w:val="none"/>
              </w:rPr>
              <w:t>称重秤</w:t>
            </w:r>
          </w:p>
        </w:tc>
        <w:tc>
          <w:tcPr>
            <w:tcW w:w="159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9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套</w:t>
            </w:r>
          </w:p>
        </w:tc>
        <w:tc>
          <w:tcPr>
            <w:tcW w:w="37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9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183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供水机组</w:t>
            </w:r>
          </w:p>
        </w:tc>
        <w:tc>
          <w:tcPr>
            <w:tcW w:w="159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9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套</w:t>
            </w:r>
          </w:p>
        </w:tc>
        <w:tc>
          <w:tcPr>
            <w:tcW w:w="37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9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183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监控系统</w:t>
            </w:r>
          </w:p>
        </w:tc>
        <w:tc>
          <w:tcPr>
            <w:tcW w:w="159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9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套</w:t>
            </w:r>
          </w:p>
        </w:tc>
        <w:tc>
          <w:tcPr>
            <w:tcW w:w="37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9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183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计算机管理设备</w:t>
            </w:r>
          </w:p>
        </w:tc>
        <w:tc>
          <w:tcPr>
            <w:tcW w:w="159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9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个</w:t>
            </w:r>
          </w:p>
        </w:tc>
        <w:tc>
          <w:tcPr>
            <w:tcW w:w="37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95"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其他</w:t>
            </w:r>
            <w:r>
              <w:rPr>
                <w:rFonts w:hint="default" w:ascii="Times New Roman" w:hAnsi="Times New Roman" w:eastAsia="宋体" w:cs="Times New Roman"/>
                <w:color w:val="auto"/>
                <w:kern w:val="0"/>
                <w:sz w:val="21"/>
                <w:szCs w:val="21"/>
                <w:highlight w:val="none"/>
              </w:rPr>
              <w:t>设备</w:t>
            </w:r>
          </w:p>
        </w:tc>
        <w:tc>
          <w:tcPr>
            <w:tcW w:w="183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颈枷</w:t>
            </w:r>
          </w:p>
        </w:tc>
        <w:tc>
          <w:tcPr>
            <w:tcW w:w="159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9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个</w:t>
            </w:r>
          </w:p>
        </w:tc>
        <w:tc>
          <w:tcPr>
            <w:tcW w:w="37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5000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9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183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卧床</w:t>
            </w:r>
          </w:p>
        </w:tc>
        <w:tc>
          <w:tcPr>
            <w:tcW w:w="159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9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个</w:t>
            </w:r>
          </w:p>
        </w:tc>
        <w:tc>
          <w:tcPr>
            <w:tcW w:w="37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5000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9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yellow"/>
              </w:rPr>
            </w:pPr>
          </w:p>
        </w:tc>
        <w:tc>
          <w:tcPr>
            <w:tcW w:w="183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饮水槽</w:t>
            </w:r>
          </w:p>
        </w:tc>
        <w:tc>
          <w:tcPr>
            <w:tcW w:w="159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9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台</w:t>
            </w:r>
          </w:p>
        </w:tc>
        <w:tc>
          <w:tcPr>
            <w:tcW w:w="37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9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yellow"/>
              </w:rPr>
            </w:pPr>
          </w:p>
        </w:tc>
        <w:tc>
          <w:tcPr>
            <w:tcW w:w="183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风机</w:t>
            </w:r>
          </w:p>
        </w:tc>
        <w:tc>
          <w:tcPr>
            <w:tcW w:w="159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9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台</w:t>
            </w:r>
          </w:p>
        </w:tc>
        <w:tc>
          <w:tcPr>
            <w:tcW w:w="37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200</w:t>
            </w:r>
          </w:p>
        </w:tc>
      </w:tr>
    </w:tbl>
    <w:p>
      <w:pPr>
        <w:pageBreakBefore w:val="0"/>
        <w:wordWrap/>
        <w:bidi w:val="0"/>
        <w:adjustRightInd w:val="0"/>
        <w:snapToGrid w:val="0"/>
        <w:spacing w:line="360" w:lineRule="auto"/>
        <w:ind w:left="0" w:leftChars="0" w:right="0" w:rightChars="0" w:firstLine="480" w:firstLineChars="200"/>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 xml:space="preserve"> </w:t>
      </w:r>
    </w:p>
    <w:p>
      <w:pPr>
        <w:pStyle w:val="5"/>
        <w:keepNext/>
        <w:keepLines/>
        <w:pageBreakBefore w:val="0"/>
        <w:widowControl w:val="0"/>
        <w:kinsoku/>
        <w:wordWrap/>
        <w:overflowPunct/>
        <w:topLinePunct w:val="0"/>
        <w:autoSpaceDE/>
        <w:autoSpaceDN/>
        <w:bidi w:val="0"/>
        <w:adjustRightInd w:val="0"/>
        <w:snapToGrid w:val="0"/>
        <w:spacing w:before="157" w:beforeLines="50"/>
        <w:ind w:left="0" w:leftChars="0" w:right="0" w:rightChars="0"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总平面布置及合理性分析</w:t>
      </w:r>
      <w:bookmarkEnd w:id="125"/>
      <w:bookmarkEnd w:id="128"/>
    </w:p>
    <w:p>
      <w:pPr>
        <w:pageBreakBefore w:val="0"/>
        <w:wordWrap/>
        <w:bidi w:val="0"/>
        <w:adjustRightInd w:val="0"/>
        <w:ind w:left="0" w:leftChars="0" w:right="0" w:rightChars="0" w:firstLine="480"/>
        <w:rPr>
          <w:rFonts w:hint="default" w:ascii="Times New Roman" w:hAnsi="Times New Roman" w:cs="Times New Roman"/>
          <w:color w:val="auto"/>
          <w:sz w:val="24"/>
          <w:highlight w:val="none"/>
        </w:rPr>
      </w:pPr>
      <w:r>
        <w:rPr>
          <w:rFonts w:hint="default" w:ascii="Times New Roman" w:hAnsi="Times New Roman" w:cs="Times New Roman"/>
          <w:color w:val="auto"/>
          <w:kern w:val="0"/>
          <w:highlight w:val="none"/>
          <w:lang w:val="en-GB"/>
        </w:rPr>
        <w:t>本项目选址位于</w:t>
      </w:r>
      <w:r>
        <w:rPr>
          <w:rFonts w:hint="default" w:ascii="Times New Roman" w:hAnsi="Times New Roman" w:cs="Times New Roman"/>
          <w:color w:val="auto"/>
          <w:kern w:val="0"/>
          <w:highlight w:val="none"/>
          <w:lang w:eastAsia="zh-CN"/>
        </w:rPr>
        <w:t>塔城市博孜达克镇三园子村</w:t>
      </w:r>
      <w:r>
        <w:rPr>
          <w:rFonts w:hint="default" w:ascii="Times New Roman" w:hAnsi="Times New Roman" w:cs="Times New Roman"/>
          <w:color w:val="auto"/>
          <w:kern w:val="0"/>
          <w:highlight w:val="none"/>
          <w:lang w:val="en-GB"/>
        </w:rPr>
        <w:t>，</w:t>
      </w:r>
      <w:r>
        <w:rPr>
          <w:rFonts w:hint="default" w:ascii="Times New Roman" w:hAnsi="Times New Roman" w:eastAsia="宋体" w:cs="Times New Roman"/>
          <w:color w:val="auto"/>
          <w:kern w:val="0"/>
          <w:highlight w:val="none"/>
        </w:rPr>
        <w:t>占地面积</w:t>
      </w:r>
      <w:r>
        <w:rPr>
          <w:rFonts w:hint="default" w:ascii="Times New Roman" w:hAnsi="Times New Roman" w:eastAsia="宋体" w:cs="Times New Roman"/>
          <w:color w:val="auto"/>
          <w:kern w:val="0"/>
          <w:highlight w:val="none"/>
          <w:lang w:eastAsia="zh-CN"/>
        </w:rPr>
        <w:t>：</w:t>
      </w:r>
      <w:r>
        <w:rPr>
          <w:rFonts w:hint="default" w:ascii="Times New Roman" w:hAnsi="Times New Roman" w:cs="Times New Roman"/>
          <w:color w:val="auto"/>
          <w:kern w:val="0"/>
          <w:highlight w:val="none"/>
          <w:lang w:val="en-US" w:eastAsia="zh-CN"/>
        </w:rPr>
        <w:t>667030.39平方米</w:t>
      </w:r>
      <w:r>
        <w:rPr>
          <w:rFonts w:hint="default" w:ascii="Times New Roman" w:hAnsi="Times New Roman" w:eastAsia="宋体" w:cs="Times New Roman"/>
          <w:color w:val="auto"/>
          <w:kern w:val="0"/>
          <w:highlight w:val="none"/>
          <w:lang w:val="en-US" w:eastAsia="zh-CN"/>
        </w:rPr>
        <w:t>。</w:t>
      </w:r>
      <w:r>
        <w:rPr>
          <w:rFonts w:hint="eastAsia" w:cs="Times New Roman"/>
          <w:color w:val="auto"/>
          <w:sz w:val="24"/>
          <w:szCs w:val="24"/>
          <w:highlight w:val="none"/>
          <w:lang w:val="en-US" w:eastAsia="zh-CN"/>
        </w:rPr>
        <w:t>本</w:t>
      </w:r>
      <w:r>
        <w:rPr>
          <w:rFonts w:hint="default" w:ascii="Times New Roman" w:hAnsi="Times New Roman" w:cs="Times New Roman"/>
          <w:color w:val="auto"/>
          <w:sz w:val="24"/>
          <w:szCs w:val="24"/>
          <w:highlight w:val="none"/>
        </w:rPr>
        <w:t>项目</w:t>
      </w:r>
      <w:r>
        <w:rPr>
          <w:rFonts w:hint="default" w:ascii="Times New Roman" w:hAnsi="Times New Roman" w:cs="Times New Roman"/>
          <w:color w:val="auto"/>
          <w:sz w:val="24"/>
          <w:highlight w:val="none"/>
        </w:rPr>
        <w:t>划分为生活管理区（办公、</w:t>
      </w:r>
      <w:r>
        <w:rPr>
          <w:rFonts w:hint="default" w:ascii="Times New Roman" w:hAnsi="Times New Roman" w:cs="Times New Roman"/>
          <w:color w:val="auto"/>
          <w:sz w:val="24"/>
          <w:highlight w:val="none"/>
          <w:lang w:val="en-US" w:eastAsia="zh-CN"/>
        </w:rPr>
        <w:t>食堂、</w:t>
      </w:r>
      <w:r>
        <w:rPr>
          <w:rFonts w:hint="default" w:ascii="Times New Roman" w:hAnsi="Times New Roman" w:cs="Times New Roman"/>
          <w:color w:val="auto"/>
          <w:sz w:val="24"/>
          <w:highlight w:val="none"/>
        </w:rPr>
        <w:t>宿舍等）、辅助生产区（饲料加工、</w:t>
      </w:r>
      <w:r>
        <w:rPr>
          <w:rFonts w:hint="default" w:ascii="Times New Roman" w:hAnsi="Times New Roman" w:cs="Times New Roman"/>
          <w:color w:val="auto"/>
          <w:sz w:val="24"/>
          <w:highlight w:val="none"/>
          <w:lang w:val="en-US" w:eastAsia="zh-CN"/>
        </w:rPr>
        <w:t>干草棚、生产辅助用房</w:t>
      </w:r>
      <w:r>
        <w:rPr>
          <w:rFonts w:hint="default" w:ascii="Times New Roman" w:hAnsi="Times New Roman" w:cs="Times New Roman"/>
          <w:color w:val="auto"/>
          <w:sz w:val="24"/>
          <w:highlight w:val="none"/>
        </w:rPr>
        <w:t>等）、生产区（各种牛舍、挤奶厅</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产房、运动场</w:t>
      </w:r>
      <w:r>
        <w:rPr>
          <w:rFonts w:hint="default" w:ascii="Times New Roman" w:hAnsi="Times New Roman" w:cs="Times New Roman"/>
          <w:color w:val="auto"/>
          <w:sz w:val="24"/>
          <w:highlight w:val="none"/>
        </w:rPr>
        <w:t>）和粪污处理区四个功能区。</w:t>
      </w:r>
    </w:p>
    <w:p>
      <w:pPr>
        <w:pageBreakBefore w:val="0"/>
        <w:wordWrap/>
        <w:bidi w:val="0"/>
        <w:adjustRightInd w:val="0"/>
        <w:ind w:left="0" w:leftChars="0" w:right="0" w:rightChars="0" w:firstLine="480"/>
        <w:rPr>
          <w:rFonts w:hint="default" w:ascii="Times New Roman" w:hAnsi="Times New Roman" w:cs="Times New Roman"/>
          <w:color w:val="auto"/>
          <w:kern w:val="0"/>
          <w:highlight w:val="none"/>
        </w:rPr>
        <w:sectPr>
          <w:headerReference r:id="rId12" w:type="default"/>
          <w:pgSz w:w="11906" w:h="16838"/>
          <w:pgMar w:top="1440" w:right="1531"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cs="Times New Roman"/>
          <w:color w:val="auto"/>
          <w:kern w:val="0"/>
          <w:highlight w:val="none"/>
        </w:rPr>
        <w:t>根据项目总平面布置，项目场区按生产工艺分区布置，做到了生产与办公生活分开、清洁区与污物区分开、粪污处理区与养殖、办公生活区分开</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项目办公生活区布置在圈舍的</w:t>
      </w:r>
      <w:r>
        <w:rPr>
          <w:rFonts w:hint="default" w:ascii="Times New Roman" w:hAnsi="Times New Roman" w:cs="Times New Roman"/>
          <w:color w:val="auto"/>
          <w:kern w:val="0"/>
          <w:highlight w:val="none"/>
          <w:lang w:val="en-US" w:eastAsia="zh-CN"/>
        </w:rPr>
        <w:t>侧</w:t>
      </w:r>
      <w:r>
        <w:rPr>
          <w:rFonts w:hint="default" w:ascii="Times New Roman" w:hAnsi="Times New Roman" w:cs="Times New Roman"/>
          <w:color w:val="auto"/>
          <w:kern w:val="0"/>
          <w:highlight w:val="none"/>
        </w:rPr>
        <w:t>风向</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lang w:val="en-US" w:eastAsia="zh-CN"/>
        </w:rPr>
        <w:t>粪污处理区的上风向</w:t>
      </w:r>
      <w:r>
        <w:rPr>
          <w:rFonts w:hint="default" w:ascii="Times New Roman" w:hAnsi="Times New Roman" w:cs="Times New Roman"/>
          <w:color w:val="auto"/>
          <w:kern w:val="0"/>
          <w:highlight w:val="none"/>
        </w:rPr>
        <w:t>，最大限度地避免了养殖区、粪污处理区恶臭对职工的影响，符合《畜禽养殖业污染防治技术规范》（HJ/T81-2001）</w:t>
      </w:r>
      <w:r>
        <w:rPr>
          <w:rFonts w:hint="default" w:ascii="Times New Roman" w:hAnsi="Times New Roman" w:cs="Times New Roman"/>
          <w:color w:val="auto"/>
          <w:kern w:val="0"/>
          <w:highlight w:val="none"/>
          <w:lang w:val="en-US" w:eastAsia="zh-CN"/>
        </w:rPr>
        <w:t>中</w:t>
      </w:r>
      <w:r>
        <w:rPr>
          <w:rFonts w:hint="default" w:ascii="Times New Roman" w:hAnsi="Times New Roman" w:cs="Times New Roman"/>
          <w:color w:val="auto"/>
          <w:kern w:val="0"/>
          <w:highlight w:val="none"/>
        </w:rPr>
        <w:t>畜禽养殖场场区布局应“新建、改建、扩建的畜禽养殖场应实现生产区、生活管理区的隔离；粪便污水处理设施和畜禽尸体填埋，应设在养殖场的生产区、生活管理区的常年主导风向的下风向或侧风向处。”的要求</w:t>
      </w:r>
      <w:r>
        <w:rPr>
          <w:rFonts w:hint="default" w:ascii="Times New Roman" w:hAnsi="Times New Roman" w:cs="Times New Roman"/>
          <w:color w:val="auto"/>
          <w:kern w:val="0"/>
          <w:highlight w:val="none"/>
          <w:lang w:val="en-US" w:eastAsia="zh-CN"/>
        </w:rPr>
        <w:t>；符合</w:t>
      </w:r>
      <w:r>
        <w:rPr>
          <w:rFonts w:hint="default" w:ascii="Times New Roman" w:hAnsi="Times New Roman" w:cs="Times New Roman"/>
          <w:color w:val="auto"/>
          <w:sz w:val="24"/>
          <w:highlight w:val="none"/>
          <w:lang w:val="en-US" w:eastAsia="zh-CN"/>
        </w:rPr>
        <w:t>《畜禽场环境质量及卫生控制规范》</w:t>
      </w:r>
      <w:r>
        <w:rPr>
          <w:rFonts w:hint="default" w:ascii="Times New Roman" w:hAnsi="Times New Roman" w:cs="Times New Roman"/>
          <w:color w:val="auto"/>
          <w:kern w:val="0"/>
          <w:highlight w:val="none"/>
          <w:lang w:val="en-US" w:eastAsia="zh-CN"/>
        </w:rPr>
        <w:t>（NY/T1167-2006）</w:t>
      </w:r>
      <w:r>
        <w:rPr>
          <w:rFonts w:hint="default" w:ascii="Times New Roman" w:hAnsi="Times New Roman" w:cs="Times New Roman"/>
          <w:color w:val="auto"/>
          <w:sz w:val="24"/>
          <w:highlight w:val="none"/>
          <w:lang w:val="en-US" w:eastAsia="zh-CN"/>
        </w:rPr>
        <w:t>中“4.2 合理布局：住宅区、生活管理区、生产区、隔离区分开，且依次处于场区常年主导风向的上风向。”要求。</w:t>
      </w:r>
      <w:r>
        <w:rPr>
          <w:rFonts w:hint="default" w:ascii="Times New Roman" w:hAnsi="Times New Roman" w:cs="Times New Roman"/>
          <w:color w:val="auto"/>
          <w:kern w:val="0"/>
          <w:highlight w:val="none"/>
        </w:rPr>
        <w:t>因此，从环境保护角度来看，项目总平面图布置方案较合理，是可行的。详见平面布置图3.</w:t>
      </w:r>
      <w:r>
        <w:rPr>
          <w:rFonts w:hint="default" w:ascii="Times New Roman" w:hAnsi="Times New Roman" w:cs="Times New Roman"/>
          <w:color w:val="auto"/>
          <w:kern w:val="0"/>
          <w:highlight w:val="none"/>
          <w:lang w:val="en-US" w:eastAsia="zh-CN"/>
        </w:rPr>
        <w:t>1</w:t>
      </w:r>
      <w:r>
        <w:rPr>
          <w:rFonts w:hint="default" w:ascii="Times New Roman" w:hAnsi="Times New Roman" w:cs="Times New Roman"/>
          <w:color w:val="auto"/>
          <w:kern w:val="0"/>
          <w:highlight w:val="none"/>
        </w:rPr>
        <w:t>-1。</w:t>
      </w:r>
    </w:p>
    <w:p>
      <w:pPr>
        <w:pStyle w:val="17"/>
        <w:ind w:left="0" w:leftChars="0" w:firstLine="0" w:firstLineChars="0"/>
        <w:jc w:val="center"/>
        <w:rPr>
          <w:rFonts w:hint="default" w:ascii="Times New Roman" w:hAnsi="Times New Roman" w:eastAsia="宋体" w:cs="Times New Roman"/>
          <w:color w:val="auto"/>
          <w:lang w:eastAsia="zh-CN"/>
        </w:rPr>
      </w:pPr>
    </w:p>
    <w:p>
      <w:pPr>
        <w:pStyle w:val="17"/>
        <w:ind w:left="0" w:leftChars="0" w:firstLine="0" w:firstLineChars="0"/>
        <w:jc w:val="center"/>
        <w:rPr>
          <w:rFonts w:hint="default" w:ascii="Times New Roman" w:hAnsi="Times New Roman" w:cs="Times New Roman"/>
          <w:color w:val="auto"/>
          <w:lang w:val="en-US"/>
        </w:rPr>
        <w:sectPr>
          <w:pgSz w:w="11906" w:h="16838"/>
          <w:pgMar w:top="1440" w:right="1531"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color w:val="auto"/>
          <w:sz w:val="24"/>
        </w:rPr>
        <mc:AlternateContent>
          <mc:Choice Requires="wps">
            <w:drawing>
              <wp:anchor distT="0" distB="0" distL="114300" distR="114300" simplePos="0" relativeHeight="251685888" behindDoc="0" locked="0" layoutInCell="1" allowOverlap="1">
                <wp:simplePos x="0" y="0"/>
                <wp:positionH relativeFrom="column">
                  <wp:posOffset>3732530</wp:posOffset>
                </wp:positionH>
                <wp:positionV relativeFrom="paragraph">
                  <wp:posOffset>3703955</wp:posOffset>
                </wp:positionV>
                <wp:extent cx="143510" cy="492760"/>
                <wp:effectExtent l="0" t="0" r="0" b="0"/>
                <wp:wrapNone/>
                <wp:docPr id="71" name="文本框 71"/>
                <wp:cNvGraphicFramePr/>
                <a:graphic xmlns:a="http://schemas.openxmlformats.org/drawingml/2006/main">
                  <a:graphicData uri="http://schemas.microsoft.com/office/word/2010/wordprocessingShape">
                    <wps:wsp>
                      <wps:cNvSpPr txBox="1"/>
                      <wps:spPr>
                        <a:xfrm>
                          <a:off x="4971415" y="5270500"/>
                          <a:ext cx="143510" cy="4927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ind w:left="0" w:leftChars="0" w:firstLine="0" w:firstLineChars="0"/>
                              <w:rPr>
                                <w:rFonts w:hint="eastAsia" w:eastAsia="宋体"/>
                                <w:sz w:val="15"/>
                                <w:szCs w:val="15"/>
                                <w:lang w:val="en-US" w:eastAsia="zh-CN"/>
                              </w:rPr>
                            </w:pPr>
                            <w:r>
                              <w:rPr>
                                <w:rFonts w:hint="eastAsia"/>
                                <w:sz w:val="15"/>
                                <w:szCs w:val="15"/>
                                <w:lang w:val="en-US" w:eastAsia="zh-CN"/>
                              </w:rPr>
                              <w:t>堆粪场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9pt;margin-top:291.65pt;height:38.8pt;width:11.3pt;z-index:251685888;mso-width-relative:page;mso-height-relative:page;" filled="f" stroked="f" coordsize="21600,21600" o:gfxdata="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Nx1XPrcAAAACwEAAA8AAAAA&#10;AAAAAQAgAAAAIgAAAGRycy9kb3ducmV2LnhtbFBLAQIUABQAAAAIAIdO4kCVu89GSQIAAHMEAAAO&#10;AAAAAAAAAAEAIAAAACsBAABkcnMvZTJvRG9jLnhtbFBLBQYAAAAABgAGAFkBAADmBQAAAAA=&#10;">
                <v:fill on="f" focussize="0,0"/>
                <v:stroke on="f" weight="0.5pt"/>
                <v:imagedata o:title=""/>
                <o:lock v:ext="edit" aspectratio="f"/>
                <v:textbox>
                  <w:txbxContent>
                    <w:p>
                      <w:pPr>
                        <w:spacing w:line="240" w:lineRule="auto"/>
                        <w:ind w:left="0" w:leftChars="0" w:firstLine="0" w:firstLineChars="0"/>
                        <w:rPr>
                          <w:rFonts w:hint="eastAsia" w:eastAsia="宋体"/>
                          <w:sz w:val="15"/>
                          <w:szCs w:val="15"/>
                          <w:lang w:val="en-US" w:eastAsia="zh-CN"/>
                        </w:rPr>
                      </w:pPr>
                      <w:r>
                        <w:rPr>
                          <w:rFonts w:hint="eastAsia"/>
                          <w:sz w:val="15"/>
                          <w:szCs w:val="15"/>
                          <w:lang w:val="en-US" w:eastAsia="zh-CN"/>
                        </w:rPr>
                        <w:t>堆粪场</w:t>
                      </w:r>
                    </w:p>
                  </w:txbxContent>
                </v:textbox>
              </v:shape>
            </w:pict>
          </mc:Fallback>
        </mc:AlternateContent>
      </w:r>
      <w:r>
        <w:rPr>
          <w:rFonts w:hint="default" w:ascii="Times New Roman" w:hAnsi="Times New Roman" w:eastAsia="宋体" w:cs="Times New Roman"/>
          <w:color w:val="auto"/>
          <w:lang w:eastAsia="zh-CN"/>
        </w:rPr>
        <w:drawing>
          <wp:inline distT="0" distB="0" distL="114300" distR="114300">
            <wp:extent cx="5442585" cy="6178550"/>
            <wp:effectExtent l="0" t="0" r="5715" b="12700"/>
            <wp:docPr id="19" name="图片 19" descr="第1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第1页"/>
                    <pic:cNvPicPr>
                      <a:picLocks noChangeAspect="1"/>
                    </pic:cNvPicPr>
                  </pic:nvPicPr>
                  <pic:blipFill>
                    <a:blip r:embed="rId32"/>
                    <a:stretch>
                      <a:fillRect/>
                    </a:stretch>
                  </pic:blipFill>
                  <pic:spPr>
                    <a:xfrm>
                      <a:off x="0" y="0"/>
                      <a:ext cx="5442585" cy="6178550"/>
                    </a:xfrm>
                    <a:prstGeom prst="rect">
                      <a:avLst/>
                    </a:prstGeom>
                  </pic:spPr>
                </pic:pic>
              </a:graphicData>
            </a:graphic>
          </wp:inline>
        </w:drawing>
      </w:r>
      <w:r>
        <w:rPr>
          <w:rFonts w:hint="default" w:ascii="Times New Roman" w:hAnsi="Times New Roman" w:eastAsia="宋体" w:cs="Times New Roman"/>
          <w:b/>
          <w:color w:val="auto"/>
          <w:kern w:val="2"/>
          <w:sz w:val="21"/>
          <w:szCs w:val="21"/>
          <w:highlight w:val="none"/>
          <w:lang w:val="en-US" w:eastAsia="zh-CN" w:bidi="ar-SA"/>
        </w:rPr>
        <w:t>图3.1-1  平面布置</w:t>
      </w:r>
      <w:r>
        <w:rPr>
          <w:rFonts w:hint="eastAsia" w:ascii="Times New Roman" w:hAnsi="Times New Roman" w:cs="Times New Roman"/>
          <w:b/>
          <w:color w:val="auto"/>
          <w:kern w:val="2"/>
          <w:sz w:val="21"/>
          <w:szCs w:val="21"/>
          <w:highlight w:val="none"/>
          <w:lang w:val="en-US" w:eastAsia="zh-CN" w:bidi="ar-SA"/>
        </w:rPr>
        <w:t>示意</w:t>
      </w:r>
      <w:r>
        <w:rPr>
          <w:rFonts w:hint="default" w:ascii="Times New Roman" w:hAnsi="Times New Roman" w:eastAsia="宋体" w:cs="Times New Roman"/>
          <w:b/>
          <w:color w:val="auto"/>
          <w:kern w:val="2"/>
          <w:sz w:val="21"/>
          <w:szCs w:val="21"/>
          <w:highlight w:val="none"/>
          <w:lang w:val="en-US" w:eastAsia="zh-CN" w:bidi="ar-SA"/>
        </w:rPr>
        <w:t>图</w:t>
      </w:r>
    </w:p>
    <w:bookmarkEnd w:id="126"/>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129" w:name="_Toc24546"/>
      <w:bookmarkStart w:id="130" w:name="_Toc364031231"/>
      <w:r>
        <w:rPr>
          <w:rFonts w:hint="default" w:ascii="Times New Roman" w:hAnsi="Times New Roman" w:cs="Times New Roman"/>
          <w:color w:val="auto"/>
          <w:highlight w:val="none"/>
        </w:rPr>
        <w:t>防疫与消毒</w:t>
      </w:r>
      <w:bookmarkEnd w:id="129"/>
      <w:bookmarkEnd w:id="130"/>
    </w:p>
    <w:p>
      <w:pPr>
        <w:pageBreakBefore w:val="0"/>
        <w:tabs>
          <w:tab w:val="left" w:pos="900"/>
          <w:tab w:val="left" w:pos="3960"/>
        </w:tabs>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（1）检疫防疫</w:t>
      </w:r>
    </w:p>
    <w:p>
      <w:pPr>
        <w:pageBreakBefore w:val="0"/>
        <w:tabs>
          <w:tab w:val="left" w:pos="900"/>
          <w:tab w:val="left" w:pos="3960"/>
        </w:tabs>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①购买的牛犊在进场前，</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HYPERLINK "http://zhidao.baidu.com/search?word=%E5%8A%A8%E7%89%A9%E6%A3%80%E7%96%AB%E5%91%98&amp;fr=qb_search_exp&amp;ie=utf8" \t "_blank"</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动物检疫员</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必须按照</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HYPERLINK "http://zhidao.baidu.com/search?word=%E5%9B%BD%E5%AE%B6%E6%A0%87%E5%87%86&amp;fr=qb_search_exp&amp;ie=utf8" \t "_blank"</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国家标准</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HYPERLINK "http://zhidao.baidu.com/search?word=%E8%A1%8C%E4%B8%9A%E6%A0%87%E5%87%86&amp;fr=qb_search_exp&amp;ie=utf8" \t "_blank"</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行业标准</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、检疫规程和本办法的规定，对购买牛只实施检疫，对检疫合格的牛只，出具检疫合格证明，加盖验讫印章或加封规定的检疫标志后购入进行饲养。</w:t>
      </w:r>
    </w:p>
    <w:p>
      <w:pPr>
        <w:pageBreakBefore w:val="0"/>
        <w:tabs>
          <w:tab w:val="left" w:pos="900"/>
          <w:tab w:val="left" w:pos="3960"/>
        </w:tabs>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②购入健康牛犊进场后需进行疫苗注射。</w:t>
      </w:r>
    </w:p>
    <w:p>
      <w:pPr>
        <w:pageBreakBefore w:val="0"/>
        <w:tabs>
          <w:tab w:val="left" w:pos="900"/>
          <w:tab w:val="left" w:pos="3960"/>
        </w:tabs>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w:t>
      </w:r>
      <w:r>
        <w:rPr>
          <w:rFonts w:hint="default" w:ascii="Times New Roman" w:hAnsi="Times New Roman" w:cs="Times New Roman"/>
          <w:color w:val="auto"/>
          <w:highlight w:val="none"/>
          <w:lang w:eastAsia="zh-CN"/>
        </w:rPr>
        <w:t>养殖基地</w:t>
      </w:r>
      <w:r>
        <w:rPr>
          <w:rFonts w:hint="default" w:ascii="Times New Roman" w:hAnsi="Times New Roman" w:cs="Times New Roman"/>
          <w:color w:val="auto"/>
          <w:highlight w:val="none"/>
        </w:rPr>
        <w:t>所有出入口应设立消毒池，车辆出入口消毒池内保持有效的消毒液量及浓度，对进场车辆进行消毒。</w:t>
      </w:r>
    </w:p>
    <w:p>
      <w:pPr>
        <w:pageBreakBefore w:val="0"/>
        <w:tabs>
          <w:tab w:val="left" w:pos="900"/>
          <w:tab w:val="left" w:pos="3960"/>
        </w:tabs>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④建立出入登记制度，凡是进入饲养场的工作人员，一律更衣换鞋。</w:t>
      </w:r>
    </w:p>
    <w:p>
      <w:pPr>
        <w:pageBreakBefore w:val="0"/>
        <w:tabs>
          <w:tab w:val="left" w:pos="900"/>
          <w:tab w:val="left" w:pos="3960"/>
        </w:tabs>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⑤消毒制度：凡进入饲养场的人和车辆等都需经过消毒。</w:t>
      </w:r>
    </w:p>
    <w:p>
      <w:pPr>
        <w:pageBreakBefore w:val="0"/>
        <w:tabs>
          <w:tab w:val="left" w:pos="900"/>
          <w:tab w:val="left" w:pos="3960"/>
        </w:tabs>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eastAsia="楷体" w:cs="Times New Roman"/>
          <w:color w:val="auto"/>
          <w:highlight w:val="none"/>
        </w:rPr>
        <w:t>⑥</w:t>
      </w:r>
      <w:r>
        <w:rPr>
          <w:rFonts w:hint="default" w:ascii="Times New Roman" w:hAnsi="Times New Roman" w:cs="Times New Roman"/>
          <w:color w:val="auto"/>
          <w:highlight w:val="none"/>
        </w:rPr>
        <w:t>运动场无积水、积粪、硬物及尖锐物。饮水池保持清洁无沉积物。</w:t>
      </w:r>
    </w:p>
    <w:p>
      <w:pPr>
        <w:pageBreakBefore w:val="0"/>
        <w:tabs>
          <w:tab w:val="left" w:pos="900"/>
          <w:tab w:val="left" w:pos="3960"/>
        </w:tabs>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⑦定点堆放</w:t>
      </w:r>
      <w:r>
        <w:rPr>
          <w:rFonts w:hint="default" w:ascii="Times New Roman" w:hAnsi="Times New Roman" w:cs="Times New Roman"/>
          <w:color w:val="auto"/>
          <w:highlight w:val="none"/>
          <w:lang w:eastAsia="zh-CN"/>
        </w:rPr>
        <w:t>粪污</w:t>
      </w:r>
      <w:r>
        <w:rPr>
          <w:rFonts w:hint="default" w:ascii="Times New Roman" w:hAnsi="Times New Roman" w:cs="Times New Roman"/>
          <w:color w:val="auto"/>
          <w:highlight w:val="none"/>
        </w:rPr>
        <w:t>，定期喷洒杀虫剂，防止蚊蝇孳生。</w:t>
      </w:r>
      <w:r>
        <w:rPr>
          <w:rFonts w:hint="default" w:ascii="Times New Roman" w:hAnsi="Times New Roman" w:cs="Times New Roman"/>
          <w:color w:val="auto"/>
          <w:highlight w:val="none"/>
          <w:lang w:eastAsia="zh-CN"/>
        </w:rPr>
        <w:t>奶牛</w:t>
      </w:r>
      <w:r>
        <w:rPr>
          <w:rFonts w:hint="default" w:ascii="Times New Roman" w:hAnsi="Times New Roman" w:cs="Times New Roman"/>
          <w:color w:val="auto"/>
          <w:highlight w:val="none"/>
        </w:rPr>
        <w:t>场设专门供</w:t>
      </w:r>
      <w:r>
        <w:rPr>
          <w:rFonts w:hint="default" w:ascii="Times New Roman" w:hAnsi="Times New Roman" w:cs="Times New Roman"/>
          <w:color w:val="auto"/>
          <w:highlight w:val="none"/>
          <w:lang w:val="en-US" w:eastAsia="zh-CN"/>
        </w:rPr>
        <w:t>清</w:t>
      </w:r>
      <w:r>
        <w:rPr>
          <w:rFonts w:hint="default" w:ascii="Times New Roman" w:hAnsi="Times New Roman" w:cs="Times New Roman"/>
          <w:color w:val="auto"/>
          <w:highlight w:val="none"/>
        </w:rPr>
        <w:t>粪车等污染车辆通行的场地。</w:t>
      </w:r>
    </w:p>
    <w:p>
      <w:pPr>
        <w:pageBreakBefore w:val="0"/>
        <w:tabs>
          <w:tab w:val="left" w:pos="900"/>
          <w:tab w:val="left" w:pos="3960"/>
        </w:tabs>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eastAsia="仿宋" w:cs="Times New Roman"/>
          <w:color w:val="auto"/>
          <w:highlight w:val="none"/>
        </w:rPr>
        <w:t>⑧</w:t>
      </w:r>
      <w:r>
        <w:rPr>
          <w:rFonts w:hint="default" w:ascii="Times New Roman" w:hAnsi="Times New Roman" w:cs="Times New Roman"/>
          <w:color w:val="auto"/>
          <w:highlight w:val="none"/>
        </w:rPr>
        <w:t>场内员工每年必须进行一次健康检查，如患传染性疾病应及时在场外治疗，痊愈后方可上岗。新招员工必须经健康检查，确认无结核病</w:t>
      </w:r>
      <w:r>
        <w:rPr>
          <w:rFonts w:hint="default" w:ascii="Times New Roman" w:hAnsi="Times New Roman" w:cs="Times New Roman"/>
          <w:color w:val="auto"/>
          <w:highlight w:val="none"/>
          <w:lang w:val="en-US" w:eastAsia="zh-CN"/>
        </w:rPr>
        <w:t>及</w:t>
      </w:r>
      <w:r>
        <w:rPr>
          <w:rFonts w:hint="default" w:ascii="Times New Roman" w:hAnsi="Times New Roman" w:cs="Times New Roman"/>
          <w:color w:val="auto"/>
          <w:highlight w:val="none"/>
        </w:rPr>
        <w:t>其他传染病。</w:t>
      </w:r>
    </w:p>
    <w:p>
      <w:pPr>
        <w:pageBreakBefore w:val="0"/>
        <w:tabs>
          <w:tab w:val="left" w:pos="900"/>
          <w:tab w:val="left" w:pos="3960"/>
        </w:tabs>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eastAsia="仿宋" w:cs="Times New Roman"/>
          <w:color w:val="auto"/>
          <w:highlight w:val="none"/>
        </w:rPr>
        <w:t>⑨</w:t>
      </w:r>
      <w:r>
        <w:rPr>
          <w:rFonts w:hint="default" w:ascii="Times New Roman" w:hAnsi="Times New Roman" w:cs="Times New Roman"/>
          <w:color w:val="auto"/>
          <w:highlight w:val="none"/>
        </w:rPr>
        <w:t>场内各</w:t>
      </w:r>
      <w:r>
        <w:rPr>
          <w:rFonts w:hint="default" w:ascii="Times New Roman" w:hAnsi="Times New Roman" w:cs="Times New Roman"/>
          <w:color w:val="auto"/>
          <w:highlight w:val="none"/>
          <w:lang w:val="en-US" w:eastAsia="zh-CN"/>
        </w:rPr>
        <w:t>圈舍</w:t>
      </w:r>
      <w:r>
        <w:rPr>
          <w:rFonts w:hint="default" w:ascii="Times New Roman" w:hAnsi="Times New Roman" w:cs="Times New Roman"/>
          <w:color w:val="auto"/>
          <w:highlight w:val="none"/>
        </w:rPr>
        <w:t>生产工具不得互用，不得饲养其他畜禽，禁止将畜禽及其产品带入场区。</w:t>
      </w:r>
    </w:p>
    <w:p>
      <w:pPr>
        <w:keepNext w:val="0"/>
        <w:keepLines w:val="0"/>
        <w:pageBreakBefore w:val="0"/>
        <w:widowControl w:val="0"/>
        <w:numPr>
          <w:ilvl w:val="0"/>
          <w:numId w:val="14"/>
        </w:numPr>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死亡牛应作无害化处理，尸体接触的器具和环境作好清洁及消毒工作。</w:t>
      </w:r>
      <w:r>
        <w:rPr>
          <w:rFonts w:hint="default" w:ascii="Times New Roman" w:hAnsi="Times New Roman" w:eastAsia="宋体" w:cs="Times New Roman"/>
          <w:color w:val="auto"/>
          <w:kern w:val="2"/>
          <w:sz w:val="24"/>
          <w:szCs w:val="24"/>
          <w:lang w:val="en-US" w:eastAsia="zh-CN"/>
        </w:rPr>
        <w:t>养殖场建设安全填埋井</w:t>
      </w:r>
      <w:r>
        <w:rPr>
          <w:rFonts w:hint="eastAsia" w:cs="Times New Roman"/>
          <w:color w:val="auto"/>
          <w:kern w:val="2"/>
          <w:sz w:val="24"/>
          <w:szCs w:val="24"/>
          <w:lang w:val="en-US" w:eastAsia="zh-CN"/>
        </w:rPr>
        <w:t>至少</w:t>
      </w:r>
      <w:r>
        <w:rPr>
          <w:rFonts w:hint="default" w:ascii="Times New Roman" w:hAnsi="Times New Roman" w:eastAsia="宋体" w:cs="Times New Roman"/>
          <w:color w:val="auto"/>
          <w:kern w:val="2"/>
          <w:sz w:val="24"/>
          <w:szCs w:val="24"/>
          <w:lang w:val="en-US" w:eastAsia="zh-CN"/>
        </w:rPr>
        <w:t>2口，安全</w:t>
      </w:r>
      <w:r>
        <w:rPr>
          <w:rFonts w:hint="default" w:ascii="Times New Roman" w:hAnsi="Times New Roman" w:eastAsia="宋体" w:cs="Times New Roman"/>
          <w:color w:val="auto"/>
          <w:kern w:val="2"/>
          <w:sz w:val="24"/>
          <w:szCs w:val="24"/>
          <w:lang w:eastAsia="zh-CN"/>
        </w:rPr>
        <w:t>填埋井采用混凝土结构，深度大于2m，直径1m，井口加盖密封。每次投入牛尸体后，覆盖一层厚度大于</w:t>
      </w:r>
      <w:r>
        <w:rPr>
          <w:rFonts w:hint="default" w:ascii="Times New Roman" w:hAnsi="Times New Roman" w:eastAsia="宋体" w:cs="Times New Roman"/>
          <w:color w:val="auto"/>
          <w:kern w:val="2"/>
          <w:sz w:val="24"/>
          <w:szCs w:val="24"/>
          <w:lang w:val="en-US" w:eastAsia="zh-CN"/>
        </w:rPr>
        <w:t>10cm的熟石灰，井填满后，须用</w:t>
      </w:r>
      <w:r>
        <w:rPr>
          <w:rFonts w:hint="eastAsia" w:cs="Times New Roman"/>
          <w:color w:val="auto"/>
          <w:kern w:val="2"/>
          <w:sz w:val="24"/>
          <w:szCs w:val="24"/>
          <w:lang w:val="en-US" w:eastAsia="zh-CN"/>
        </w:rPr>
        <w:t>粘</w:t>
      </w:r>
      <w:r>
        <w:rPr>
          <w:rFonts w:hint="default" w:ascii="Times New Roman" w:hAnsi="Times New Roman" w:eastAsia="宋体" w:cs="Times New Roman"/>
          <w:color w:val="auto"/>
          <w:kern w:val="2"/>
          <w:sz w:val="24"/>
          <w:szCs w:val="24"/>
          <w:lang w:val="en-US" w:eastAsia="zh-CN"/>
        </w:rPr>
        <w:t>土填埋压实并封口。</w:t>
      </w:r>
    </w:p>
    <w:p>
      <w:pPr>
        <w:keepNext w:val="0"/>
        <w:keepLines w:val="0"/>
        <w:pageBreakBefore w:val="0"/>
        <w:widowControl w:val="0"/>
        <w:numPr>
          <w:ilvl w:val="0"/>
          <w:numId w:val="14"/>
        </w:numPr>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淘汰及出售牛应经检疫并取得检疫合格证明后方可出场。运牛车辆必须经过严格消毒后方可进入指定区域装车。</w:t>
      </w:r>
    </w:p>
    <w:p>
      <w:pPr>
        <w:keepNext w:val="0"/>
        <w:keepLines w:val="0"/>
        <w:pageBreakBefore w:val="0"/>
        <w:widowControl w:val="0"/>
        <w:numPr>
          <w:ilvl w:val="0"/>
          <w:numId w:val="14"/>
        </w:numPr>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当牛发生疑似传染病或附近</w:t>
      </w:r>
      <w:r>
        <w:rPr>
          <w:rFonts w:hint="default" w:ascii="Times New Roman" w:hAnsi="Times New Roman" w:cs="Times New Roman"/>
          <w:color w:val="auto"/>
          <w:highlight w:val="none"/>
          <w:lang w:eastAsia="zh-CN"/>
        </w:rPr>
        <w:t>养殖基地</w:t>
      </w:r>
      <w:r>
        <w:rPr>
          <w:rFonts w:hint="default" w:ascii="Times New Roman" w:hAnsi="Times New Roman" w:cs="Times New Roman"/>
          <w:color w:val="auto"/>
          <w:highlight w:val="none"/>
        </w:rPr>
        <w:t>出现烈性传染病时，应立即采取隔离封锁和其他应急措施</w:t>
      </w:r>
      <w:r>
        <w:rPr>
          <w:rFonts w:hint="default" w:ascii="Times New Roman" w:hAnsi="Times New Roman" w:eastAsia="宋体" w:cs="Times New Roman"/>
          <w:color w:val="auto"/>
          <w:kern w:val="2"/>
          <w:sz w:val="24"/>
          <w:szCs w:val="24"/>
          <w:lang w:eastAsia="zh-CN"/>
        </w:rPr>
        <w:t>。在场区进行医疗治疗的情况下，需对医疗废物收集，委托有资质的单位处置。</w:t>
      </w:r>
      <w:r>
        <w:rPr>
          <w:rFonts w:hint="default" w:ascii="Times New Roman" w:hAnsi="Times New Roman" w:eastAsia="宋体" w:cs="Times New Roman"/>
          <w:color w:val="auto"/>
          <w:kern w:val="2"/>
          <w:sz w:val="24"/>
          <w:szCs w:val="24"/>
          <w:lang w:val="en-US" w:eastAsia="zh-CN"/>
        </w:rPr>
        <w:t>如场区内传染性疾病发生，第一时间报及时报告县级以上畜牧主管部门，并在专业人员指导下采取扑杀和焚烧等紧急措施，避免传染病在场区及周围地区蔓延。</w:t>
      </w:r>
    </w:p>
    <w:p>
      <w:pPr>
        <w:pageBreakBefore w:val="0"/>
        <w:tabs>
          <w:tab w:val="left" w:pos="900"/>
          <w:tab w:val="left" w:pos="3960"/>
        </w:tabs>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（2）日常消毒</w:t>
      </w:r>
    </w:p>
    <w:p>
      <w:pPr>
        <w:pageBreakBefore w:val="0"/>
        <w:tabs>
          <w:tab w:val="left" w:pos="900"/>
          <w:tab w:val="left" w:pos="3960"/>
        </w:tabs>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①外环境消毒：</w:t>
      </w:r>
    </w:p>
    <w:p>
      <w:pPr>
        <w:pageBreakBefore w:val="0"/>
        <w:tabs>
          <w:tab w:val="left" w:pos="900"/>
          <w:tab w:val="left" w:pos="3960"/>
        </w:tabs>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牛舍外环境每月进行一次大消毒。</w:t>
      </w:r>
    </w:p>
    <w:p>
      <w:pPr>
        <w:pageBreakBefore w:val="0"/>
        <w:tabs>
          <w:tab w:val="left" w:pos="900"/>
          <w:tab w:val="left" w:pos="3960"/>
        </w:tabs>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②牛舍</w:t>
      </w:r>
      <w:r>
        <w:rPr>
          <w:rFonts w:hint="default" w:ascii="Times New Roman" w:hAnsi="Times New Roman" w:cs="Times New Roman"/>
          <w:color w:val="auto"/>
          <w:highlight w:val="none"/>
          <w:lang w:val="en-US" w:eastAsia="zh-CN"/>
        </w:rPr>
        <w:t>内环境</w:t>
      </w:r>
      <w:r>
        <w:rPr>
          <w:rFonts w:hint="default" w:ascii="Times New Roman" w:hAnsi="Times New Roman" w:cs="Times New Roman"/>
          <w:color w:val="auto"/>
          <w:highlight w:val="none"/>
        </w:rPr>
        <w:t>消毒</w:t>
      </w:r>
    </w:p>
    <w:p>
      <w:pPr>
        <w:pageBreakBefore w:val="0"/>
        <w:tabs>
          <w:tab w:val="left" w:pos="900"/>
          <w:tab w:val="left" w:pos="3960"/>
        </w:tabs>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牛舍、饮水器、采食槽</w:t>
      </w:r>
      <w:r>
        <w:rPr>
          <w:rFonts w:hint="default" w:ascii="Times New Roman" w:hAnsi="Times New Roman" w:cs="Times New Roman"/>
          <w:color w:val="auto"/>
          <w:highlight w:val="none"/>
          <w:lang w:val="en-US" w:eastAsia="zh-CN"/>
        </w:rPr>
        <w:t>等</w:t>
      </w:r>
      <w:r>
        <w:rPr>
          <w:rFonts w:hint="default" w:ascii="Times New Roman" w:hAnsi="Times New Roman" w:cs="Times New Roman"/>
          <w:color w:val="auto"/>
          <w:highlight w:val="none"/>
        </w:rPr>
        <w:t>每周消毒一次。</w:t>
      </w:r>
    </w:p>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131" w:name="_Toc26771"/>
      <w:r>
        <w:rPr>
          <w:rFonts w:hint="default" w:ascii="Times New Roman" w:hAnsi="Times New Roman" w:cs="Times New Roman"/>
          <w:color w:val="auto"/>
          <w:highlight w:val="none"/>
        </w:rPr>
        <w:t>公用工程</w:t>
      </w:r>
      <w:bookmarkEnd w:id="131"/>
    </w:p>
    <w:p>
      <w:pPr>
        <w:pStyle w:val="6"/>
        <w:pageBreakBefore w:val="0"/>
        <w:wordWrap/>
        <w:bidi w:val="0"/>
        <w:adjustRightInd w:val="0"/>
        <w:ind w:left="0" w:leftChars="0"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供电</w:t>
      </w:r>
    </w:p>
    <w:p>
      <w:pPr>
        <w:pageBreakBefore w:val="0"/>
        <w:wordWrap/>
        <w:bidi w:val="0"/>
        <w:adjustRightInd w:val="0"/>
        <w:ind w:left="0" w:leftChars="0" w:right="0" w:rightChars="0" w:firstLine="480"/>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本项目</w:t>
      </w:r>
      <w:r>
        <w:rPr>
          <w:rFonts w:hint="eastAsia" w:cs="Times New Roman"/>
          <w:color w:val="auto"/>
          <w:highlight w:val="none"/>
          <w:lang w:val="en-US" w:eastAsia="zh-CN"/>
        </w:rPr>
        <w:t>用电</w:t>
      </w:r>
      <w:r>
        <w:rPr>
          <w:rFonts w:hint="default" w:ascii="Times New Roman" w:hAnsi="Times New Roman" w:cs="Times New Roman"/>
          <w:color w:val="auto"/>
          <w:kern w:val="0"/>
          <w:highlight w:val="none"/>
        </w:rPr>
        <w:t>由乡镇供电电网供电，</w:t>
      </w:r>
      <w:r>
        <w:rPr>
          <w:rFonts w:hint="default" w:ascii="Times New Roman" w:hAnsi="Times New Roman" w:cs="Times New Roman"/>
          <w:color w:val="auto"/>
          <w:highlight w:val="none"/>
        </w:rPr>
        <w:t>可以满足项目的供电需要</w:t>
      </w:r>
      <w:r>
        <w:rPr>
          <w:rFonts w:hint="default" w:ascii="Times New Roman" w:hAnsi="Times New Roman" w:cs="Times New Roman"/>
          <w:color w:val="auto"/>
          <w:kern w:val="0"/>
          <w:highlight w:val="none"/>
        </w:rPr>
        <w:t>。</w:t>
      </w:r>
    </w:p>
    <w:p>
      <w:pPr>
        <w:pStyle w:val="6"/>
        <w:pageBreakBefore w:val="0"/>
        <w:wordWrap/>
        <w:bidi w:val="0"/>
        <w:adjustRightInd w:val="0"/>
        <w:ind w:left="0" w:leftChars="0"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供暖</w:t>
      </w:r>
    </w:p>
    <w:p>
      <w:pPr>
        <w:pageBreakBefore w:val="0"/>
        <w:wordWrap/>
        <w:bidi w:val="0"/>
        <w:adjustRightInd w:val="0"/>
        <w:ind w:left="0" w:leftChars="0" w:right="0" w:rightChars="0"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lang w:val="zh-CN"/>
        </w:rPr>
        <w:t>冬季生活区供暖</w:t>
      </w:r>
      <w:r>
        <w:rPr>
          <w:rFonts w:hint="default" w:ascii="Times New Roman" w:hAnsi="Times New Roman" w:cs="Times New Roman"/>
          <w:color w:val="auto"/>
          <w:kern w:val="0"/>
          <w:highlight w:val="none"/>
          <w:lang w:val="en-US" w:eastAsia="zh-CN"/>
        </w:rPr>
        <w:t>采用</w:t>
      </w:r>
      <w:r>
        <w:rPr>
          <w:rFonts w:hint="default" w:ascii="Times New Roman" w:hAnsi="Times New Roman" w:cs="Times New Roman"/>
          <w:color w:val="auto"/>
          <w:kern w:val="0"/>
          <w:highlight w:val="none"/>
          <w:lang w:val="zh-CN"/>
        </w:rPr>
        <w:t>电</w:t>
      </w:r>
      <w:r>
        <w:rPr>
          <w:rFonts w:hint="default" w:ascii="Times New Roman" w:hAnsi="Times New Roman" w:cs="Times New Roman"/>
          <w:color w:val="auto"/>
          <w:kern w:val="0"/>
          <w:highlight w:val="none"/>
          <w:lang w:val="en-US" w:eastAsia="zh-CN"/>
        </w:rPr>
        <w:t>锅炉</w:t>
      </w:r>
      <w:r>
        <w:rPr>
          <w:rFonts w:hint="default" w:ascii="Times New Roman" w:hAnsi="Times New Roman" w:cs="Times New Roman"/>
          <w:color w:val="auto"/>
          <w:kern w:val="0"/>
          <w:highlight w:val="none"/>
          <w:lang w:val="zh-CN"/>
        </w:rPr>
        <w:t>采暖，可满足本项目的热负荷要求</w:t>
      </w:r>
      <w:r>
        <w:rPr>
          <w:rFonts w:hint="default" w:ascii="Times New Roman" w:hAnsi="Times New Roman" w:cs="Times New Roman"/>
          <w:color w:val="auto"/>
          <w:kern w:val="0"/>
          <w:highlight w:val="none"/>
        </w:rPr>
        <w:t>。</w:t>
      </w:r>
    </w:p>
    <w:p>
      <w:pPr>
        <w:pStyle w:val="6"/>
        <w:pageBreakBefore w:val="0"/>
        <w:wordWrap/>
        <w:bidi w:val="0"/>
        <w:adjustRightInd w:val="0"/>
        <w:ind w:left="0" w:leftChars="0"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给排</w:t>
      </w:r>
      <w:r>
        <w:rPr>
          <w:rFonts w:hint="default" w:ascii="Times New Roman" w:hAnsi="Times New Roman" w:cs="Times New Roman"/>
          <w:color w:val="auto"/>
          <w:highlight w:val="none"/>
        </w:rPr>
        <w:t>水</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（1）给水</w:t>
      </w:r>
    </w:p>
    <w:p>
      <w:pPr>
        <w:pageBreakBefore w:val="0"/>
        <w:wordWrap/>
        <w:bidi w:val="0"/>
        <w:adjustRightInd w:val="0"/>
        <w:spacing w:line="360" w:lineRule="auto"/>
        <w:ind w:left="0" w:leftChars="0" w:right="0" w:rightChars="0"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eastAsia="zh-CN"/>
        </w:rPr>
        <w:t>项目用水由</w:t>
      </w:r>
      <w:r>
        <w:rPr>
          <w:rFonts w:hint="default" w:ascii="Times New Roman" w:hAnsi="Times New Roman" w:cs="Times New Roman"/>
          <w:color w:val="auto"/>
          <w:kern w:val="0"/>
          <w:sz w:val="24"/>
          <w:highlight w:val="none"/>
          <w:lang w:val="en-US" w:eastAsia="zh-CN"/>
        </w:rPr>
        <w:t>水井</w:t>
      </w:r>
      <w:r>
        <w:rPr>
          <w:rFonts w:hint="default" w:ascii="Times New Roman" w:hAnsi="Times New Roman" w:cs="Times New Roman"/>
          <w:color w:val="auto"/>
          <w:kern w:val="0"/>
          <w:sz w:val="24"/>
          <w:highlight w:val="none"/>
          <w:lang w:eastAsia="zh-CN"/>
        </w:rPr>
        <w:t>供给，</w:t>
      </w:r>
      <w:r>
        <w:rPr>
          <w:rFonts w:hint="default" w:ascii="Times New Roman" w:hAnsi="Times New Roman" w:cs="Times New Roman"/>
          <w:color w:val="auto"/>
          <w:kern w:val="0"/>
          <w:sz w:val="24"/>
          <w:highlight w:val="none"/>
        </w:rPr>
        <w:t>项目用水定额见下表。</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 xml:space="preserve">表 </w:t>
      </w:r>
      <w:r>
        <w:rPr>
          <w:rFonts w:hint="default" w:ascii="Times New Roman" w:hAnsi="Times New Roman" w:cs="Times New Roman"/>
          <w:b/>
          <w:bCs/>
          <w:color w:val="auto"/>
          <w:sz w:val="21"/>
          <w:szCs w:val="21"/>
          <w:highlight w:val="none"/>
          <w:lang w:val="en-US" w:eastAsia="zh-CN"/>
        </w:rPr>
        <w:t>3.1-4</w:t>
      </w:r>
      <w:r>
        <w:rPr>
          <w:rFonts w:hint="eastAsia" w:ascii="Times New Roman" w:hAnsi="Times New Roman" w:cs="Times New Roman"/>
          <w:b/>
          <w:bCs/>
          <w:color w:val="auto"/>
          <w:sz w:val="21"/>
          <w:szCs w:val="21"/>
          <w:highlight w:val="none"/>
          <w:lang w:val="en-US" w:eastAsia="zh-CN"/>
        </w:rPr>
        <w:t xml:space="preserve">      </w:t>
      </w:r>
      <w:r>
        <w:rPr>
          <w:rFonts w:hint="default" w:ascii="Times New Roman" w:hAnsi="Times New Roman" w:cs="Times New Roman"/>
          <w:b/>
          <w:bCs/>
          <w:color w:val="auto"/>
          <w:sz w:val="21"/>
          <w:szCs w:val="21"/>
          <w:highlight w:val="none"/>
        </w:rPr>
        <w:t>拟建项目用水定额</w:t>
      </w:r>
    </w:p>
    <w:tbl>
      <w:tblPr>
        <w:tblStyle w:val="3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19"/>
        <w:gridCol w:w="1754"/>
        <w:gridCol w:w="1574"/>
        <w:gridCol w:w="1540"/>
        <w:gridCol w:w="1588"/>
        <w:gridCol w:w="16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序号</w:t>
            </w:r>
          </w:p>
        </w:tc>
        <w:tc>
          <w:tcPr>
            <w:tcW w:w="10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用水项目</w:t>
            </w:r>
          </w:p>
        </w:tc>
        <w:tc>
          <w:tcPr>
            <w:tcW w:w="9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用水量定额</w:t>
            </w:r>
          </w:p>
        </w:tc>
        <w:tc>
          <w:tcPr>
            <w:tcW w:w="8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用水规模</w:t>
            </w:r>
          </w:p>
        </w:tc>
        <w:tc>
          <w:tcPr>
            <w:tcW w:w="9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日用水量</w:t>
            </w:r>
          </w:p>
          <w:p>
            <w:pPr>
              <w:pStyle w:val="3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m³/d</w:t>
            </w:r>
          </w:p>
        </w:tc>
        <w:tc>
          <w:tcPr>
            <w:tcW w:w="9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年用水量</w:t>
            </w:r>
          </w:p>
          <w:p>
            <w:pPr>
              <w:pStyle w:val="3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m³/a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c>
          <w:tcPr>
            <w:tcW w:w="10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生活用水</w:t>
            </w:r>
          </w:p>
        </w:tc>
        <w:tc>
          <w:tcPr>
            <w:tcW w:w="9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10</w:t>
            </w:r>
            <w:r>
              <w:rPr>
                <w:rFonts w:hint="default" w:ascii="Times New Roman" w:hAnsi="Times New Roman" w:eastAsia="宋体" w:cs="Times New Roman"/>
                <w:color w:val="auto"/>
                <w:kern w:val="0"/>
                <w:sz w:val="21"/>
                <w:szCs w:val="21"/>
                <w:highlight w:val="none"/>
              </w:rPr>
              <w:t>0L/人·d</w:t>
            </w:r>
          </w:p>
        </w:tc>
        <w:tc>
          <w:tcPr>
            <w:tcW w:w="8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5</w:t>
            </w:r>
            <w:r>
              <w:rPr>
                <w:rFonts w:hint="default" w:ascii="Times New Roman" w:hAnsi="Times New Roman" w:eastAsia="宋体" w:cs="Times New Roman"/>
                <w:color w:val="auto"/>
                <w:kern w:val="0"/>
                <w:sz w:val="21"/>
                <w:szCs w:val="21"/>
                <w:highlight w:val="none"/>
                <w:lang w:val="en-US" w:eastAsia="zh-CN"/>
              </w:rPr>
              <w:t>0</w:t>
            </w:r>
            <w:r>
              <w:rPr>
                <w:rFonts w:hint="default" w:ascii="Times New Roman" w:hAnsi="Times New Roman" w:eastAsia="宋体" w:cs="Times New Roman"/>
                <w:color w:val="auto"/>
                <w:kern w:val="0"/>
                <w:sz w:val="21"/>
                <w:szCs w:val="21"/>
                <w:highlight w:val="none"/>
              </w:rPr>
              <w:t>人</w:t>
            </w:r>
          </w:p>
        </w:tc>
        <w:tc>
          <w:tcPr>
            <w:tcW w:w="9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5</w:t>
            </w:r>
          </w:p>
        </w:tc>
        <w:tc>
          <w:tcPr>
            <w:tcW w:w="9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1825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7" w:hRule="atLeast"/>
          <w:jc w:val="center"/>
        </w:trPr>
        <w:tc>
          <w:tcPr>
            <w:tcW w:w="30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w:t>
            </w:r>
          </w:p>
        </w:tc>
        <w:tc>
          <w:tcPr>
            <w:tcW w:w="1016" w:type="pct"/>
            <w:tcBorders>
              <w:tl2br w:val="nil"/>
              <w:tr2bl w:val="nil"/>
            </w:tcBorders>
            <w:noWrap w:val="0"/>
            <w:vAlign w:val="center"/>
          </w:tcPr>
          <w:p>
            <w:pPr>
              <w:keepNext w:val="0"/>
              <w:keepLines w:val="0"/>
              <w:pageBreakBefore w:val="0"/>
              <w:widowControl w:val="0"/>
              <w:tabs>
                <w:tab w:val="left" w:pos="885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snapToGrid w:val="0"/>
                <w:color w:val="auto"/>
                <w:kern w:val="0"/>
                <w:sz w:val="21"/>
                <w:szCs w:val="21"/>
                <w:highlight w:val="none"/>
                <w:lang w:val="en-US" w:eastAsia="zh-CN"/>
              </w:rPr>
              <w:t>成年</w:t>
            </w:r>
            <w:r>
              <w:rPr>
                <w:rFonts w:hint="default" w:ascii="Times New Roman" w:hAnsi="Times New Roman" w:eastAsia="宋体" w:cs="Times New Roman"/>
                <w:snapToGrid w:val="0"/>
                <w:color w:val="auto"/>
                <w:kern w:val="0"/>
                <w:sz w:val="21"/>
                <w:szCs w:val="21"/>
                <w:highlight w:val="none"/>
              </w:rPr>
              <w:t>牛</w:t>
            </w:r>
          </w:p>
        </w:tc>
        <w:tc>
          <w:tcPr>
            <w:tcW w:w="9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Cs/>
                <w:color w:val="auto"/>
                <w:kern w:val="0"/>
                <w:sz w:val="21"/>
                <w:szCs w:val="21"/>
                <w:highlight w:val="none"/>
                <w:lang w:val="en-US" w:eastAsia="zh-CN"/>
              </w:rPr>
              <w:t>40</w:t>
            </w:r>
            <w:r>
              <w:rPr>
                <w:rFonts w:hint="default" w:ascii="Times New Roman" w:hAnsi="Times New Roman" w:eastAsia="宋体" w:cs="Times New Roman"/>
                <w:color w:val="auto"/>
                <w:kern w:val="0"/>
                <w:sz w:val="21"/>
                <w:szCs w:val="21"/>
                <w:highlight w:val="none"/>
              </w:rPr>
              <w:t>L/头·d</w:t>
            </w:r>
          </w:p>
        </w:tc>
        <w:tc>
          <w:tcPr>
            <w:tcW w:w="8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bCs/>
                <w:color w:val="auto"/>
                <w:kern w:val="0"/>
                <w:sz w:val="21"/>
                <w:szCs w:val="21"/>
                <w:highlight w:val="none"/>
                <w:lang w:val="en-US" w:eastAsia="zh-CN"/>
              </w:rPr>
              <w:t>27</w:t>
            </w:r>
            <w:r>
              <w:rPr>
                <w:rFonts w:hint="default" w:ascii="Times New Roman" w:hAnsi="Times New Roman" w:eastAsia="宋体" w:cs="Times New Roman"/>
                <w:bCs/>
                <w:color w:val="auto"/>
                <w:kern w:val="0"/>
                <w:sz w:val="21"/>
                <w:szCs w:val="21"/>
                <w:highlight w:val="none"/>
                <w:lang w:val="en-US" w:eastAsia="zh-CN"/>
              </w:rPr>
              <w:t>00</w:t>
            </w:r>
            <w:r>
              <w:rPr>
                <w:rFonts w:hint="default" w:ascii="Times New Roman" w:hAnsi="Times New Roman" w:eastAsia="宋体" w:cs="Times New Roman"/>
                <w:bCs/>
                <w:color w:val="auto"/>
                <w:kern w:val="0"/>
                <w:sz w:val="21"/>
                <w:szCs w:val="21"/>
                <w:highlight w:val="none"/>
              </w:rPr>
              <w:t>头</w:t>
            </w:r>
          </w:p>
        </w:tc>
        <w:tc>
          <w:tcPr>
            <w:tcW w:w="9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108</w:t>
            </w:r>
          </w:p>
        </w:tc>
        <w:tc>
          <w:tcPr>
            <w:tcW w:w="9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39420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0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1016" w:type="pct"/>
            <w:tcBorders>
              <w:tl2br w:val="nil"/>
              <w:tr2bl w:val="nil"/>
            </w:tcBorders>
            <w:noWrap w:val="0"/>
            <w:vAlign w:val="center"/>
          </w:tcPr>
          <w:p>
            <w:pPr>
              <w:keepNext w:val="0"/>
              <w:keepLines w:val="0"/>
              <w:pageBreakBefore w:val="0"/>
              <w:widowControl w:val="0"/>
              <w:tabs>
                <w:tab w:val="left" w:pos="885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0"/>
                <w:sz w:val="21"/>
                <w:szCs w:val="21"/>
                <w:highlight w:val="none"/>
                <w:lang w:eastAsia="zh-CN"/>
              </w:rPr>
            </w:pPr>
            <w:r>
              <w:rPr>
                <w:rFonts w:hint="eastAsia" w:cs="Times New Roman"/>
                <w:snapToGrid w:val="0"/>
                <w:color w:val="auto"/>
                <w:kern w:val="0"/>
                <w:sz w:val="21"/>
                <w:szCs w:val="21"/>
                <w:highlight w:val="none"/>
                <w:lang w:eastAsia="zh-CN"/>
              </w:rPr>
              <w:t>牛犊</w:t>
            </w:r>
          </w:p>
        </w:tc>
        <w:tc>
          <w:tcPr>
            <w:tcW w:w="9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5L</w:t>
            </w:r>
            <w:r>
              <w:rPr>
                <w:rFonts w:hint="default" w:ascii="Times New Roman" w:hAnsi="Times New Roman" w:eastAsia="宋体" w:cs="Times New Roman"/>
                <w:color w:val="auto"/>
                <w:kern w:val="0"/>
                <w:sz w:val="21"/>
                <w:szCs w:val="21"/>
                <w:highlight w:val="none"/>
              </w:rPr>
              <w:t>/头·d</w:t>
            </w:r>
          </w:p>
        </w:tc>
        <w:tc>
          <w:tcPr>
            <w:tcW w:w="8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cs="Times New Roman"/>
                <w:bCs/>
                <w:color w:val="auto"/>
                <w:kern w:val="0"/>
                <w:sz w:val="21"/>
                <w:szCs w:val="21"/>
                <w:highlight w:val="none"/>
                <w:lang w:val="en-US" w:eastAsia="zh-CN"/>
              </w:rPr>
              <w:t>300</w:t>
            </w:r>
            <w:r>
              <w:rPr>
                <w:rFonts w:hint="default" w:ascii="Times New Roman" w:hAnsi="Times New Roman" w:eastAsia="宋体" w:cs="Times New Roman"/>
                <w:bCs/>
                <w:color w:val="auto"/>
                <w:kern w:val="0"/>
                <w:sz w:val="21"/>
                <w:szCs w:val="21"/>
                <w:highlight w:val="none"/>
              </w:rPr>
              <w:t>头</w:t>
            </w:r>
          </w:p>
        </w:tc>
        <w:tc>
          <w:tcPr>
            <w:tcW w:w="9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1.5</w:t>
            </w:r>
          </w:p>
        </w:tc>
        <w:tc>
          <w:tcPr>
            <w:tcW w:w="9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yellow"/>
                <w:lang w:val="en-US" w:eastAsia="zh-CN"/>
              </w:rPr>
            </w:pPr>
            <w:r>
              <w:rPr>
                <w:rFonts w:hint="default" w:ascii="Times New Roman" w:hAnsi="Times New Roman" w:cs="Times New Roman"/>
                <w:color w:val="auto"/>
                <w:kern w:val="0"/>
                <w:sz w:val="21"/>
                <w:szCs w:val="21"/>
                <w:highlight w:val="none"/>
                <w:lang w:val="en-US" w:eastAsia="zh-CN"/>
              </w:rPr>
              <w:t>547.5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w:t>
            </w:r>
          </w:p>
        </w:tc>
        <w:tc>
          <w:tcPr>
            <w:tcW w:w="1016" w:type="pct"/>
            <w:tcBorders>
              <w:tl2br w:val="nil"/>
              <w:tr2bl w:val="nil"/>
            </w:tcBorders>
            <w:noWrap w:val="0"/>
            <w:vAlign w:val="center"/>
          </w:tcPr>
          <w:p>
            <w:pPr>
              <w:keepNext w:val="0"/>
              <w:keepLines w:val="0"/>
              <w:pageBreakBefore w:val="0"/>
              <w:widowControl w:val="0"/>
              <w:tabs>
                <w:tab w:val="left" w:pos="885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eastAsia" w:cs="Times New Roman"/>
                <w:snapToGrid w:val="0"/>
                <w:color w:val="auto"/>
                <w:kern w:val="0"/>
                <w:sz w:val="21"/>
                <w:szCs w:val="21"/>
                <w:highlight w:val="none"/>
                <w:lang w:eastAsia="zh-CN"/>
              </w:rPr>
              <w:t>设备</w:t>
            </w:r>
            <w:r>
              <w:rPr>
                <w:rFonts w:hint="eastAsia" w:cs="Times New Roman"/>
                <w:snapToGrid w:val="0"/>
                <w:color w:val="auto"/>
                <w:kern w:val="0"/>
                <w:sz w:val="21"/>
                <w:szCs w:val="21"/>
                <w:highlight w:val="none"/>
                <w:lang w:val="en-US" w:eastAsia="zh-CN"/>
              </w:rPr>
              <w:t>及</w:t>
            </w:r>
            <w:r>
              <w:rPr>
                <w:rFonts w:hint="eastAsia" w:cs="Times New Roman"/>
                <w:snapToGrid w:val="0"/>
                <w:color w:val="auto"/>
                <w:kern w:val="0"/>
                <w:sz w:val="21"/>
                <w:szCs w:val="21"/>
                <w:highlight w:val="none"/>
                <w:lang w:eastAsia="zh-CN"/>
              </w:rPr>
              <w:t>地面</w:t>
            </w:r>
            <w:r>
              <w:rPr>
                <w:rFonts w:hint="eastAsia" w:cs="Times New Roman"/>
                <w:snapToGrid w:val="0"/>
                <w:color w:val="auto"/>
                <w:kern w:val="0"/>
                <w:sz w:val="21"/>
                <w:szCs w:val="21"/>
                <w:highlight w:val="none"/>
                <w:lang w:val="en-US" w:eastAsia="zh-CN"/>
              </w:rPr>
              <w:t>冲洗</w:t>
            </w:r>
            <w:r>
              <w:rPr>
                <w:rFonts w:hint="eastAsia" w:cs="Times New Roman"/>
                <w:snapToGrid w:val="0"/>
                <w:color w:val="auto"/>
                <w:kern w:val="0"/>
                <w:sz w:val="21"/>
                <w:szCs w:val="21"/>
                <w:highlight w:val="none"/>
                <w:lang w:eastAsia="zh-CN"/>
              </w:rPr>
              <w:t>水</w:t>
            </w:r>
          </w:p>
        </w:tc>
        <w:tc>
          <w:tcPr>
            <w:tcW w:w="9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3000</w:t>
            </w:r>
            <w:r>
              <w:rPr>
                <w:rFonts w:hint="default" w:ascii="Times New Roman" w:hAnsi="Times New Roman" w:eastAsia="宋体" w:cs="Times New Roman"/>
                <w:color w:val="auto"/>
                <w:kern w:val="0"/>
                <w:sz w:val="21"/>
                <w:szCs w:val="21"/>
                <w:highlight w:val="none"/>
              </w:rPr>
              <w:t>L/·d</w:t>
            </w:r>
          </w:p>
        </w:tc>
        <w:tc>
          <w:tcPr>
            <w:tcW w:w="8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c>
          <w:tcPr>
            <w:tcW w:w="9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3</w:t>
            </w:r>
          </w:p>
        </w:tc>
        <w:tc>
          <w:tcPr>
            <w:tcW w:w="9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1095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w:t>
            </w:r>
          </w:p>
        </w:tc>
        <w:tc>
          <w:tcPr>
            <w:tcW w:w="1016" w:type="pct"/>
            <w:tcBorders>
              <w:tl2br w:val="nil"/>
              <w:tr2bl w:val="nil"/>
            </w:tcBorders>
            <w:noWrap w:val="0"/>
            <w:vAlign w:val="center"/>
          </w:tcPr>
          <w:p>
            <w:pPr>
              <w:keepNext w:val="0"/>
              <w:keepLines w:val="0"/>
              <w:pageBreakBefore w:val="0"/>
              <w:widowControl w:val="0"/>
              <w:tabs>
                <w:tab w:val="left" w:pos="885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消毒用水</w:t>
            </w:r>
          </w:p>
        </w:tc>
        <w:tc>
          <w:tcPr>
            <w:tcW w:w="9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100</w:t>
            </w:r>
            <w:r>
              <w:rPr>
                <w:rFonts w:hint="default" w:ascii="Times New Roman" w:hAnsi="Times New Roman" w:eastAsia="宋体" w:cs="Times New Roman"/>
                <w:color w:val="auto"/>
                <w:kern w:val="0"/>
                <w:sz w:val="21"/>
                <w:szCs w:val="21"/>
                <w:highlight w:val="none"/>
              </w:rPr>
              <w:t>L/·d</w:t>
            </w:r>
          </w:p>
        </w:tc>
        <w:tc>
          <w:tcPr>
            <w:tcW w:w="8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9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0.1</w:t>
            </w:r>
          </w:p>
        </w:tc>
        <w:tc>
          <w:tcPr>
            <w:tcW w:w="9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041"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合计</w:t>
            </w:r>
          </w:p>
        </w:tc>
        <w:tc>
          <w:tcPr>
            <w:tcW w:w="9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42924</w:t>
            </w:r>
          </w:p>
        </w:tc>
      </w:tr>
    </w:tbl>
    <w:p>
      <w:pPr>
        <w:keepNext w:val="0"/>
        <w:keepLines w:val="0"/>
        <w:pageBreakBefore w:val="0"/>
        <w:widowControl w:val="0"/>
        <w:kinsoku/>
        <w:wordWrap/>
        <w:overflowPunct/>
        <w:topLinePunct w:val="0"/>
        <w:autoSpaceDE/>
        <w:autoSpaceDN/>
        <w:bidi w:val="0"/>
        <w:adjustRightInd w:val="0"/>
        <w:snapToGrid w:val="0"/>
        <w:spacing w:before="157" w:beforeLines="50"/>
        <w:ind w:left="0" w:leftChars="0" w:right="0" w:rightChars="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（2）排水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08" w:firstLineChars="200"/>
        <w:jc w:val="both"/>
        <w:textAlignment w:val="auto"/>
        <w:rPr>
          <w:rFonts w:hint="default" w:ascii="Times New Roman" w:hAnsi="Times New Roman" w:eastAsia="宋体" w:cs="Times New Roman"/>
          <w:color w:val="auto"/>
          <w:sz w:val="24"/>
          <w:szCs w:val="24"/>
          <w:highlight w:val="none"/>
        </w:rPr>
      </w:pPr>
      <w:bookmarkStart w:id="132" w:name="_Toc2014"/>
      <w:bookmarkStart w:id="133" w:name="_Toc15654"/>
      <w:r>
        <w:rPr>
          <w:rFonts w:hint="default" w:ascii="Times New Roman" w:hAnsi="Times New Roman" w:eastAsia="宋体" w:cs="Times New Roman"/>
          <w:color w:val="auto"/>
          <w:spacing w:val="7"/>
          <w:sz w:val="24"/>
          <w:szCs w:val="24"/>
          <w:highlight w:val="none"/>
        </w:rPr>
        <w:t>本项目运营建设的牛舍采用干清粪技术，养殖过程中产生的粪便和尿液进</w:t>
      </w:r>
      <w:r>
        <w:rPr>
          <w:rFonts w:hint="default" w:ascii="Times New Roman" w:hAnsi="Times New Roman" w:eastAsia="宋体" w:cs="Times New Roman"/>
          <w:color w:val="auto"/>
          <w:spacing w:val="2"/>
          <w:sz w:val="24"/>
          <w:szCs w:val="24"/>
          <w:highlight w:val="none"/>
        </w:rPr>
        <w:t>入</w:t>
      </w:r>
      <w:r>
        <w:rPr>
          <w:rFonts w:hint="default" w:ascii="Times New Roman" w:hAnsi="Times New Roman" w:eastAsia="宋体" w:cs="Times New Roman"/>
          <w:color w:val="auto"/>
          <w:spacing w:val="9"/>
          <w:sz w:val="24"/>
          <w:szCs w:val="24"/>
          <w:highlight w:val="none"/>
        </w:rPr>
        <w:t>堆</w:t>
      </w:r>
      <w:r>
        <w:rPr>
          <w:rFonts w:hint="default" w:ascii="Times New Roman" w:hAnsi="Times New Roman" w:eastAsia="宋体" w:cs="Times New Roman"/>
          <w:color w:val="auto"/>
          <w:spacing w:val="7"/>
          <w:sz w:val="24"/>
          <w:szCs w:val="24"/>
          <w:highlight w:val="none"/>
        </w:rPr>
        <w:t>粪场中好氧发酵；进出场内的车辆及圈舍消毒</w:t>
      </w:r>
      <w:r>
        <w:rPr>
          <w:rFonts w:hint="default" w:ascii="Times New Roman" w:hAnsi="Times New Roman" w:eastAsia="宋体" w:cs="Times New Roman"/>
          <w:color w:val="auto"/>
          <w:spacing w:val="9"/>
          <w:sz w:val="24"/>
          <w:szCs w:val="24"/>
          <w:highlight w:val="none"/>
        </w:rPr>
        <w:t>采</w:t>
      </w:r>
      <w:r>
        <w:rPr>
          <w:rFonts w:hint="default" w:ascii="Times New Roman" w:hAnsi="Times New Roman" w:eastAsia="宋体" w:cs="Times New Roman"/>
          <w:color w:val="auto"/>
          <w:spacing w:val="7"/>
          <w:sz w:val="24"/>
          <w:szCs w:val="24"/>
          <w:highlight w:val="none"/>
        </w:rPr>
        <w:t>用喷洒式消毒方式，自然蒸发无径流产生；项目区内仅进行简单的药物治疗和</w:t>
      </w:r>
      <w:r>
        <w:rPr>
          <w:rFonts w:hint="default" w:ascii="Times New Roman" w:hAnsi="Times New Roman" w:eastAsia="宋体" w:cs="Times New Roman"/>
          <w:color w:val="auto"/>
          <w:spacing w:val="14"/>
          <w:sz w:val="24"/>
          <w:szCs w:val="24"/>
          <w:highlight w:val="none"/>
        </w:rPr>
        <w:t>防</w:t>
      </w:r>
      <w:r>
        <w:rPr>
          <w:rFonts w:hint="default" w:ascii="Times New Roman" w:hAnsi="Times New Roman" w:eastAsia="宋体" w:cs="Times New Roman"/>
          <w:color w:val="auto"/>
          <w:spacing w:val="9"/>
          <w:sz w:val="24"/>
          <w:szCs w:val="24"/>
          <w:highlight w:val="none"/>
        </w:rPr>
        <w:t>疫工作，无化验项目，因此项目不产生医疗废水。</w:t>
      </w:r>
    </w:p>
    <w:p>
      <w:pPr>
        <w:pageBreakBefore w:val="0"/>
        <w:wordWrap/>
        <w:bidi w:val="0"/>
        <w:adjustRightInd w:val="0"/>
        <w:spacing w:line="360" w:lineRule="auto"/>
        <w:ind w:left="0" w:leftChars="0" w:right="0" w:righ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根据《畜禽养殖业污染治理工程技术规范》（HJ 497－2009），牛尿液排放量按0.01</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rPr>
        <w:t>/只·d计，项目奶牛存栏</w:t>
      </w:r>
      <w:r>
        <w:rPr>
          <w:rFonts w:hint="default" w:ascii="Times New Roman" w:hAnsi="Times New Roman" w:cs="Times New Roman"/>
          <w:color w:val="auto"/>
          <w:sz w:val="24"/>
          <w:highlight w:val="none"/>
          <w:lang w:val="en-US" w:eastAsia="zh-CN"/>
        </w:rPr>
        <w:t>3000</w:t>
      </w:r>
      <w:r>
        <w:rPr>
          <w:rFonts w:hint="default" w:ascii="Times New Roman" w:hAnsi="Times New Roman" w:cs="Times New Roman"/>
          <w:color w:val="auto"/>
          <w:sz w:val="24"/>
          <w:highlight w:val="none"/>
        </w:rPr>
        <w:t>头，排放量</w:t>
      </w:r>
      <w:r>
        <w:rPr>
          <w:rFonts w:hint="default" w:ascii="Times New Roman" w:hAnsi="Times New Roman" w:cs="Times New Roman"/>
          <w:color w:val="auto"/>
          <w:sz w:val="24"/>
          <w:highlight w:val="none"/>
          <w:lang w:val="en-US" w:eastAsia="zh-CN"/>
        </w:rPr>
        <w:t>30m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rPr>
        <w:t>/d（</w:t>
      </w:r>
      <w:r>
        <w:rPr>
          <w:rFonts w:hint="default" w:ascii="Times New Roman" w:hAnsi="Times New Roman" w:cs="Times New Roman"/>
          <w:color w:val="auto"/>
          <w:sz w:val="24"/>
          <w:highlight w:val="none"/>
          <w:lang w:val="en-US" w:eastAsia="zh-CN"/>
        </w:rPr>
        <w:t>10950</w:t>
      </w:r>
      <w:r>
        <w:rPr>
          <w:rFonts w:hint="default" w:ascii="Times New Roman" w:hAnsi="Times New Roman" w:cs="Times New Roman"/>
          <w:color w:val="auto"/>
          <w:sz w:val="24"/>
          <w:highlight w:val="none"/>
        </w:rPr>
        <w:t>m³/a）</w:t>
      </w:r>
      <w:r>
        <w:rPr>
          <w:rFonts w:hint="default" w:ascii="Times New Roman" w:hAnsi="Times New Roman" w:cs="Times New Roman"/>
          <w:color w:val="auto"/>
          <w:sz w:val="24"/>
          <w:highlight w:val="none"/>
          <w:lang w:eastAsia="zh-CN"/>
        </w:rPr>
        <w:t>。</w:t>
      </w:r>
    </w:p>
    <w:p>
      <w:pPr>
        <w:pageBreakBefore w:val="0"/>
        <w:wordWrap/>
        <w:bidi w:val="0"/>
        <w:adjustRightInd w:val="0"/>
        <w:spacing w:line="360" w:lineRule="auto"/>
        <w:ind w:left="0" w:leftChars="0" w:right="0" w:rightChars="0" w:firstLine="480" w:firstLineChars="200"/>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highlight w:val="none"/>
        </w:rPr>
        <w:t>职工生活污水排放按用水</w:t>
      </w:r>
      <w:r>
        <w:rPr>
          <w:rFonts w:hint="default" w:ascii="Times New Roman" w:hAnsi="Times New Roman" w:cs="Times New Roman"/>
          <w:color w:val="auto"/>
          <w:sz w:val="24"/>
          <w:szCs w:val="22"/>
          <w:highlight w:val="none"/>
        </w:rPr>
        <w:t>量的80%计，排放量</w:t>
      </w:r>
      <w:r>
        <w:rPr>
          <w:rFonts w:hint="default" w:ascii="Times New Roman" w:hAnsi="Times New Roman" w:cs="Times New Roman"/>
          <w:color w:val="auto"/>
          <w:sz w:val="24"/>
          <w:szCs w:val="22"/>
          <w:highlight w:val="none"/>
          <w:lang w:val="en-US" w:eastAsia="zh-CN"/>
        </w:rPr>
        <w:t>为4</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rPr>
        <w:t>/d</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szCs w:val="22"/>
          <w:highlight w:val="none"/>
          <w:lang w:val="en-US" w:eastAsia="zh-CN"/>
        </w:rPr>
        <w:t>1460</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szCs w:val="22"/>
          <w:highlight w:val="none"/>
        </w:rPr>
        <w:t>/a</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szCs w:val="22"/>
          <w:highlight w:val="none"/>
        </w:rPr>
        <w:t>。</w:t>
      </w:r>
    </w:p>
    <w:p>
      <w:pPr>
        <w:pageBreakBefore w:val="0"/>
        <w:wordWrap/>
        <w:bidi w:val="0"/>
        <w:adjustRightInd w:val="0"/>
        <w:spacing w:line="360" w:lineRule="auto"/>
        <w:ind w:left="0" w:leftChars="0" w:right="0" w:rightChars="0"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highlight w:val="none"/>
        </w:rPr>
        <w:t>项目区</w:t>
      </w:r>
      <w:r>
        <w:rPr>
          <w:rFonts w:hint="eastAsia" w:ascii="Times New Roman" w:hAnsi="Times New Roman" w:cs="Times New Roman"/>
          <w:color w:val="auto"/>
          <w:sz w:val="24"/>
          <w:highlight w:val="none"/>
          <w:lang w:val="en-US" w:eastAsia="zh-CN"/>
        </w:rPr>
        <w:t>用水包括挤奶设备冲洗水、地面冲洗水。</w:t>
      </w:r>
      <w:r>
        <w:rPr>
          <w:rFonts w:hint="default" w:ascii="Times New Roman" w:hAnsi="Times New Roman" w:cs="Times New Roman"/>
          <w:color w:val="auto"/>
          <w:sz w:val="24"/>
          <w:szCs w:val="24"/>
          <w:highlight w:val="none"/>
        </w:rPr>
        <w:t>根据业主提供资料，项目</w:t>
      </w:r>
      <w:r>
        <w:rPr>
          <w:rFonts w:hint="eastAsia" w:cs="Times New Roman"/>
          <w:color w:val="auto"/>
          <w:sz w:val="24"/>
          <w:szCs w:val="24"/>
          <w:highlight w:val="none"/>
          <w:lang w:eastAsia="zh-CN"/>
        </w:rPr>
        <w:t>冲洗设备及地面</w:t>
      </w:r>
      <w:r>
        <w:rPr>
          <w:rFonts w:hint="default" w:ascii="Times New Roman" w:hAnsi="Times New Roman" w:cs="Times New Roman"/>
          <w:color w:val="auto"/>
          <w:sz w:val="24"/>
          <w:szCs w:val="24"/>
          <w:highlight w:val="none"/>
        </w:rPr>
        <w:t>用水量为</w:t>
      </w:r>
      <w:r>
        <w:rPr>
          <w:rFonts w:hint="default" w:ascii="Times New Roman" w:hAnsi="Times New Roman" w:eastAsia="Times New Roman" w:cs="Times New Roman"/>
          <w:color w:val="auto"/>
          <w:spacing w:val="4"/>
          <w:sz w:val="24"/>
          <w:szCs w:val="24"/>
          <w:highlight w:val="none"/>
        </w:rPr>
        <w:t>3</w:t>
      </w:r>
      <w:r>
        <w:rPr>
          <w:rFonts w:hint="default" w:ascii="Times New Roman" w:hAnsi="Times New Roman" w:eastAsia="Times New Roman" w:cs="Times New Roman"/>
          <w:color w:val="auto"/>
          <w:sz w:val="24"/>
          <w:szCs w:val="24"/>
          <w:highlight w:val="none"/>
        </w:rPr>
        <w:t>m</w:t>
      </w:r>
      <w:r>
        <w:rPr>
          <w:rFonts w:hint="default" w:ascii="Times New Roman" w:hAnsi="Times New Roman" w:eastAsia="Times New Roman" w:cs="Times New Roman"/>
          <w:color w:val="auto"/>
          <w:spacing w:val="6"/>
          <w:position w:val="0"/>
          <w:sz w:val="24"/>
          <w:szCs w:val="24"/>
          <w:highlight w:val="none"/>
          <w:vertAlign w:val="superscript"/>
        </w:rPr>
        <w:t>3</w:t>
      </w:r>
      <w:r>
        <w:rPr>
          <w:rFonts w:hint="default" w:ascii="Times New Roman" w:hAnsi="Times New Roman" w:eastAsia="Times New Roman" w:cs="Times New Roman"/>
          <w:color w:val="auto"/>
          <w:spacing w:val="4"/>
          <w:sz w:val="24"/>
          <w:szCs w:val="24"/>
          <w:highlight w:val="none"/>
        </w:rPr>
        <w:t>/</w:t>
      </w:r>
      <w:r>
        <w:rPr>
          <w:rFonts w:hint="default" w:ascii="Times New Roman" w:hAnsi="Times New Roman" w:eastAsia="Times New Roman" w:cs="Times New Roman"/>
          <w:color w:val="auto"/>
          <w:sz w:val="24"/>
          <w:szCs w:val="24"/>
          <w:highlight w:val="none"/>
        </w:rPr>
        <w:t>d</w:t>
      </w:r>
      <w:r>
        <w:rPr>
          <w:rFonts w:hint="default" w:ascii="Times New Roman" w:hAnsi="Times New Roman" w:eastAsia="宋体" w:cs="Times New Roman"/>
          <w:color w:val="auto"/>
          <w:spacing w:val="4"/>
          <w:sz w:val="24"/>
          <w:szCs w:val="24"/>
          <w:highlight w:val="none"/>
        </w:rPr>
        <w:t>，</w:t>
      </w:r>
      <w:r>
        <w:rPr>
          <w:rFonts w:hint="default" w:ascii="Times New Roman" w:hAnsi="Times New Roman" w:eastAsia="Times New Roman" w:cs="Times New Roman"/>
          <w:color w:val="auto"/>
          <w:spacing w:val="4"/>
          <w:sz w:val="24"/>
          <w:szCs w:val="24"/>
          <w:highlight w:val="none"/>
        </w:rPr>
        <w:t>1095</w:t>
      </w:r>
      <w:r>
        <w:rPr>
          <w:rFonts w:hint="default" w:ascii="Times New Roman" w:hAnsi="Times New Roman" w:eastAsia="Times New Roman" w:cs="Times New Roman"/>
          <w:color w:val="auto"/>
          <w:sz w:val="24"/>
          <w:szCs w:val="24"/>
          <w:highlight w:val="none"/>
        </w:rPr>
        <w:t>m</w:t>
      </w:r>
      <w:r>
        <w:rPr>
          <w:rFonts w:hint="default" w:ascii="Times New Roman" w:hAnsi="Times New Roman" w:eastAsia="Times New Roman" w:cs="Times New Roman"/>
          <w:color w:val="auto"/>
          <w:spacing w:val="6"/>
          <w:position w:val="0"/>
          <w:sz w:val="24"/>
          <w:szCs w:val="24"/>
          <w:highlight w:val="none"/>
          <w:vertAlign w:val="superscript"/>
        </w:rPr>
        <w:t>3</w:t>
      </w:r>
      <w:r>
        <w:rPr>
          <w:rFonts w:hint="default" w:ascii="Times New Roman" w:hAnsi="Times New Roman" w:eastAsia="Times New Roman" w:cs="Times New Roman"/>
          <w:color w:val="auto"/>
          <w:spacing w:val="4"/>
          <w:sz w:val="24"/>
          <w:szCs w:val="24"/>
          <w:highlight w:val="none"/>
        </w:rPr>
        <w:t>/</w:t>
      </w:r>
      <w:r>
        <w:rPr>
          <w:rFonts w:hint="default" w:ascii="Times New Roman" w:hAnsi="Times New Roman" w:eastAsia="Times New Roman" w:cs="Times New Roman"/>
          <w:color w:val="auto"/>
          <w:sz w:val="24"/>
          <w:szCs w:val="24"/>
          <w:highlight w:val="none"/>
        </w:rPr>
        <w:t>a</w:t>
      </w:r>
      <w:r>
        <w:rPr>
          <w:rFonts w:hint="default" w:ascii="Times New Roman" w:hAnsi="Times New Roman" w:eastAsia="宋体" w:cs="Times New Roman"/>
          <w:color w:val="auto"/>
          <w:spacing w:val="4"/>
          <w:sz w:val="24"/>
          <w:szCs w:val="24"/>
          <w:highlight w:val="none"/>
        </w:rPr>
        <w:t>，损失量以</w:t>
      </w:r>
      <w:r>
        <w:rPr>
          <w:rFonts w:hint="default" w:ascii="Times New Roman" w:hAnsi="Times New Roman" w:eastAsia="Times New Roman" w:cs="Times New Roman"/>
          <w:color w:val="auto"/>
          <w:spacing w:val="4"/>
          <w:sz w:val="24"/>
          <w:szCs w:val="24"/>
          <w:highlight w:val="none"/>
        </w:rPr>
        <w:t>0.8</w:t>
      </w:r>
      <w:r>
        <w:rPr>
          <w:rFonts w:hint="default" w:ascii="Times New Roman" w:hAnsi="Times New Roman" w:eastAsia="宋体" w:cs="Times New Roman"/>
          <w:color w:val="auto"/>
          <w:spacing w:val="4"/>
          <w:sz w:val="24"/>
          <w:szCs w:val="24"/>
          <w:highlight w:val="none"/>
        </w:rPr>
        <w:t>计，废水排放量为</w:t>
      </w:r>
      <w:r>
        <w:rPr>
          <w:rFonts w:hint="default" w:ascii="Times New Roman" w:hAnsi="Times New Roman" w:eastAsia="Times New Roman" w:cs="Times New Roman"/>
          <w:color w:val="auto"/>
          <w:spacing w:val="5"/>
          <w:sz w:val="24"/>
          <w:szCs w:val="24"/>
          <w:highlight w:val="none"/>
        </w:rPr>
        <w:t>2.4</w:t>
      </w:r>
      <w:r>
        <w:rPr>
          <w:rFonts w:hint="default" w:ascii="Times New Roman" w:hAnsi="Times New Roman" w:eastAsia="Times New Roman" w:cs="Times New Roman"/>
          <w:color w:val="auto"/>
          <w:sz w:val="24"/>
          <w:szCs w:val="24"/>
          <w:highlight w:val="none"/>
        </w:rPr>
        <w:t>m</w:t>
      </w:r>
      <w:r>
        <w:rPr>
          <w:rFonts w:hint="default" w:ascii="Times New Roman" w:hAnsi="Times New Roman" w:eastAsia="Times New Roman" w:cs="Times New Roman"/>
          <w:color w:val="auto"/>
          <w:spacing w:val="6"/>
          <w:position w:val="0"/>
          <w:sz w:val="24"/>
          <w:szCs w:val="24"/>
          <w:highlight w:val="none"/>
          <w:vertAlign w:val="superscript"/>
        </w:rPr>
        <w:t>3</w:t>
      </w:r>
      <w:r>
        <w:rPr>
          <w:rFonts w:hint="default" w:ascii="Times New Roman" w:hAnsi="Times New Roman" w:eastAsia="Times New Roman" w:cs="Times New Roman"/>
          <w:color w:val="auto"/>
          <w:spacing w:val="5"/>
          <w:sz w:val="24"/>
          <w:szCs w:val="24"/>
          <w:highlight w:val="none"/>
        </w:rPr>
        <w:t>/</w:t>
      </w:r>
      <w:r>
        <w:rPr>
          <w:rFonts w:hint="default" w:ascii="Times New Roman" w:hAnsi="Times New Roman" w:eastAsia="Times New Roman" w:cs="Times New Roman"/>
          <w:color w:val="auto"/>
          <w:sz w:val="24"/>
          <w:szCs w:val="24"/>
          <w:highlight w:val="none"/>
        </w:rPr>
        <w:t>d</w:t>
      </w:r>
      <w:r>
        <w:rPr>
          <w:rFonts w:hint="default" w:ascii="Times New Roman" w:hAnsi="Times New Roman" w:eastAsia="宋体" w:cs="Times New Roman"/>
          <w:color w:val="auto"/>
          <w:spacing w:val="5"/>
          <w:sz w:val="24"/>
          <w:szCs w:val="24"/>
          <w:highlight w:val="none"/>
        </w:rPr>
        <w:t>，</w:t>
      </w:r>
      <w:r>
        <w:rPr>
          <w:rFonts w:hint="default" w:ascii="Times New Roman" w:hAnsi="Times New Roman" w:eastAsia="Times New Roman" w:cs="Times New Roman"/>
          <w:color w:val="auto"/>
          <w:spacing w:val="5"/>
          <w:sz w:val="24"/>
          <w:szCs w:val="24"/>
          <w:highlight w:val="none"/>
        </w:rPr>
        <w:t>876</w:t>
      </w:r>
      <w:r>
        <w:rPr>
          <w:rFonts w:hint="default" w:ascii="Times New Roman" w:hAnsi="Times New Roman" w:eastAsia="Times New Roman" w:cs="Times New Roman"/>
          <w:color w:val="auto"/>
          <w:sz w:val="24"/>
          <w:szCs w:val="24"/>
          <w:highlight w:val="none"/>
        </w:rPr>
        <w:t>m</w:t>
      </w:r>
      <w:r>
        <w:rPr>
          <w:rFonts w:hint="default" w:ascii="Times New Roman" w:hAnsi="Times New Roman" w:eastAsia="Times New Roman" w:cs="Times New Roman"/>
          <w:color w:val="auto"/>
          <w:spacing w:val="6"/>
          <w:position w:val="0"/>
          <w:sz w:val="24"/>
          <w:szCs w:val="24"/>
          <w:highlight w:val="none"/>
          <w:vertAlign w:val="superscript"/>
        </w:rPr>
        <w:t>3</w:t>
      </w:r>
      <w:r>
        <w:rPr>
          <w:rFonts w:hint="default" w:ascii="Times New Roman" w:hAnsi="Times New Roman" w:eastAsia="Times New Roman" w:cs="Times New Roman"/>
          <w:color w:val="auto"/>
          <w:spacing w:val="5"/>
          <w:sz w:val="24"/>
          <w:szCs w:val="24"/>
          <w:highlight w:val="none"/>
        </w:rPr>
        <w:t>/</w:t>
      </w:r>
      <w:r>
        <w:rPr>
          <w:rFonts w:hint="default" w:ascii="Times New Roman" w:hAnsi="Times New Roman" w:eastAsia="Times New Roman" w:cs="Times New Roman"/>
          <w:color w:val="auto"/>
          <w:sz w:val="24"/>
          <w:szCs w:val="24"/>
          <w:highlight w:val="none"/>
        </w:rPr>
        <w:t>a</w:t>
      </w:r>
      <w:r>
        <w:rPr>
          <w:rFonts w:hint="default" w:ascii="Times New Roman" w:hAnsi="Times New Roman" w:cs="Times New Roman"/>
          <w:color w:val="auto"/>
          <w:sz w:val="24"/>
          <w:szCs w:val="24"/>
          <w:highlight w:val="none"/>
          <w:lang w:eastAsia="zh-CN"/>
        </w:rPr>
        <w:t>。</w:t>
      </w:r>
    </w:p>
    <w:p>
      <w:pPr>
        <w:pageBreakBefore w:val="0"/>
        <w:wordWrap/>
        <w:bidi w:val="0"/>
        <w:adjustRightInd w:val="0"/>
        <w:spacing w:line="360" w:lineRule="auto"/>
        <w:ind w:left="0" w:leftChars="0" w:right="0" w:righ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厂内采用雨污分流制，设雨水排水沟，雨水经排水沟</w:t>
      </w:r>
      <w:r>
        <w:rPr>
          <w:rFonts w:hint="default" w:ascii="Times New Roman" w:hAnsi="Times New Roman" w:cs="Times New Roman"/>
          <w:color w:val="auto"/>
          <w:highlight w:val="none"/>
        </w:rPr>
        <w:t>排至绿化带</w:t>
      </w:r>
      <w:r>
        <w:rPr>
          <w:rFonts w:hint="default" w:ascii="Times New Roman" w:hAnsi="Times New Roman" w:cs="Times New Roman"/>
          <w:color w:val="auto"/>
          <w:sz w:val="24"/>
          <w:highlight w:val="none"/>
        </w:rPr>
        <w:t>；</w:t>
      </w:r>
      <w:r>
        <w:rPr>
          <w:rFonts w:hint="default" w:ascii="Times New Roman" w:hAnsi="Times New Roman" w:cs="Times New Roman"/>
          <w:color w:val="auto"/>
          <w:sz w:val="24"/>
          <w:szCs w:val="24"/>
          <w:highlight w:val="none"/>
          <w:lang w:eastAsia="zh-CN"/>
        </w:rPr>
        <w:t>设备</w:t>
      </w:r>
      <w:r>
        <w:rPr>
          <w:rFonts w:hint="eastAsia" w:cs="Times New Roman"/>
          <w:color w:val="auto"/>
          <w:sz w:val="24"/>
          <w:szCs w:val="24"/>
          <w:highlight w:val="none"/>
          <w:lang w:eastAsia="zh-CN"/>
        </w:rPr>
        <w:t>清洗废水</w:t>
      </w:r>
      <w:r>
        <w:rPr>
          <w:rFonts w:hint="default" w:ascii="Times New Roman" w:hAnsi="Times New Roman" w:cs="Times New Roman"/>
          <w:color w:val="auto"/>
          <w:sz w:val="24"/>
          <w:szCs w:val="24"/>
          <w:highlight w:val="none"/>
          <w:lang w:eastAsia="zh-CN"/>
        </w:rPr>
        <w:t>及</w:t>
      </w:r>
      <w:r>
        <w:rPr>
          <w:rFonts w:hint="default" w:ascii="Times New Roman" w:hAnsi="Times New Roman" w:cs="Times New Roman"/>
          <w:color w:val="auto"/>
          <w:sz w:val="24"/>
          <w:highlight w:val="none"/>
        </w:rPr>
        <w:t>生活污水经</w:t>
      </w:r>
      <w:r>
        <w:rPr>
          <w:rFonts w:hint="default" w:ascii="Times New Roman" w:hAnsi="Times New Roman" w:cs="Times New Roman"/>
          <w:color w:val="auto"/>
          <w:sz w:val="24"/>
          <w:highlight w:val="none"/>
          <w:lang w:eastAsia="zh-CN"/>
        </w:rPr>
        <w:t>集污池收集</w:t>
      </w:r>
      <w:r>
        <w:rPr>
          <w:rFonts w:hint="default" w:ascii="Times New Roman" w:hAnsi="Times New Roman" w:cs="Times New Roman"/>
          <w:color w:val="auto"/>
          <w:sz w:val="24"/>
          <w:highlight w:val="none"/>
        </w:rPr>
        <w:t>后清掏。</w:t>
      </w:r>
    </w:p>
    <w:p>
      <w:pPr>
        <w:pageBreakBefore w:val="0"/>
        <w:wordWrap/>
        <w:bidi w:val="0"/>
        <w:adjustRightInd w:val="0"/>
        <w:spacing w:line="360" w:lineRule="auto"/>
        <w:ind w:left="0" w:leftChars="0" w:right="0" w:rightChars="0" w:firstLine="480" w:firstLineChars="200"/>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项目用、排水水平衡见图</w:t>
      </w:r>
      <w:r>
        <w:rPr>
          <w:rFonts w:hint="eastAsia" w:cs="Times New Roman"/>
          <w:color w:val="auto"/>
          <w:sz w:val="24"/>
          <w:szCs w:val="22"/>
          <w:highlight w:val="none"/>
          <w:lang w:val="en-US" w:eastAsia="zh-CN"/>
        </w:rPr>
        <w:t>3.1</w:t>
      </w:r>
      <w:r>
        <w:rPr>
          <w:rFonts w:hint="default" w:ascii="Times New Roman" w:hAnsi="Times New Roman" w:cs="Times New Roman"/>
          <w:color w:val="auto"/>
          <w:sz w:val="24"/>
          <w:szCs w:val="22"/>
          <w:highlight w:val="none"/>
        </w:rPr>
        <w:t>-</w:t>
      </w:r>
      <w:r>
        <w:rPr>
          <w:rFonts w:hint="eastAsia" w:cs="Times New Roman"/>
          <w:color w:val="auto"/>
          <w:sz w:val="24"/>
          <w:szCs w:val="22"/>
          <w:highlight w:val="none"/>
          <w:lang w:val="en-US" w:eastAsia="zh-CN"/>
        </w:rPr>
        <w:t>2</w:t>
      </w:r>
      <w:r>
        <w:rPr>
          <w:rFonts w:hint="default" w:ascii="Times New Roman" w:hAnsi="Times New Roman" w:cs="Times New Roman"/>
          <w:color w:val="auto"/>
          <w:sz w:val="24"/>
          <w:szCs w:val="22"/>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object>
          <v:shape id="_x0000_i1026" o:spt="75" type="#_x0000_t75" style="height:195.2pt;width:416.1pt;" o:ole="t" filled="f" o:preferrelative="t" stroked="f" coordsize="21600,21600">
            <v:path/>
            <v:fill on="f" focussize="0,0"/>
            <v:stroke on="f"/>
            <v:imagedata r:id="rId34" o:title=""/>
            <o:lock v:ext="edit" aspectratio="t"/>
            <w10:wrap type="none"/>
            <w10:anchorlock/>
          </v:shape>
          <o:OLEObject Type="Embed" ProgID="Visio.Drawing.11" ShapeID="_x0000_i1026" DrawAspect="Content" ObjectID="_1468075726" r:id="rId33">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图</w:t>
      </w:r>
      <w:r>
        <w:rPr>
          <w:rFonts w:hint="default" w:ascii="Times New Roman" w:hAnsi="Times New Roman" w:cs="Times New Roman"/>
          <w:b/>
          <w:bCs/>
          <w:color w:val="auto"/>
          <w:sz w:val="21"/>
          <w:szCs w:val="21"/>
          <w:highlight w:val="none"/>
          <w:lang w:val="en-US" w:eastAsia="zh-CN"/>
        </w:rPr>
        <w:t>3.1-2</w:t>
      </w:r>
      <w:r>
        <w:rPr>
          <w:rFonts w:hint="default" w:ascii="Times New Roman" w:hAnsi="Times New Roman" w:cs="Times New Roman"/>
          <w:b/>
          <w:bCs/>
          <w:color w:val="auto"/>
          <w:sz w:val="21"/>
          <w:szCs w:val="21"/>
          <w:highlight w:val="none"/>
        </w:rPr>
        <w:t xml:space="preserve">        项目水平衡</w:t>
      </w:r>
      <w:r>
        <w:rPr>
          <w:rFonts w:hint="eastAsia" w:cs="Times New Roman"/>
          <w:b/>
          <w:bCs/>
          <w:color w:val="auto"/>
          <w:sz w:val="21"/>
          <w:szCs w:val="21"/>
          <w:highlight w:val="none"/>
          <w:lang w:val="en-US" w:eastAsia="zh-CN"/>
        </w:rPr>
        <w:t>图</w:t>
      </w:r>
      <w:r>
        <w:rPr>
          <w:rFonts w:hint="default" w:ascii="Times New Roman" w:hAnsi="Times New Roman" w:cs="Times New Roman"/>
          <w:b/>
          <w:bCs/>
          <w:color w:val="auto"/>
          <w:sz w:val="21"/>
          <w:szCs w:val="21"/>
          <w:highlight w:val="none"/>
        </w:rPr>
        <w:t xml:space="preserve">       单位m</w:t>
      </w:r>
      <w:r>
        <w:rPr>
          <w:rFonts w:hint="default" w:ascii="Times New Roman" w:hAnsi="Times New Roman" w:cs="Times New Roman"/>
          <w:b/>
          <w:bCs/>
          <w:color w:val="auto"/>
          <w:sz w:val="21"/>
          <w:szCs w:val="21"/>
          <w:highlight w:val="none"/>
          <w:vertAlign w:val="superscript"/>
        </w:rPr>
        <w:t>3</w:t>
      </w:r>
      <w:r>
        <w:rPr>
          <w:rFonts w:hint="default" w:ascii="Times New Roman" w:hAnsi="Times New Roman" w:cs="Times New Roman"/>
          <w:b/>
          <w:bCs/>
          <w:color w:val="auto"/>
          <w:sz w:val="21"/>
          <w:szCs w:val="21"/>
          <w:highlight w:val="none"/>
        </w:rPr>
        <w:t>/d</w:t>
      </w:r>
    </w:p>
    <w:p>
      <w:pPr>
        <w:pStyle w:val="4"/>
        <w:pageBreakBefore w:val="0"/>
        <w:widowControl w:val="0"/>
        <w:kinsoku/>
        <w:wordWrap/>
        <w:overflowPunct/>
        <w:topLinePunct w:val="0"/>
        <w:autoSpaceDE/>
        <w:autoSpaceDN/>
        <w:bidi w:val="0"/>
        <w:adjustRightInd w:val="0"/>
        <w:snapToGrid w:val="0"/>
        <w:spacing w:before="157" w:beforeLines="50" w:afterLines="0"/>
        <w:ind w:left="0" w:leftChars="0" w:right="0" w:rightChars="0" w:firstLine="0" w:firstLineChars="0"/>
        <w:textAlignment w:val="auto"/>
        <w:rPr>
          <w:rFonts w:hint="default" w:ascii="Times New Roman" w:hAnsi="Times New Roman" w:eastAsia="宋体" w:cs="Times New Roman"/>
          <w:color w:val="auto"/>
          <w:highlight w:val="none"/>
          <w:lang w:val="en-US" w:eastAsia="zh-CN"/>
        </w:rPr>
      </w:pPr>
      <w:bookmarkStart w:id="134" w:name="_Toc5357"/>
      <w:r>
        <w:rPr>
          <w:rFonts w:hint="default" w:ascii="Times New Roman" w:hAnsi="Times New Roman" w:eastAsia="宋体" w:cs="Times New Roman"/>
          <w:color w:val="auto"/>
          <w:highlight w:val="none"/>
          <w:lang w:val="en-US" w:eastAsia="zh-CN"/>
        </w:rPr>
        <w:t>工艺流程分析</w:t>
      </w:r>
      <w:bookmarkEnd w:id="132"/>
      <w:bookmarkEnd w:id="133"/>
      <w:bookmarkEnd w:id="134"/>
    </w:p>
    <w:p>
      <w:pPr>
        <w:pStyle w:val="5"/>
        <w:bidi w:val="0"/>
        <w:rPr>
          <w:rFonts w:hint="eastAsia"/>
          <w:color w:val="auto"/>
          <w:lang w:val="en-US" w:eastAsia="zh-CN"/>
        </w:rPr>
      </w:pPr>
      <w:bookmarkStart w:id="135" w:name="_Toc27444"/>
      <w:r>
        <w:rPr>
          <w:rFonts w:hint="eastAsia"/>
          <w:color w:val="auto"/>
          <w:lang w:val="en-US" w:eastAsia="zh-CN"/>
        </w:rPr>
        <w:t>施工期工艺流程</w:t>
      </w:r>
    </w:p>
    <w:p>
      <w:pPr>
        <w:autoSpaceDE w:val="0"/>
        <w:autoSpaceDN w:val="0"/>
        <w:adjustRightInd w:val="0"/>
        <w:snapToGrid w:val="0"/>
        <w:ind w:firstLine="42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施工期主要活动为场地平整、基础建设、主体构筑物建设、设备安装、工程验收等工序，施工期对环境的影响主要表现为：施工扬尘、施工机械噪声、施工废水、建筑垃圾以及施工人员的生活排污。项目施工期工艺流程及产污环节见下图3.2-1。</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color w:val="auto"/>
          <w:highlight w:val="none"/>
          <w:lang w:eastAsia="zh-CN"/>
        </w:rPr>
      </w:pPr>
      <w:r>
        <w:rPr>
          <w:rFonts w:hint="default" w:ascii="Times New Roman" w:hAnsi="Times New Roman" w:cs="Times New Roman"/>
          <w:color w:val="auto"/>
          <w:sz w:val="24"/>
          <w:szCs w:val="24"/>
          <w:highlight w:val="none"/>
        </w:rPr>
        <w:drawing>
          <wp:inline distT="0" distB="0" distL="114300" distR="114300">
            <wp:extent cx="4785995" cy="1954530"/>
            <wp:effectExtent l="0" t="0" r="14605" b="7620"/>
            <wp:docPr id="7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
                    <pic:cNvPicPr>
                      <a:picLocks noChangeAspect="1"/>
                    </pic:cNvPicPr>
                  </pic:nvPicPr>
                  <pic:blipFill>
                    <a:blip r:embed="rId35"/>
                    <a:srcRect l="6566" t="6589" r="734" b="2184"/>
                    <a:stretch>
                      <a:fillRect/>
                    </a:stretch>
                  </pic:blipFill>
                  <pic:spPr>
                    <a:xfrm>
                      <a:off x="0" y="0"/>
                      <a:ext cx="4785995" cy="19545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before="157" w:beforeLines="50" w:line="240" w:lineRule="auto"/>
        <w:ind w:left="0" w:leftChars="0" w:firstLine="0" w:firstLineChars="0"/>
        <w:jc w:val="center"/>
        <w:textAlignment w:val="auto"/>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图</w:t>
      </w:r>
      <w:r>
        <w:rPr>
          <w:rFonts w:hint="eastAsia" w:eastAsia="宋体" w:cs="Times New Roman"/>
          <w:b/>
          <w:bCs/>
          <w:color w:val="auto"/>
          <w:highlight w:val="none"/>
          <w:lang w:val="en-US" w:eastAsia="zh-CN"/>
        </w:rPr>
        <w:t>3.2-1</w:t>
      </w:r>
      <w:r>
        <w:rPr>
          <w:rFonts w:hint="eastAsia" w:ascii="Times New Roman" w:hAnsi="Times New Roman" w:eastAsia="宋体" w:cs="Times New Roman"/>
          <w:b/>
          <w:bCs/>
          <w:color w:val="auto"/>
          <w:highlight w:val="none"/>
          <w:lang w:val="en-US" w:eastAsia="zh-CN"/>
        </w:rPr>
        <w:t xml:space="preserve">     施工期工艺流程及产污环节图</w:t>
      </w:r>
    </w:p>
    <w:p>
      <w:pPr>
        <w:pStyle w:val="5"/>
        <w:bidi w:val="0"/>
        <w:rPr>
          <w:rFonts w:hint="eastAsia"/>
          <w:color w:val="auto"/>
          <w:lang w:val="en-US" w:eastAsia="zh-CN"/>
        </w:rPr>
      </w:pPr>
      <w:r>
        <w:rPr>
          <w:rFonts w:hint="eastAsia"/>
          <w:color w:val="auto"/>
          <w:lang w:val="en-US" w:eastAsia="zh-CN"/>
        </w:rPr>
        <w:t>运营期工艺流程</w:t>
      </w:r>
    </w:p>
    <w:p>
      <w:pPr>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奶牛饲养主要包括饲料加工（即</w:t>
      </w:r>
      <w:r>
        <w:rPr>
          <w:rFonts w:hint="default" w:ascii="Times New Roman" w:hAnsi="Times New Roman" w:cs="Times New Roman"/>
          <w:color w:val="auto"/>
          <w:highlight w:val="none"/>
          <w:lang w:eastAsia="zh-CN"/>
        </w:rPr>
        <w:t>青贮</w:t>
      </w:r>
      <w:r>
        <w:rPr>
          <w:rFonts w:hint="default" w:ascii="Times New Roman" w:hAnsi="Times New Roman" w:cs="Times New Roman"/>
          <w:color w:val="auto"/>
          <w:highlight w:val="none"/>
        </w:rPr>
        <w:t>饲料、饲料拌合）、饲养过程及</w:t>
      </w:r>
      <w:r>
        <w:rPr>
          <w:rFonts w:hint="default" w:ascii="Times New Roman" w:hAnsi="Times New Roman" w:cs="Times New Roman"/>
          <w:color w:val="auto"/>
          <w:highlight w:val="none"/>
          <w:lang w:eastAsia="zh-CN"/>
        </w:rPr>
        <w:t>粪污</w:t>
      </w:r>
      <w:r>
        <w:rPr>
          <w:rFonts w:hint="default" w:ascii="Times New Roman" w:hAnsi="Times New Roman" w:cs="Times New Roman"/>
          <w:color w:val="auto"/>
          <w:highlight w:val="none"/>
        </w:rPr>
        <w:t>处理过程。</w:t>
      </w:r>
    </w:p>
    <w:p>
      <w:pPr>
        <w:pStyle w:val="6"/>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饲料加工</w:t>
      </w:r>
    </w:p>
    <w:p>
      <w:pPr>
        <w:pageBreakBefore w:val="0"/>
        <w:wordWrap/>
        <w:bidi w:val="0"/>
        <w:adjustRightInd w:val="0"/>
        <w:ind w:left="0" w:leftChars="0" w:right="0" w:rightChars="0" w:firstLine="480"/>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highlight w:val="none"/>
          <w:lang w:val="en-US" w:eastAsia="zh-CN"/>
        </w:rPr>
        <w:t>（1）精</w:t>
      </w:r>
      <w:r>
        <w:rPr>
          <w:rFonts w:hint="default" w:ascii="Times New Roman" w:hAnsi="Times New Roman" w:eastAsia="宋体" w:cs="Times New Roman"/>
          <w:color w:val="auto"/>
          <w:highlight w:val="none"/>
        </w:rPr>
        <w:t>饲料</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将</w:t>
      </w:r>
      <w:r>
        <w:rPr>
          <w:rFonts w:hint="default" w:ascii="Times New Roman" w:hAnsi="Times New Roman" w:cs="Times New Roman"/>
          <w:color w:val="auto"/>
          <w:highlight w:val="none"/>
          <w:lang w:val="en-US" w:eastAsia="zh-CN"/>
        </w:rPr>
        <w:t>需粉碎的</w:t>
      </w:r>
      <w:r>
        <w:rPr>
          <w:rFonts w:hint="default" w:ascii="Times New Roman" w:hAnsi="Times New Roman" w:cs="Times New Roman"/>
          <w:color w:val="auto"/>
          <w:sz w:val="24"/>
          <w:szCs w:val="24"/>
          <w:highlight w:val="none"/>
          <w:lang w:val="en-US" w:eastAsia="zh-CN"/>
        </w:rPr>
        <w:t>饲料（玉米）粉碎后与其它</w:t>
      </w:r>
      <w:r>
        <w:rPr>
          <w:rFonts w:hint="default" w:ascii="Times New Roman" w:hAnsi="Times New Roman" w:cs="Times New Roman"/>
          <w:color w:val="auto"/>
          <w:sz w:val="24"/>
          <w:szCs w:val="24"/>
          <w:highlight w:val="none"/>
        </w:rPr>
        <w:t>各种</w:t>
      </w:r>
      <w:r>
        <w:rPr>
          <w:rFonts w:hint="default" w:ascii="Times New Roman" w:hAnsi="Times New Roman" w:cs="Times New Roman"/>
          <w:color w:val="auto"/>
          <w:sz w:val="24"/>
          <w:szCs w:val="24"/>
          <w:highlight w:val="none"/>
          <w:lang w:val="en-US" w:eastAsia="zh-CN"/>
        </w:rPr>
        <w:t>饲料</w:t>
      </w:r>
      <w:r>
        <w:rPr>
          <w:rFonts w:hint="default" w:ascii="Times New Roman" w:hAnsi="Times New Roman" w:cs="Times New Roman"/>
          <w:color w:val="auto"/>
          <w:sz w:val="24"/>
          <w:szCs w:val="24"/>
          <w:highlight w:val="none"/>
        </w:rPr>
        <w:t>按一定配比在</w:t>
      </w:r>
      <w:r>
        <w:rPr>
          <w:rFonts w:hint="default" w:ascii="Times New Roman" w:hAnsi="Times New Roman" w:cs="Times New Roman"/>
          <w:color w:val="auto"/>
          <w:sz w:val="24"/>
          <w:szCs w:val="24"/>
          <w:highlight w:val="none"/>
          <w:lang w:val="en-US" w:eastAsia="zh-CN"/>
        </w:rPr>
        <w:t>配料仓</w:t>
      </w:r>
      <w:r>
        <w:rPr>
          <w:rFonts w:hint="default" w:ascii="Times New Roman" w:hAnsi="Times New Roman" w:cs="Times New Roman"/>
          <w:color w:val="auto"/>
          <w:sz w:val="24"/>
          <w:szCs w:val="24"/>
          <w:highlight w:val="none"/>
        </w:rPr>
        <w:t>由</w:t>
      </w:r>
      <w:r>
        <w:rPr>
          <w:rFonts w:hint="default" w:ascii="Times New Roman" w:hAnsi="Times New Roman" w:cs="Times New Roman"/>
          <w:color w:val="auto"/>
          <w:sz w:val="24"/>
          <w:szCs w:val="24"/>
          <w:highlight w:val="none"/>
          <w:lang w:val="en-US" w:eastAsia="zh-CN"/>
        </w:rPr>
        <w:t>混合</w:t>
      </w:r>
      <w:r>
        <w:rPr>
          <w:rFonts w:hint="default" w:ascii="Times New Roman" w:hAnsi="Times New Roman" w:cs="Times New Roman"/>
          <w:color w:val="auto"/>
          <w:sz w:val="24"/>
          <w:szCs w:val="24"/>
          <w:highlight w:val="none"/>
        </w:rPr>
        <w:t>机拌匀后投料。</w:t>
      </w:r>
      <w:r>
        <w:rPr>
          <w:rFonts w:hint="default" w:ascii="Times New Roman" w:hAnsi="Times New Roman" w:cs="Times New Roman"/>
          <w:color w:val="auto"/>
          <w:sz w:val="24"/>
          <w:szCs w:val="24"/>
          <w:highlight w:val="none"/>
          <w:lang w:val="en-US" w:eastAsia="zh-CN"/>
        </w:rPr>
        <w:t>粉碎</w:t>
      </w:r>
      <w:r>
        <w:rPr>
          <w:rFonts w:hint="default" w:ascii="Times New Roman" w:hAnsi="Times New Roman" w:cs="Times New Roman"/>
          <w:color w:val="auto"/>
          <w:sz w:val="24"/>
          <w:szCs w:val="24"/>
          <w:highlight w:val="none"/>
        </w:rPr>
        <w:t>机</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进料口及出料口</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配置集气罩收集粉尘引入布袋除尘器进行处理，处理后的废气经15m高排气筒高空排放。</w:t>
      </w:r>
    </w:p>
    <w:p>
      <w:pPr>
        <w:pStyle w:val="47"/>
        <w:pageBreakBefore w:val="0"/>
        <w:wordWrap/>
        <w:bidi w:val="0"/>
        <w:adjustRightInd w:val="0"/>
        <w:ind w:left="0" w:leftChars="0" w:right="0" w:rightChars="0" w:firstLine="0" w:firstLineChars="0"/>
        <w:jc w:val="center"/>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lang w:eastAsia="zh-CN"/>
        </w:rPr>
        <w:object>
          <v:shape id="_x0000_i1027" o:spt="75" type="#_x0000_t75" style="height:93pt;width:330.75pt;" o:ole="t" filled="f" o:preferrelative="t" stroked="f" coordsize="21600,21600">
            <v:path/>
            <v:fill on="f" focussize="0,0"/>
            <v:stroke on="f"/>
            <v:imagedata r:id="rId37" o:title=""/>
            <o:lock v:ext="edit" aspectratio="t"/>
            <w10:wrap type="none"/>
            <w10:anchorlock/>
          </v:shape>
          <o:OLEObject Type="Embed" ProgID="Visio.Drawing.11" ShapeID="_x0000_i1027" DrawAspect="Content" ObjectID="_1468075727" r:id="rId36">
            <o:LockedField>false</o:LockedField>
          </o:OLEObject>
        </w:object>
      </w:r>
    </w:p>
    <w:p>
      <w:pPr>
        <w:pageBreakBefore w:val="0"/>
        <w:wordWrap/>
        <w:bidi w:val="0"/>
        <w:adjustRightInd w:val="0"/>
        <w:ind w:left="0" w:leftChars="0" w:right="0" w:rightChars="0" w:firstLine="482"/>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图3.</w:t>
      </w:r>
      <w:r>
        <w:rPr>
          <w:rFonts w:hint="default" w:ascii="Times New Roman" w:hAnsi="Times New Roman" w:cs="Times New Roman"/>
          <w:b/>
          <w:bCs/>
          <w:color w:val="auto"/>
          <w:sz w:val="21"/>
          <w:szCs w:val="21"/>
          <w:highlight w:val="none"/>
          <w:lang w:val="en-US" w:eastAsia="zh-CN"/>
        </w:rPr>
        <w:t>2</w:t>
      </w:r>
      <w:r>
        <w:rPr>
          <w:rFonts w:hint="default" w:ascii="Times New Roman" w:hAnsi="Times New Roman" w:cs="Times New Roman"/>
          <w:b/>
          <w:bCs/>
          <w:color w:val="auto"/>
          <w:sz w:val="21"/>
          <w:szCs w:val="21"/>
          <w:highlight w:val="none"/>
        </w:rPr>
        <w:t>-</w:t>
      </w:r>
      <w:r>
        <w:rPr>
          <w:rFonts w:hint="eastAsia" w:cs="Times New Roman"/>
          <w:b/>
          <w:bCs/>
          <w:color w:val="auto"/>
          <w:sz w:val="21"/>
          <w:szCs w:val="21"/>
          <w:highlight w:val="none"/>
          <w:lang w:val="en-US" w:eastAsia="zh-CN"/>
        </w:rPr>
        <w:t>2</w:t>
      </w:r>
      <w:r>
        <w:rPr>
          <w:rFonts w:hint="default" w:ascii="Times New Roman" w:hAnsi="Times New Roman" w:cs="Times New Roman"/>
          <w:b/>
          <w:bCs/>
          <w:color w:val="auto"/>
          <w:sz w:val="21"/>
          <w:szCs w:val="21"/>
          <w:highlight w:val="none"/>
          <w:lang w:val="en-US" w:eastAsia="zh-CN"/>
        </w:rPr>
        <w:t xml:space="preserve">   </w:t>
      </w:r>
      <w:r>
        <w:rPr>
          <w:rFonts w:hint="default" w:ascii="Times New Roman" w:hAnsi="Times New Roman" w:cs="Times New Roman"/>
          <w:b/>
          <w:bCs/>
          <w:color w:val="auto"/>
          <w:sz w:val="21"/>
          <w:szCs w:val="21"/>
          <w:highlight w:val="none"/>
        </w:rPr>
        <w:t>项目</w:t>
      </w:r>
      <w:r>
        <w:rPr>
          <w:rFonts w:hint="default" w:ascii="Times New Roman" w:hAnsi="Times New Roman" w:cs="Times New Roman"/>
          <w:b/>
          <w:bCs/>
          <w:color w:val="auto"/>
          <w:sz w:val="21"/>
          <w:szCs w:val="21"/>
          <w:highlight w:val="none"/>
          <w:lang w:val="en-US" w:eastAsia="zh-CN"/>
        </w:rPr>
        <w:t>精饲料加工</w:t>
      </w:r>
      <w:r>
        <w:rPr>
          <w:rFonts w:hint="default" w:ascii="Times New Roman" w:hAnsi="Times New Roman" w:cs="Times New Roman"/>
          <w:b/>
          <w:bCs/>
          <w:color w:val="auto"/>
          <w:sz w:val="21"/>
          <w:szCs w:val="21"/>
          <w:highlight w:val="none"/>
        </w:rPr>
        <w:t>工艺流程及产污节点图</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青贮饲料</w:t>
      </w:r>
      <w:r>
        <w:rPr>
          <w:rFonts w:hint="default" w:ascii="Times New Roman" w:hAnsi="Times New Roman" w:cs="Times New Roman"/>
          <w:color w:val="auto"/>
          <w:highlight w:val="none"/>
          <w:lang w:eastAsia="zh-CN"/>
        </w:rPr>
        <w:t>：</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青贮饲料生产</w:t>
      </w:r>
      <w:r>
        <w:rPr>
          <w:rFonts w:hint="default" w:ascii="Times New Roman" w:hAnsi="Times New Roman" w:cs="Times New Roman"/>
          <w:color w:val="auto"/>
          <w:highlight w:val="none"/>
          <w:lang w:val="en-US" w:eastAsia="zh-CN"/>
        </w:rPr>
        <w:t>工艺</w:t>
      </w:r>
      <w:r>
        <w:rPr>
          <w:rFonts w:hint="default" w:ascii="Times New Roman" w:hAnsi="Times New Roman" w:cs="Times New Roman"/>
          <w:color w:val="auto"/>
          <w:highlight w:val="none"/>
        </w:rPr>
        <w:t>流程</w:t>
      </w:r>
      <w:r>
        <w:rPr>
          <w:rFonts w:hint="default" w:ascii="Times New Roman" w:hAnsi="Times New Roman" w:cs="Times New Roman"/>
          <w:color w:val="auto"/>
          <w:highlight w:val="none"/>
          <w:lang w:val="en-US" w:eastAsia="zh-CN"/>
        </w:rPr>
        <w:t>及产污节点</w:t>
      </w:r>
      <w:r>
        <w:rPr>
          <w:rFonts w:hint="default" w:ascii="Times New Roman" w:hAnsi="Times New Roman" w:cs="Times New Roman"/>
          <w:color w:val="auto"/>
          <w:highlight w:val="none"/>
        </w:rPr>
        <w:t>见图3</w:t>
      </w:r>
      <w:r>
        <w:rPr>
          <w:rFonts w:hint="eastAsia" w:cs="Times New Roman"/>
          <w:color w:val="auto"/>
          <w:highlight w:val="none"/>
          <w:lang w:val="en-US" w:eastAsia="zh-CN"/>
        </w:rPr>
        <w:t>.2-3</w:t>
      </w:r>
      <w:r>
        <w:rPr>
          <w:rFonts w:hint="default" w:ascii="Times New Roman" w:hAnsi="Times New Roman" w:cs="Times New Roman"/>
          <w:color w:val="auto"/>
          <w:highlight w:val="none"/>
          <w:lang w:val="en-US" w:eastAsia="zh-CN"/>
        </w:rPr>
        <w:t>。</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sz w:val="24"/>
          <w:highlight w:val="none"/>
        </w:rPr>
        <mc:AlternateContent>
          <mc:Choice Requires="wps">
            <w:drawing>
              <wp:anchor distT="0" distB="0" distL="114300" distR="114300" simplePos="0" relativeHeight="251674624" behindDoc="0" locked="0" layoutInCell="1" allowOverlap="1">
                <wp:simplePos x="0" y="0"/>
                <wp:positionH relativeFrom="column">
                  <wp:posOffset>1894205</wp:posOffset>
                </wp:positionH>
                <wp:positionV relativeFrom="paragraph">
                  <wp:posOffset>357505</wp:posOffset>
                </wp:positionV>
                <wp:extent cx="1905" cy="160655"/>
                <wp:effectExtent l="48260" t="5080" r="64135" b="5715"/>
                <wp:wrapNone/>
                <wp:docPr id="30" name="直接箭头连接符 30"/>
                <wp:cNvGraphicFramePr/>
                <a:graphic xmlns:a="http://schemas.openxmlformats.org/drawingml/2006/main">
                  <a:graphicData uri="http://schemas.microsoft.com/office/word/2010/wordprocessingShape">
                    <wps:wsp>
                      <wps:cNvCnPr>
                        <a:stCxn id="56" idx="2"/>
                      </wps:cNvCnPr>
                      <wps:spPr>
                        <a:xfrm flipH="1">
                          <a:off x="0" y="0"/>
                          <a:ext cx="1905" cy="160655"/>
                        </a:xfrm>
                        <a:prstGeom prst="straightConnector1">
                          <a:avLst/>
                        </a:prstGeom>
                        <a:ln w="9525" cap="sq" cmpd="sng">
                          <a:solidFill>
                            <a:srgbClr val="000000"/>
                          </a:solidFill>
                          <a:prstDash val="sysDot"/>
                          <a:headEnd type="none" w="med" len="med"/>
                          <a:tailEnd type="arrow" w="med" len="med"/>
                        </a:ln>
                      </wps:spPr>
                      <wps:bodyPr/>
                    </wps:wsp>
                  </a:graphicData>
                </a:graphic>
              </wp:anchor>
            </w:drawing>
          </mc:Choice>
          <mc:Fallback>
            <w:pict>
              <v:shape id="_x0000_s1026" o:spid="_x0000_s1026" o:spt="32" type="#_x0000_t32" style="position:absolute;left:0pt;flip:x;margin-left:149.15pt;margin-top:28.15pt;height:12.65pt;width:0.15pt;z-index:251674624;mso-width-relative:page;mso-height-relative:page;" filled="f" stroked="t" coordsize="21600,21600" o:gfxdata="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emaRK1QAAAAkB&#10;AAAPAAAAAAAAAAEAIAAAACIAAABkcnMvZG93bnJldi54bWxQSwECFAAUAAAACACHTuJAJCy3mR4C&#10;AAAhBAAADgAAAAAAAAABACAAAAAkAQAAZHJzL2Uyb0RvYy54bWxQSwUGAAAAAAYABgBZAQAAtAUA&#10;AAAA&#10;">
                <v:fill on="f" focussize="0,0"/>
                <v:stroke color="#000000" joinstyle="round" dashstyle="1 1" endcap="square" endarrow="open"/>
                <v:imagedata o:title=""/>
                <o:lock v:ext="edit" aspectratio="f"/>
              </v:shape>
            </w:pict>
          </mc:Fallback>
        </mc:AlternateContent>
      </w:r>
      <w:r>
        <w:rPr>
          <w:rFonts w:hint="default" w:ascii="Times New Roman" w:hAnsi="Times New Roman" w:cs="Times New Roman"/>
          <w:color w:val="auto"/>
          <w:highlight w:val="none"/>
        </w:rPr>
        <mc:AlternateContent>
          <mc:Choice Requires="wpg">
            <w:drawing>
              <wp:inline distT="0" distB="0" distL="114300" distR="114300">
                <wp:extent cx="4851400" cy="347980"/>
                <wp:effectExtent l="9525" t="9525" r="15875" b="23495"/>
                <wp:docPr id="62" name="组合 62"/>
                <wp:cNvGraphicFramePr/>
                <a:graphic xmlns:a="http://schemas.openxmlformats.org/drawingml/2006/main">
                  <a:graphicData uri="http://schemas.microsoft.com/office/word/2010/wordprocessingGroup">
                    <wpg:wgp>
                      <wpg:cNvGrpSpPr>
                        <a:grpSpLocks noRot="1"/>
                      </wpg:cNvGrpSpPr>
                      <wpg:grpSpPr>
                        <a:xfrm>
                          <a:off x="0" y="0"/>
                          <a:ext cx="4851400" cy="347980"/>
                          <a:chOff x="0" y="0"/>
                          <a:chExt cx="7890" cy="429"/>
                        </a:xfrm>
                        <a:effectLst/>
                      </wpg:grpSpPr>
                      <wps:wsp>
                        <wps:cNvPr id="53" name="矩形 53"/>
                        <wps:cNvSpPr/>
                        <wps:spPr>
                          <a:xfrm>
                            <a:off x="0" y="0"/>
                            <a:ext cx="1050" cy="429"/>
                          </a:xfrm>
                          <a:prstGeom prst="rect">
                            <a:avLst/>
                          </a:prstGeom>
                          <a:solidFill>
                            <a:srgbClr val="FFFFFF"/>
                          </a:solidFill>
                          <a:ln w="19050" cap="flat" cmpd="sng">
                            <a:solidFill>
                              <a:srgbClr val="000000"/>
                            </a:solidFill>
                            <a:prstDash val="solid"/>
                            <a:miter/>
                            <a:headEnd type="none" w="med" len="med"/>
                            <a:tailEnd type="none" w="med" len="med"/>
                          </a:ln>
                          <a:effectLst/>
                        </wps:spPr>
                        <wps:txbx>
                          <w:txbxContent>
                            <w:p>
                              <w:pPr>
                                <w:ind w:firstLine="0" w:firstLineChars="0"/>
                              </w:pPr>
                              <w:r>
                                <w:rPr>
                                  <w:rFonts w:hint="eastAsia"/>
                                </w:rPr>
                                <w:t>原料</w:t>
                              </w:r>
                            </w:p>
                          </w:txbxContent>
                        </wps:txbx>
                        <wps:bodyPr upright="1"/>
                      </wps:wsp>
                      <wps:wsp>
                        <wps:cNvPr id="54" name="矩形 54"/>
                        <wps:cNvSpPr/>
                        <wps:spPr>
                          <a:xfrm>
                            <a:off x="5340" y="0"/>
                            <a:ext cx="840" cy="429"/>
                          </a:xfrm>
                          <a:prstGeom prst="rect">
                            <a:avLst/>
                          </a:prstGeom>
                          <a:solidFill>
                            <a:srgbClr val="FFFFFF"/>
                          </a:solidFill>
                          <a:ln w="19050" cap="flat" cmpd="sng">
                            <a:solidFill>
                              <a:srgbClr val="000000"/>
                            </a:solidFill>
                            <a:prstDash val="solid"/>
                            <a:miter/>
                            <a:headEnd type="none" w="med" len="med"/>
                            <a:tailEnd type="none" w="med" len="med"/>
                          </a:ln>
                          <a:effectLst/>
                        </wps:spPr>
                        <wps:txbx>
                          <w:txbxContent>
                            <w:p>
                              <w:pPr>
                                <w:ind w:firstLine="0" w:firstLineChars="0"/>
                              </w:pPr>
                              <w:r>
                                <w:rPr>
                                  <w:rFonts w:hint="eastAsia"/>
                                </w:rPr>
                                <w:t>压实</w:t>
                              </w:r>
                            </w:p>
                          </w:txbxContent>
                        </wps:txbx>
                        <wps:bodyPr upright="1"/>
                      </wps:wsp>
                      <wps:wsp>
                        <wps:cNvPr id="55" name="矩形 55"/>
                        <wps:cNvSpPr/>
                        <wps:spPr>
                          <a:xfrm>
                            <a:off x="3990" y="0"/>
                            <a:ext cx="840" cy="429"/>
                          </a:xfrm>
                          <a:prstGeom prst="rect">
                            <a:avLst/>
                          </a:prstGeom>
                          <a:solidFill>
                            <a:srgbClr val="FFFFFF"/>
                          </a:solidFill>
                          <a:ln w="19050" cap="flat" cmpd="sng">
                            <a:solidFill>
                              <a:srgbClr val="000000"/>
                            </a:solidFill>
                            <a:prstDash val="solid"/>
                            <a:miter/>
                            <a:headEnd type="none" w="med" len="med"/>
                            <a:tailEnd type="none" w="med" len="med"/>
                          </a:ln>
                          <a:effectLst/>
                        </wps:spPr>
                        <wps:txbx>
                          <w:txbxContent>
                            <w:p>
                              <w:pPr>
                                <w:ind w:firstLine="0" w:firstLineChars="0"/>
                              </w:pPr>
                              <w:r>
                                <w:rPr>
                                  <w:rFonts w:hint="eastAsia"/>
                                </w:rPr>
                                <w:t>垫装</w:t>
                              </w:r>
                            </w:p>
                          </w:txbxContent>
                        </wps:txbx>
                        <wps:bodyPr upright="1"/>
                      </wps:wsp>
                      <wps:wsp>
                        <wps:cNvPr id="56" name="矩形 56"/>
                        <wps:cNvSpPr/>
                        <wps:spPr>
                          <a:xfrm>
                            <a:off x="1680" y="0"/>
                            <a:ext cx="1785" cy="429"/>
                          </a:xfrm>
                          <a:prstGeom prst="rect">
                            <a:avLst/>
                          </a:prstGeom>
                          <a:solidFill>
                            <a:srgbClr val="FFFFFF"/>
                          </a:solidFill>
                          <a:ln w="19050" cap="flat" cmpd="sng">
                            <a:solidFill>
                              <a:srgbClr val="000000"/>
                            </a:solidFill>
                            <a:prstDash val="solid"/>
                            <a:miter/>
                            <a:headEnd type="none" w="med" len="med"/>
                            <a:tailEnd type="none" w="med" len="med"/>
                          </a:ln>
                          <a:effectLst/>
                        </wps:spPr>
                        <wps:txbx>
                          <w:txbxContent>
                            <w:p>
                              <w:pPr>
                                <w:ind w:firstLine="0" w:firstLineChars="0"/>
                              </w:pPr>
                              <w:r>
                                <w:rPr>
                                  <w:rFonts w:hint="eastAsia"/>
                                  <w:highlight w:val="none"/>
                                </w:rPr>
                                <w:t>铡短</w:t>
                              </w:r>
                              <w:r>
                                <w:rPr>
                                  <w:rFonts w:hint="eastAsia"/>
                                </w:rPr>
                                <w:t>原料</w:t>
                              </w:r>
                            </w:p>
                          </w:txbxContent>
                        </wps:txbx>
                        <wps:bodyPr upright="1"/>
                      </wps:wsp>
                      <wps:wsp>
                        <wps:cNvPr id="57" name="矩形 57"/>
                        <wps:cNvSpPr/>
                        <wps:spPr>
                          <a:xfrm>
                            <a:off x="6735" y="0"/>
                            <a:ext cx="1155" cy="429"/>
                          </a:xfrm>
                          <a:prstGeom prst="rect">
                            <a:avLst/>
                          </a:prstGeom>
                          <a:solidFill>
                            <a:srgbClr val="FFFFFF"/>
                          </a:solidFill>
                          <a:ln w="19050" cap="flat" cmpd="sng">
                            <a:solidFill>
                              <a:srgbClr val="000000"/>
                            </a:solidFill>
                            <a:prstDash val="solid"/>
                            <a:miter/>
                            <a:headEnd type="none" w="med" len="med"/>
                            <a:tailEnd type="none" w="med" len="med"/>
                          </a:ln>
                          <a:effectLst/>
                        </wps:spPr>
                        <wps:txbx>
                          <w:txbxContent>
                            <w:p>
                              <w:pPr>
                                <w:ind w:left="0" w:leftChars="0" w:firstLine="0" w:firstLineChars="0"/>
                                <w:jc w:val="center"/>
                              </w:pPr>
                              <w:r>
                                <w:rPr>
                                  <w:rFonts w:hAnsi="宋体"/>
                                  <w:color w:val="000000"/>
                                </w:rPr>
                                <w:t>封窖</w:t>
                              </w:r>
                            </w:p>
                          </w:txbxContent>
                        </wps:txbx>
                        <wps:bodyPr upright="1"/>
                      </wps:wsp>
                      <wps:wsp>
                        <wps:cNvPr id="58" name="直接连接符 58"/>
                        <wps:cNvCnPr/>
                        <wps:spPr>
                          <a:xfrm>
                            <a:off x="1050" y="196"/>
                            <a:ext cx="630" cy="0"/>
                          </a:xfrm>
                          <a:prstGeom prst="line">
                            <a:avLst/>
                          </a:prstGeom>
                          <a:ln w="19050" cap="flat" cmpd="sng">
                            <a:solidFill>
                              <a:srgbClr val="000000"/>
                            </a:solidFill>
                            <a:prstDash val="solid"/>
                            <a:headEnd type="none" w="med" len="med"/>
                            <a:tailEnd type="stealth" w="med" len="lg"/>
                          </a:ln>
                          <a:effectLst/>
                        </wps:spPr>
                        <wps:bodyPr upright="1"/>
                      </wps:wsp>
                      <wps:wsp>
                        <wps:cNvPr id="59" name="直接连接符 59"/>
                        <wps:cNvCnPr/>
                        <wps:spPr>
                          <a:xfrm>
                            <a:off x="3465" y="226"/>
                            <a:ext cx="525" cy="0"/>
                          </a:xfrm>
                          <a:prstGeom prst="line">
                            <a:avLst/>
                          </a:prstGeom>
                          <a:ln w="19050" cap="flat" cmpd="sng">
                            <a:solidFill>
                              <a:srgbClr val="000000"/>
                            </a:solidFill>
                            <a:prstDash val="solid"/>
                            <a:headEnd type="none" w="med" len="med"/>
                            <a:tailEnd type="stealth" w="med" len="lg"/>
                          </a:ln>
                          <a:effectLst/>
                        </wps:spPr>
                        <wps:bodyPr upright="1"/>
                      </wps:wsp>
                      <wps:wsp>
                        <wps:cNvPr id="60" name="直接连接符 60"/>
                        <wps:cNvCnPr/>
                        <wps:spPr>
                          <a:xfrm>
                            <a:off x="4830" y="226"/>
                            <a:ext cx="525" cy="0"/>
                          </a:xfrm>
                          <a:prstGeom prst="line">
                            <a:avLst/>
                          </a:prstGeom>
                          <a:ln w="19050" cap="flat" cmpd="sng">
                            <a:solidFill>
                              <a:srgbClr val="000000"/>
                            </a:solidFill>
                            <a:prstDash val="solid"/>
                            <a:headEnd type="none" w="med" len="med"/>
                            <a:tailEnd type="stealth" w="med" len="lg"/>
                          </a:ln>
                          <a:effectLst/>
                        </wps:spPr>
                        <wps:bodyPr upright="1"/>
                      </wps:wsp>
                      <wps:wsp>
                        <wps:cNvPr id="61" name="直接连接符 61"/>
                        <wps:cNvCnPr/>
                        <wps:spPr>
                          <a:xfrm>
                            <a:off x="6180" y="226"/>
                            <a:ext cx="525" cy="0"/>
                          </a:xfrm>
                          <a:prstGeom prst="line">
                            <a:avLst/>
                          </a:prstGeom>
                          <a:ln w="19050" cap="flat" cmpd="sng">
                            <a:solidFill>
                              <a:srgbClr val="000000"/>
                            </a:solidFill>
                            <a:prstDash val="solid"/>
                            <a:headEnd type="none" w="med" len="med"/>
                            <a:tailEnd type="stealth" w="med" len="lg"/>
                          </a:ln>
                          <a:effectLst/>
                        </wps:spPr>
                        <wps:bodyPr upright="1"/>
                      </wps:wsp>
                    </wpg:wgp>
                  </a:graphicData>
                </a:graphic>
              </wp:inline>
            </w:drawing>
          </mc:Choice>
          <mc:Fallback>
            <w:pict>
              <v:group id="_x0000_s1026" o:spid="_x0000_s1026" o:spt="203" style="height:27.4pt;width:382pt;" coordsize="7890,429" o:gfxdata="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">
                <o:lock v:ext="edit" rotation="t" aspectratio="f"/>
                <v:rect id="_x0000_s1026" o:spid="_x0000_s1026" o:spt="1" style="position:absolute;left:0;top:0;height:429;width:1050;" fillcolor="#FFFFFF" filled="t" stroked="t" coordsize="21600,21600" o:gfxdata="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IozVvQAA&#10;ANsAAAAPAAAAAAAAAAEAIAAAACIAAABkcnMvZG93bnJldi54bWxQSwECFAAUAAAACACHTuJAMy8F&#10;njsAAAA5AAAAEAAAAAAAAAABACAAAAAMAQAAZHJzL3NoYXBleG1sLnhtbFBLBQYAAAAABgAGAFsB&#10;AAC2AwAAAAA=&#10;">
                  <v:fill on="t" focussize="0,0"/>
                  <v:stroke weight="1.5pt" color="#000000" joinstyle="miter"/>
                  <v:imagedata o:title=""/>
                  <o:lock v:ext="edit" aspectratio="f"/>
                  <v:textbox>
                    <w:txbxContent>
                      <w:p>
                        <w:pPr>
                          <w:ind w:firstLine="0" w:firstLineChars="0"/>
                        </w:pPr>
                        <w:r>
                          <w:rPr>
                            <w:rFonts w:hint="eastAsia"/>
                          </w:rPr>
                          <w:t>原料</w:t>
                        </w:r>
                      </w:p>
                    </w:txbxContent>
                  </v:textbox>
                </v:rect>
                <v:rect id="_x0000_s1026" o:spid="_x0000_s1026" o:spt="1" style="position:absolute;left:5340;top:0;height:429;width:840;" fillcolor="#FFFFFF" filled="t" stroked="t" coordsize="21600,21600" o:gfxdata="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8sUob4A&#10;AADbAAAADwAAAAAAAAABACAAAAAiAAAAZHJzL2Rvd25yZXYueG1sUEsBAhQAFAAAAAgAh07iQDMv&#10;BZ47AAAAOQAAABAAAAAAAAAAAQAgAAAADQEAAGRycy9zaGFwZXhtbC54bWxQSwUGAAAAAAYABgBb&#10;AQAAtwMAAAAA&#10;">
                  <v:fill on="t" focussize="0,0"/>
                  <v:stroke weight="1.5pt" color="#000000" joinstyle="miter"/>
                  <v:imagedata o:title=""/>
                  <o:lock v:ext="edit" aspectratio="f"/>
                  <v:textbox>
                    <w:txbxContent>
                      <w:p>
                        <w:pPr>
                          <w:ind w:firstLine="0" w:firstLineChars="0"/>
                        </w:pPr>
                        <w:r>
                          <w:rPr>
                            <w:rFonts w:hint="eastAsia"/>
                          </w:rPr>
                          <w:t>压实</w:t>
                        </w:r>
                      </w:p>
                    </w:txbxContent>
                  </v:textbox>
                </v:rect>
                <v:rect id="_x0000_s1026" o:spid="_x0000_s1026" o:spt="1" style="position:absolute;left:3990;top:0;height:429;width:840;" fillcolor="#FFFFFF" filled="t" stroked="t" coordsize="21600,21600" o:gfxdata="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h7E6vQAA&#10;ANsAAAAPAAAAAAAAAAEAIAAAACIAAABkcnMvZG93bnJldi54bWxQSwECFAAUAAAACACHTuJAMy8F&#10;njsAAAA5AAAAEAAAAAAAAAABACAAAAAMAQAAZHJzL3NoYXBleG1sLnhtbFBLBQYAAAAABgAGAFsB&#10;AAC2AwAAAAA=&#10;">
                  <v:fill on="t" focussize="0,0"/>
                  <v:stroke weight="1.5pt" color="#000000" joinstyle="miter"/>
                  <v:imagedata o:title=""/>
                  <o:lock v:ext="edit" aspectratio="f"/>
                  <v:textbox>
                    <w:txbxContent>
                      <w:p>
                        <w:pPr>
                          <w:ind w:firstLine="0" w:firstLineChars="0"/>
                        </w:pPr>
                        <w:r>
                          <w:rPr>
                            <w:rFonts w:hint="eastAsia"/>
                          </w:rPr>
                          <w:t>垫装</w:t>
                        </w:r>
                      </w:p>
                    </w:txbxContent>
                  </v:textbox>
                </v:rect>
                <v:rect id="_x0000_s1026" o:spid="_x0000_s1026" o:spt="1" style="position:absolute;left:1680;top:0;height:429;width:1785;" fillcolor="#FFFFFF" filled="t" stroked="t" coordsize="21600,21600" o:gfxdata="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VL02/&#10;AAAA2wAAAA8AAAAAAAAAAQAgAAAAIgAAAGRycy9kb3ducmV2LnhtbFBLAQIUABQAAAAIAIdO4kAz&#10;LwWeOwAAADkAAAAQAAAAAAAAAAEAIAAAAA4BAABkcnMvc2hhcGV4bWwueG1sUEsFBgAAAAAGAAYA&#10;WwEAALgDAAAAAA==&#10;">
                  <v:fill on="t" focussize="0,0"/>
                  <v:stroke weight="1.5pt" color="#000000" joinstyle="miter"/>
                  <v:imagedata o:title=""/>
                  <o:lock v:ext="edit" aspectratio="f"/>
                  <v:textbox>
                    <w:txbxContent>
                      <w:p>
                        <w:pPr>
                          <w:ind w:firstLine="0" w:firstLineChars="0"/>
                        </w:pPr>
                        <w:r>
                          <w:rPr>
                            <w:rFonts w:hint="eastAsia"/>
                            <w:highlight w:val="none"/>
                          </w:rPr>
                          <w:t>铡短</w:t>
                        </w:r>
                        <w:r>
                          <w:rPr>
                            <w:rFonts w:hint="eastAsia"/>
                          </w:rPr>
                          <w:t>原料</w:t>
                        </w:r>
                      </w:p>
                    </w:txbxContent>
                  </v:textbox>
                </v:rect>
                <v:rect id="_x0000_s1026" o:spid="_x0000_s1026" o:spt="1" style="position:absolute;left:6735;top:0;height:429;width:1155;" fillcolor="#FFFFFF" filled="t" stroked="t" coordsize="21600,21600" o:gfxdata="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xmK1r4A&#10;AADbAAAADwAAAAAAAAABACAAAAAiAAAAZHJzL2Rvd25yZXYueG1sUEsBAhQAFAAAAAgAh07iQDMv&#10;BZ47AAAAOQAAABAAAAAAAAAAAQAgAAAADQEAAGRycy9zaGFwZXhtbC54bWxQSwUGAAAAAAYABgBb&#10;AQAAtwMAAAAA&#10;">
                  <v:fill on="t" focussize="0,0"/>
                  <v:stroke weight="1.5pt" color="#000000" joinstyle="miter"/>
                  <v:imagedata o:title=""/>
                  <o:lock v:ext="edit" aspectratio="f"/>
                  <v:textbox>
                    <w:txbxContent>
                      <w:p>
                        <w:pPr>
                          <w:ind w:left="0" w:leftChars="0" w:firstLine="0" w:firstLineChars="0"/>
                          <w:jc w:val="center"/>
                        </w:pPr>
                        <w:r>
                          <w:rPr>
                            <w:rFonts w:hAnsi="宋体"/>
                            <w:color w:val="000000"/>
                          </w:rPr>
                          <w:t>封窖</w:t>
                        </w:r>
                      </w:p>
                    </w:txbxContent>
                  </v:textbox>
                </v:rect>
                <v:line id="_x0000_s1026" o:spid="_x0000_s1026" o:spt="20" style="position:absolute;left:1050;top:196;height:0;width:630;" filled="f" stroked="t" coordsize="21600,21600" o:gfxdata="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FEw2ugAAANsA&#10;AAAPAAAAAAAAAAEAIAAAACIAAABkcnMvZG93bnJldi54bWxQSwECFAAUAAAACACHTuJAMy8FnjsA&#10;AAA5AAAAEAAAAAAAAAABACAAAAAJAQAAZHJzL3NoYXBleG1sLnhtbFBLBQYAAAAABgAGAFsBAACz&#10;AwAAAAA=&#10;">
                  <v:fill on="f" focussize="0,0"/>
                  <v:stroke weight="1.5pt" color="#000000" joinstyle="round" endarrow="classic" endarrowlength="long"/>
                  <v:imagedata o:title=""/>
                  <o:lock v:ext="edit" aspectratio="f"/>
                </v:line>
                <v:line id="_x0000_s1026" o:spid="_x0000_s1026" o:spt="20" style="position:absolute;left:3465;top:226;height:0;width:525;" filled="f" stroked="t" coordsize="21600,21600" o:gfxdata="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WOmtvQAA&#10;ANsAAAAPAAAAAAAAAAEAIAAAACIAAABkcnMvZG93bnJldi54bWxQSwECFAAUAAAACACHTuJAMy8F&#10;njsAAAA5AAAAEAAAAAAAAAABACAAAAAMAQAAZHJzL3NoYXBleG1sLnhtbFBLBQYAAAAABgAGAFsB&#10;AAC2AwAAAAA=&#10;">
                  <v:fill on="f" focussize="0,0"/>
                  <v:stroke weight="1.5pt" color="#000000" joinstyle="round" endarrow="classic" endarrowlength="long"/>
                  <v:imagedata o:title=""/>
                  <o:lock v:ext="edit" aspectratio="f"/>
                </v:line>
                <v:line id="_x0000_s1026" o:spid="_x0000_s1026" o:spt="20" style="position:absolute;left:4830;top:226;height:0;width:525;" filled="f" stroked="t" coordsize="21600,21600" o:gfxdata="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A6KjbsAAADb&#10;AAAADwAAAAAAAAABACAAAAAiAAAAZHJzL2Rvd25yZXYueG1sUEsBAhQAFAAAAAgAh07iQDMvBZ47&#10;AAAAOQAAABAAAAAAAAAAAQAgAAAACgEAAGRycy9zaGFwZXhtbC54bWxQSwUGAAAAAAYABgBbAQAA&#10;tAMAAAAA&#10;">
                  <v:fill on="f" focussize="0,0"/>
                  <v:stroke weight="1.5pt" color="#000000" joinstyle="round" endarrow="classic" endarrowlength="long"/>
                  <v:imagedata o:title=""/>
                  <o:lock v:ext="edit" aspectratio="f"/>
                </v:line>
                <v:line id="_x0000_s1026" o:spid="_x0000_s1026" o:spt="20" style="position:absolute;left:6180;top:226;height:0;width:525;" filled="f" stroked="t" coordsize="21600,21600" o:gfxdata="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CLxa8AAAA&#10;2wAAAA8AAAAAAAAAAQAgAAAAIgAAAGRycy9kb3ducmV2LnhtbFBLAQIUABQAAAAIAIdO4kAzLwWe&#10;OwAAADkAAAAQAAAAAAAAAAEAIAAAAAsBAABkcnMvc2hhcGV4bWwueG1sUEsFBgAAAAAGAAYAWwEA&#10;ALUDAAAAAA==&#10;">
                  <v:fill on="f" focussize="0,0"/>
                  <v:stroke weight="1.5pt" color="#000000" joinstyle="round" endarrow="classic" endarrowlength="long"/>
                  <v:imagedata o:title=""/>
                  <o:lock v:ext="edit" aspectratio="f"/>
                </v:line>
                <w10:wrap type="none"/>
                <w10:anchorlock/>
              </v:group>
            </w:pict>
          </mc:Fallback>
        </mc:AlternateContent>
      </w:r>
    </w:p>
    <w:p>
      <w:pPr>
        <w:pStyle w:val="50"/>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sz w:val="24"/>
          <w:highlight w:val="none"/>
        </w:rPr>
        <mc:AlternateContent>
          <mc:Choice Requires="wps">
            <w:drawing>
              <wp:anchor distT="0" distB="0" distL="114300" distR="114300" simplePos="0" relativeHeight="251675648" behindDoc="0" locked="0" layoutInCell="1" allowOverlap="1">
                <wp:simplePos x="0" y="0"/>
                <wp:positionH relativeFrom="column">
                  <wp:posOffset>1237615</wp:posOffset>
                </wp:positionH>
                <wp:positionV relativeFrom="paragraph">
                  <wp:posOffset>106045</wp:posOffset>
                </wp:positionV>
                <wp:extent cx="1350645" cy="281305"/>
                <wp:effectExtent l="5080" t="5080" r="15875" b="18415"/>
                <wp:wrapNone/>
                <wp:docPr id="31" name="文本框 31"/>
                <wp:cNvGraphicFramePr/>
                <a:graphic xmlns:a="http://schemas.openxmlformats.org/drawingml/2006/main">
                  <a:graphicData uri="http://schemas.microsoft.com/office/word/2010/wordprocessingShape">
                    <wps:wsp>
                      <wps:cNvSpPr txBox="1"/>
                      <wps:spPr>
                        <a:xfrm>
                          <a:off x="0" y="0"/>
                          <a:ext cx="1350645" cy="2813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rPr>
                                <w:rFonts w:hint="default" w:eastAsia="宋体"/>
                                <w:lang w:val="en-US" w:eastAsia="zh-CN"/>
                              </w:rPr>
                            </w:pPr>
                            <w:r>
                              <w:rPr>
                                <w:rFonts w:hint="eastAsia"/>
                                <w:lang w:val="en-US" w:eastAsia="zh-CN"/>
                              </w:rPr>
                              <w:t>噪声、极少粉尘</w:t>
                            </w:r>
                          </w:p>
                        </w:txbxContent>
                      </wps:txbx>
                      <wps:bodyPr upright="1"/>
                    </wps:wsp>
                  </a:graphicData>
                </a:graphic>
              </wp:anchor>
            </w:drawing>
          </mc:Choice>
          <mc:Fallback>
            <w:pict>
              <v:shape id="_x0000_s1026" o:spid="_x0000_s1026" o:spt="202" type="#_x0000_t202" style="position:absolute;left:0pt;margin-left:97.45pt;margin-top:8.35pt;height:22.15pt;width:106.35pt;z-index:251675648;mso-width-relative:page;mso-height-relative:page;" fillcolor="#FFFFFF" filled="t" stroked="t" coordsize="21600,21600" o:gfxdata="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9QlYjYAAAACQEAAA8AAAAAAAAAAQAgAAAA&#10;IgAAAGRycy9kb3ducmV2LnhtbFBLAQIUABQAAAAIAIdO4kDShKveCwIAADgEAAAOAAAAAAAAAAEA&#10;IAAAACcBAABkcnMvZTJvRG9jLnhtbFBLBQYAAAAABgAGAFkBAACkBQAAAAA=&#10;">
                <v:fill on="t" focussize="0,0"/>
                <v:stroke color="#000000" joinstyle="miter"/>
                <v:imagedata o:title=""/>
                <o:lock v:ext="edit" aspectratio="f"/>
                <v:textbox>
                  <w:txbxContent>
                    <w:p>
                      <w:pPr>
                        <w:ind w:left="0" w:leftChars="0" w:firstLine="0" w:firstLineChars="0"/>
                        <w:rPr>
                          <w:rFonts w:hint="default" w:eastAsia="宋体"/>
                          <w:lang w:val="en-US" w:eastAsia="zh-CN"/>
                        </w:rPr>
                      </w:pPr>
                      <w:r>
                        <w:rPr>
                          <w:rFonts w:hint="eastAsia"/>
                          <w:lang w:val="en-US" w:eastAsia="zh-CN"/>
                        </w:rPr>
                        <w:t>噪声、极少粉尘</w:t>
                      </w:r>
                    </w:p>
                  </w:txbxContent>
                </v:textbox>
              </v:shape>
            </w:pict>
          </mc:Fallback>
        </mc:AlternateContent>
      </w:r>
    </w:p>
    <w:p>
      <w:pPr>
        <w:pStyle w:val="50"/>
        <w:pageBreakBefore w:val="0"/>
        <w:wordWrap/>
        <w:bidi w:val="0"/>
        <w:adjustRightInd w:val="0"/>
        <w:ind w:left="0" w:leftChars="0" w:right="0" w:rightChars="0"/>
        <w:rPr>
          <w:rFonts w:hint="default" w:ascii="Times New Roman" w:hAnsi="Times New Roman" w:cs="Times New Roman"/>
          <w:color w:val="auto"/>
          <w:highlight w:val="yellow"/>
        </w:rPr>
      </w:pPr>
    </w:p>
    <w:p>
      <w:pPr>
        <w:keepNext w:val="0"/>
        <w:keepLines w:val="0"/>
        <w:pageBreakBefore w:val="0"/>
        <w:widowControl w:val="0"/>
        <w:kinsoku/>
        <w:wordWrap/>
        <w:overflowPunct/>
        <w:topLinePunct w:val="0"/>
        <w:autoSpaceDE/>
        <w:autoSpaceDN/>
        <w:bidi w:val="0"/>
        <w:adjustRightInd w:val="0"/>
        <w:snapToGrid w:val="0"/>
        <w:spacing w:before="79" w:beforeLines="25" w:line="240" w:lineRule="exact"/>
        <w:ind w:left="0" w:leftChars="0" w:right="0" w:rightChars="0" w:firstLine="482"/>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图3.</w:t>
      </w:r>
      <w:r>
        <w:rPr>
          <w:rFonts w:hint="default"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w:t>
      </w:r>
      <w:r>
        <w:rPr>
          <w:rFonts w:hint="eastAsia"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rPr>
        <w:t xml:space="preserve">    青贮饲料生产</w:t>
      </w:r>
      <w:r>
        <w:rPr>
          <w:rFonts w:hint="default" w:ascii="Times New Roman" w:hAnsi="Times New Roman" w:eastAsia="宋体" w:cs="Times New Roman"/>
          <w:b/>
          <w:bCs/>
          <w:color w:val="auto"/>
          <w:sz w:val="21"/>
          <w:szCs w:val="21"/>
          <w:highlight w:val="none"/>
          <w:lang w:val="en-US" w:eastAsia="zh-CN"/>
        </w:rPr>
        <w:t>工艺</w:t>
      </w:r>
      <w:r>
        <w:rPr>
          <w:rFonts w:hint="default" w:ascii="Times New Roman" w:hAnsi="Times New Roman" w:eastAsia="宋体" w:cs="Times New Roman"/>
          <w:b/>
          <w:bCs/>
          <w:color w:val="auto"/>
          <w:sz w:val="21"/>
          <w:szCs w:val="21"/>
          <w:highlight w:val="none"/>
        </w:rPr>
        <w:t>流程</w:t>
      </w:r>
      <w:r>
        <w:rPr>
          <w:rFonts w:hint="default" w:ascii="Times New Roman" w:hAnsi="Times New Roman" w:eastAsia="宋体" w:cs="Times New Roman"/>
          <w:b/>
          <w:bCs/>
          <w:color w:val="auto"/>
          <w:sz w:val="21"/>
          <w:szCs w:val="21"/>
          <w:highlight w:val="none"/>
          <w:lang w:val="en-US" w:eastAsia="zh-CN"/>
        </w:rPr>
        <w:t>及产污节点</w:t>
      </w:r>
      <w:r>
        <w:rPr>
          <w:rFonts w:hint="default" w:ascii="Times New Roman" w:hAnsi="Times New Roman" w:eastAsia="宋体" w:cs="Times New Roman"/>
          <w:b/>
          <w:bCs/>
          <w:color w:val="auto"/>
          <w:sz w:val="21"/>
          <w:szCs w:val="21"/>
          <w:highlight w:val="none"/>
        </w:rPr>
        <w:t>图</w:t>
      </w:r>
    </w:p>
    <w:p>
      <w:pPr>
        <w:pageBreakBefore w:val="0"/>
        <w:wordWrap/>
        <w:bidi w:val="0"/>
        <w:adjustRightInd w:val="0"/>
        <w:ind w:left="0" w:leftChars="0" w:right="0" w:rightChars="0" w:firstLine="480"/>
        <w:rPr>
          <w:rFonts w:hint="default" w:ascii="Times New Roman" w:hAnsi="Times New Roman" w:eastAsia="宋体" w:cs="Times New Roman"/>
          <w:color w:val="auto"/>
          <w:highlight w:val="yellow"/>
          <w:lang w:val="en-US" w:eastAsia="zh-CN"/>
        </w:rPr>
      </w:pPr>
      <w:r>
        <w:rPr>
          <w:rFonts w:hint="default" w:ascii="Times New Roman" w:hAnsi="Times New Roman" w:cs="Times New Roman"/>
          <w:color w:val="auto"/>
          <w:highlight w:val="none"/>
        </w:rPr>
        <w:t>青贮饲料以窖贮方式较好。窖法有土窖和永久窖之分（永久窖以砖、石、水泥构成）。窖地选在地势较高、水位较低、土质坚实的地方。窖的大小根据牛的多少和地形而定。一般窖</w:t>
      </w:r>
      <w:r>
        <w:rPr>
          <w:rFonts w:hint="default" w:ascii="Times New Roman" w:hAnsi="Times New Roman" w:cs="Times New Roman"/>
          <w:color w:val="auto"/>
          <w:highlight w:val="none"/>
          <w:lang w:val="en-US" w:eastAsia="zh-CN"/>
        </w:rPr>
        <w:t>为</w:t>
      </w:r>
      <w:r>
        <w:rPr>
          <w:rFonts w:hint="default" w:ascii="Times New Roman" w:hAnsi="Times New Roman" w:cs="Times New Roman"/>
          <w:color w:val="auto"/>
          <w:highlight w:val="none"/>
        </w:rPr>
        <w:t>长方形</w:t>
      </w:r>
      <w:r>
        <w:rPr>
          <w:rFonts w:hint="default" w:ascii="Times New Roman" w:hAnsi="Times New Roman" w:cs="Times New Roman"/>
          <w:color w:val="auto"/>
          <w:highlight w:val="none"/>
          <w:lang w:eastAsia="zh-CN"/>
        </w:rPr>
        <w:t>，宽以略小于塑料薄膜的宽度</w:t>
      </w:r>
      <w:r>
        <w:rPr>
          <w:rFonts w:hint="default" w:ascii="Times New Roman" w:hAnsi="Times New Roman" w:cs="Times New Roman"/>
          <w:color w:val="auto"/>
          <w:highlight w:val="none"/>
        </w:rPr>
        <w:t>为好，大永久窖可宽至5</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rPr>
        <w:t>。窖留有坡度，以方便出入。</w:t>
      </w:r>
      <w:r>
        <w:rPr>
          <w:rFonts w:hint="default" w:ascii="Times New Roman" w:hAnsi="Times New Roman" w:eastAsia="宋体" w:cs="Times New Roman"/>
          <w:color w:val="auto"/>
          <w:highlight w:val="none"/>
          <w:lang w:val="en-US" w:eastAsia="zh-CN"/>
        </w:rPr>
        <w:t>本项目青贮窖为</w:t>
      </w:r>
      <w:r>
        <w:rPr>
          <w:rFonts w:hint="default" w:ascii="Times New Roman" w:hAnsi="Times New Roman" w:eastAsia="宋体" w:cs="Times New Roman"/>
          <w:color w:val="auto"/>
          <w:highlight w:val="none"/>
        </w:rPr>
        <w:t>永</w:t>
      </w:r>
      <w:r>
        <w:rPr>
          <w:rFonts w:hint="default" w:ascii="Times New Roman" w:hAnsi="Times New Roman" w:cs="Times New Roman"/>
          <w:color w:val="auto"/>
          <w:highlight w:val="none"/>
        </w:rPr>
        <w:t>久窖</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采用混凝土构成。长88m，宽100</w:t>
      </w:r>
      <w:r>
        <w:rPr>
          <w:rFonts w:hint="eastAsia" w:cs="Times New Roman"/>
          <w:color w:val="auto"/>
          <w:highlight w:val="none"/>
          <w:lang w:val="en-US" w:eastAsia="zh-CN"/>
        </w:rPr>
        <w:t>m</w:t>
      </w:r>
      <w:r>
        <w:rPr>
          <w:rFonts w:hint="default" w:ascii="Times New Roman" w:hAnsi="Times New Roman" w:cs="Times New Roman"/>
          <w:color w:val="auto"/>
          <w:highlight w:val="none"/>
          <w:lang w:val="en-US" w:eastAsia="zh-CN"/>
        </w:rPr>
        <w:t>。</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1 \* GB3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①</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玉米秸青贮选料很重要，最好是玉米成熟后，随掰随割随运。此时玉米秸很新鲜，除基部2-3个叶发黄外，其他叶子均为绿色，含水量达60%-75%。玉米秸不能带根及泥土。</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2 \* GB3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②</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将新鲜的玉米秸铡成2-3</w:t>
      </w:r>
      <w:r>
        <w:rPr>
          <w:rFonts w:hint="default" w:ascii="Times New Roman" w:hAnsi="Times New Roman" w:cs="Times New Roman"/>
          <w:color w:val="auto"/>
          <w:highlight w:val="none"/>
          <w:lang w:val="en-US" w:eastAsia="zh-CN"/>
        </w:rPr>
        <w:t>cm</w:t>
      </w:r>
      <w:r>
        <w:rPr>
          <w:rFonts w:hint="default" w:ascii="Times New Roman" w:hAnsi="Times New Roman" w:cs="Times New Roman"/>
          <w:color w:val="auto"/>
          <w:highlight w:val="none"/>
        </w:rPr>
        <w:t>长的段</w:t>
      </w:r>
      <w:r>
        <w:rPr>
          <w:rFonts w:hint="default" w:ascii="Times New Roman" w:hAnsi="Times New Roman" w:cs="Times New Roman"/>
          <w:color w:val="auto"/>
          <w:highlight w:val="none"/>
          <w:lang w:eastAsia="zh-CN"/>
        </w:rPr>
        <w:t>。</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3 \* GB3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③</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lang w:val="en-US" w:eastAsia="zh-CN"/>
        </w:rPr>
        <w:t>原料铡短</w:t>
      </w:r>
      <w:r>
        <w:rPr>
          <w:rFonts w:hint="default" w:ascii="Times New Roman" w:hAnsi="Times New Roman" w:cs="Times New Roman"/>
          <w:color w:val="auto"/>
          <w:highlight w:val="none"/>
        </w:rPr>
        <w:t>后马上填窖，随铡随填，摊平后踏实，尤其对边、角，越实越好。</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4 \* GB3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④</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青贮填料后，要及时封窖。一般采用</w:t>
      </w:r>
      <w:r>
        <w:rPr>
          <w:rFonts w:hint="default" w:ascii="Times New Roman" w:hAnsi="Times New Roman" w:cs="Times New Roman"/>
          <w:color w:val="auto"/>
          <w:highlight w:val="none"/>
          <w:lang w:val="en-US" w:eastAsia="zh-CN"/>
        </w:rPr>
        <w:t>塑料薄膜及彩条布</w:t>
      </w:r>
      <w:r>
        <w:rPr>
          <w:rFonts w:hint="default" w:ascii="Times New Roman" w:hAnsi="Times New Roman" w:cs="Times New Roman"/>
          <w:color w:val="auto"/>
          <w:highlight w:val="none"/>
        </w:rPr>
        <w:t>（长度和宽度依窖的大小而定），从一端铺至另一端，宽度要余出30-40</w:t>
      </w:r>
      <w:r>
        <w:rPr>
          <w:rFonts w:hint="default" w:ascii="Times New Roman" w:hAnsi="Times New Roman" w:cs="Times New Roman"/>
          <w:color w:val="auto"/>
          <w:highlight w:val="none"/>
          <w:lang w:val="en-US" w:eastAsia="zh-CN"/>
        </w:rPr>
        <w:t>cm</w:t>
      </w:r>
      <w:r>
        <w:rPr>
          <w:rFonts w:hint="default" w:ascii="Times New Roman" w:hAnsi="Times New Roman" w:cs="Times New Roman"/>
          <w:color w:val="auto"/>
          <w:highlight w:val="none"/>
        </w:rPr>
        <w:t>，以便压草捆。排除内部空气，上压10-15</w:t>
      </w:r>
      <w:r>
        <w:rPr>
          <w:rFonts w:hint="default" w:ascii="Times New Roman" w:hAnsi="Times New Roman" w:cs="Times New Roman"/>
          <w:color w:val="auto"/>
          <w:highlight w:val="none"/>
          <w:lang w:val="en-US" w:eastAsia="zh-CN"/>
        </w:rPr>
        <w:t>cm</w:t>
      </w:r>
      <w:r>
        <w:rPr>
          <w:rFonts w:hint="default" w:ascii="Times New Roman" w:hAnsi="Times New Roman" w:cs="Times New Roman"/>
          <w:color w:val="auto"/>
          <w:highlight w:val="none"/>
        </w:rPr>
        <w:t>厚的草捆。</w:t>
      </w:r>
      <w:r>
        <w:rPr>
          <w:rFonts w:hint="default" w:ascii="Times New Roman" w:hAnsi="Times New Roman" w:cs="Times New Roman"/>
          <w:color w:val="auto"/>
          <w:highlight w:val="none"/>
          <w:lang w:val="en-US" w:eastAsia="zh-CN"/>
        </w:rPr>
        <w:t>平台</w:t>
      </w:r>
      <w:r>
        <w:rPr>
          <w:rFonts w:hint="default" w:ascii="Times New Roman" w:hAnsi="Times New Roman" w:cs="Times New Roman"/>
          <w:color w:val="auto"/>
          <w:highlight w:val="none"/>
        </w:rPr>
        <w:t>边缘处须高出地面。以求不透气、不漏水。</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玉米秸青贮可长期保存。一般贮后30天便可开窖饲用。开窖时先从一端开始，除去压草，清理开口周围的杂物，徐徐敞开地膜，以露出青贮好的玉米秸为止。随用随开，每次出料足够喂1次或1天的即可。出料后立即将开口盖好。</w:t>
      </w:r>
    </w:p>
    <w:p>
      <w:pPr>
        <w:pStyle w:val="6"/>
        <w:bidi w:val="0"/>
        <w:rPr>
          <w:rFonts w:hint="default"/>
          <w:color w:val="auto"/>
          <w:lang w:val="en-US" w:eastAsia="zh-CN"/>
        </w:rPr>
      </w:pPr>
      <w:r>
        <w:rPr>
          <w:rFonts w:hint="default"/>
          <w:color w:val="auto"/>
          <w:lang w:val="en-US" w:eastAsia="zh-CN"/>
        </w:rPr>
        <w:t>养殖工艺</w:t>
      </w:r>
    </w:p>
    <w:p>
      <w:pPr>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主要生产工艺流程及产污节点如图</w:t>
      </w:r>
      <w:r>
        <w:rPr>
          <w:rFonts w:hint="default" w:ascii="Times New Roman" w:hAnsi="Times New Roman" w:cs="Times New Roman"/>
          <w:color w:val="auto"/>
          <w:highlight w:val="none"/>
          <w:lang w:val="en-US" w:eastAsia="zh-CN"/>
        </w:rPr>
        <w:t>3.2-</w:t>
      </w:r>
      <w:r>
        <w:rPr>
          <w:rFonts w:hint="eastAsia" w:cs="Times New Roman"/>
          <w:color w:val="auto"/>
          <w:highlight w:val="none"/>
          <w:lang w:val="en-US" w:eastAsia="zh-CN"/>
        </w:rPr>
        <w:t>4</w:t>
      </w:r>
      <w:r>
        <w:rPr>
          <w:rFonts w:hint="default" w:ascii="Times New Roman" w:hAnsi="Times New Roman" w:cs="Times New Roman"/>
          <w:color w:val="auto"/>
          <w:highlight w:val="none"/>
        </w:rPr>
        <w:t>。</w:t>
      </w:r>
    </w:p>
    <w:p>
      <w:pPr>
        <w:pageBreakBefore w:val="0"/>
        <w:wordWrap/>
        <w:bidi w:val="0"/>
        <w:adjustRightInd w:val="0"/>
        <w:ind w:left="0" w:leftChars="0" w:right="0" w:rightChars="0" w:firstLine="0" w:firstLineChars="0"/>
        <w:jc w:val="center"/>
        <w:rPr>
          <w:rFonts w:hint="default" w:ascii="Times New Roman" w:hAnsi="Times New Roman" w:cs="Times New Roman"/>
          <w:color w:val="auto"/>
          <w:highlight w:val="none"/>
        </w:rPr>
      </w:pPr>
      <w:r>
        <w:rPr>
          <w:color w:val="auto"/>
        </w:rPr>
        <w:drawing>
          <wp:inline distT="0" distB="0" distL="0" distR="0">
            <wp:extent cx="4923790" cy="3295650"/>
            <wp:effectExtent l="0" t="0" r="0" b="0"/>
            <wp:docPr id="79" name="IM 73"/>
            <wp:cNvGraphicFramePr/>
            <a:graphic xmlns:a="http://schemas.openxmlformats.org/drawingml/2006/main">
              <a:graphicData uri="http://schemas.openxmlformats.org/drawingml/2006/picture">
                <pic:pic xmlns:pic="http://schemas.openxmlformats.org/drawingml/2006/picture">
                  <pic:nvPicPr>
                    <pic:cNvPr id="79" name="IM 73"/>
                    <pic:cNvPicPr/>
                  </pic:nvPicPr>
                  <pic:blipFill>
                    <a:blip r:embed="rId38"/>
                    <a:stretch>
                      <a:fillRect/>
                    </a:stretch>
                  </pic:blipFill>
                  <pic:spPr>
                    <a:xfrm>
                      <a:off x="0" y="0"/>
                      <a:ext cx="4924044" cy="32956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图</w:t>
      </w:r>
      <w:r>
        <w:rPr>
          <w:rFonts w:hint="default" w:ascii="Times New Roman" w:hAnsi="Times New Roman" w:eastAsia="宋体" w:cs="Times New Roman"/>
          <w:b/>
          <w:bCs/>
          <w:color w:val="auto"/>
          <w:sz w:val="21"/>
          <w:szCs w:val="21"/>
          <w:highlight w:val="none"/>
          <w:lang w:val="en-US" w:eastAsia="zh-CN"/>
        </w:rPr>
        <w:t>3.2-</w:t>
      </w:r>
      <w:r>
        <w:rPr>
          <w:rFonts w:hint="eastAsia"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rPr>
        <w:t xml:space="preserve">       项目生产工艺流程及产污节点图</w:t>
      </w:r>
    </w:p>
    <w:bookmarkEnd w:id="135"/>
    <w:p>
      <w:pPr>
        <w:pStyle w:val="7"/>
        <w:bidi w:val="0"/>
        <w:rPr>
          <w:rFonts w:hint="default"/>
          <w:color w:val="auto"/>
        </w:rPr>
      </w:pPr>
      <w:bookmarkStart w:id="136" w:name="_Toc8466"/>
      <w:bookmarkStart w:id="137" w:name="_Toc25546"/>
      <w:r>
        <w:rPr>
          <w:rFonts w:hint="default"/>
          <w:color w:val="auto"/>
        </w:rPr>
        <w:t>牛群饲养</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19"/>
        <w:textAlignment w:val="auto"/>
        <w:rPr>
          <w:rFonts w:hint="default" w:ascii="Times New Roman" w:hAnsi="Times New Roman" w:eastAsia="宋体" w:cs="Times New Roman"/>
          <w:color w:val="auto"/>
          <w:spacing w:val="0"/>
          <w:position w:val="0"/>
          <w:sz w:val="24"/>
          <w:szCs w:val="24"/>
          <w:highlight w:val="none"/>
        </w:rPr>
      </w:pPr>
      <w:r>
        <w:rPr>
          <w:rFonts w:hint="default" w:ascii="Times New Roman" w:hAnsi="Times New Roman" w:eastAsia="宋体" w:cs="Times New Roman"/>
          <w:color w:val="auto"/>
          <w:spacing w:val="0"/>
          <w:position w:val="0"/>
          <w:sz w:val="24"/>
          <w:szCs w:val="24"/>
          <w:highlight w:val="none"/>
        </w:rPr>
        <w:t>良种奶牛繁育说明：本工程采用全混合日粮饲喂技术，实现饲喂机械化、自动化、规模化，与散栏式饲养方式相适应。将牛群分为</w:t>
      </w:r>
      <w:r>
        <w:rPr>
          <w:rFonts w:hint="eastAsia" w:cs="Times New Roman"/>
          <w:color w:val="auto"/>
          <w:spacing w:val="0"/>
          <w:position w:val="0"/>
          <w:sz w:val="24"/>
          <w:szCs w:val="24"/>
          <w:highlight w:val="none"/>
          <w:lang w:eastAsia="zh-CN"/>
        </w:rPr>
        <w:t>牛犊</w:t>
      </w:r>
      <w:r>
        <w:rPr>
          <w:rFonts w:hint="default" w:ascii="Times New Roman" w:hAnsi="Times New Roman" w:eastAsia="宋体" w:cs="Times New Roman"/>
          <w:color w:val="auto"/>
          <w:spacing w:val="0"/>
          <w:position w:val="0"/>
          <w:sz w:val="24"/>
          <w:szCs w:val="24"/>
          <w:highlight w:val="none"/>
        </w:rPr>
        <w:t>、</w:t>
      </w:r>
      <w:r>
        <w:rPr>
          <w:rFonts w:hint="default" w:ascii="Times New Roman" w:hAnsi="Times New Roman" w:cs="Times New Roman"/>
          <w:color w:val="auto"/>
          <w:spacing w:val="0"/>
          <w:position w:val="0"/>
          <w:sz w:val="24"/>
          <w:szCs w:val="24"/>
          <w:highlight w:val="none"/>
          <w:lang w:val="en-US" w:eastAsia="zh-CN"/>
        </w:rPr>
        <w:t>育成</w:t>
      </w:r>
      <w:r>
        <w:rPr>
          <w:rFonts w:hint="default" w:ascii="Times New Roman" w:hAnsi="Times New Roman" w:eastAsia="宋体" w:cs="Times New Roman"/>
          <w:color w:val="auto"/>
          <w:spacing w:val="0"/>
          <w:position w:val="0"/>
          <w:sz w:val="24"/>
          <w:szCs w:val="24"/>
          <w:highlight w:val="none"/>
        </w:rPr>
        <w:t>牛、</w:t>
      </w:r>
      <w:r>
        <w:rPr>
          <w:rFonts w:hint="default" w:ascii="Times New Roman" w:hAnsi="Times New Roman" w:cs="Times New Roman"/>
          <w:color w:val="auto"/>
          <w:spacing w:val="0"/>
          <w:position w:val="0"/>
          <w:sz w:val="24"/>
          <w:szCs w:val="24"/>
          <w:highlight w:val="none"/>
          <w:lang w:val="en-US" w:eastAsia="zh-CN"/>
        </w:rPr>
        <w:t>青年牛、</w:t>
      </w:r>
      <w:r>
        <w:rPr>
          <w:rFonts w:hint="default" w:ascii="Times New Roman" w:hAnsi="Times New Roman" w:eastAsia="宋体" w:cs="Times New Roman"/>
          <w:color w:val="auto"/>
          <w:spacing w:val="0"/>
          <w:position w:val="0"/>
          <w:sz w:val="24"/>
          <w:szCs w:val="24"/>
          <w:highlight w:val="none"/>
        </w:rPr>
        <w:t>干奶牛、泌乳牛，泌乳牛根据泌乳阶段分为泌乳早期、泌乳盛期</w:t>
      </w:r>
      <w:r>
        <w:rPr>
          <w:rFonts w:hint="default" w:ascii="Times New Roman" w:hAnsi="Times New Roman" w:cs="Times New Roman"/>
          <w:color w:val="auto"/>
          <w:spacing w:val="0"/>
          <w:position w:val="0"/>
          <w:sz w:val="24"/>
          <w:szCs w:val="24"/>
          <w:highlight w:val="none"/>
          <w:lang w:eastAsia="zh-CN"/>
        </w:rPr>
        <w:t>、</w:t>
      </w:r>
      <w:r>
        <w:rPr>
          <w:rFonts w:hint="default" w:ascii="Times New Roman" w:hAnsi="Times New Roman" w:eastAsia="宋体" w:cs="Times New Roman"/>
          <w:color w:val="auto"/>
          <w:spacing w:val="0"/>
          <w:position w:val="0"/>
          <w:sz w:val="24"/>
          <w:szCs w:val="24"/>
          <w:highlight w:val="none"/>
        </w:rPr>
        <w:t>泌乳中期、泌乳后期，进行分群饲养；根据不同牛群的营养需要，用饲料搅拌喂料车将不同比例的干草、青贮饲料、精料以及矿物质、维生素等各种添加剂混合，机械自动投喂给牛群、自由采食，另外用电脑饲喂器给高产奶牛补喂精料。在牛舍和运动场设置自动饮水器，自由饮水。</w:t>
      </w:r>
    </w:p>
    <w:p>
      <w:pPr>
        <w:pStyle w:val="7"/>
        <w:bidi w:val="0"/>
        <w:ind w:left="1009" w:hanging="1009"/>
        <w:rPr>
          <w:rFonts w:hint="default" w:ascii="Times New Roman" w:hAnsi="Times New Roman" w:eastAsia="宋体" w:cs="Times New Roman"/>
          <w:color w:val="auto"/>
        </w:rPr>
      </w:pPr>
      <w:r>
        <w:rPr>
          <w:rFonts w:hint="default" w:ascii="Times New Roman" w:hAnsi="Times New Roman" w:eastAsia="宋体" w:cs="Times New Roman"/>
          <w:color w:val="auto"/>
        </w:rPr>
        <w:t>产奶与产犊</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79"/>
        <w:textAlignment w:val="auto"/>
        <w:rPr>
          <w:rFonts w:hint="default" w:ascii="Times New Roman" w:hAnsi="Times New Roman" w:eastAsia="宋体" w:cs="Times New Roman"/>
          <w:color w:val="auto"/>
          <w:spacing w:val="0"/>
          <w:position w:val="0"/>
          <w:sz w:val="24"/>
          <w:szCs w:val="24"/>
          <w:highlight w:val="yellow"/>
        </w:rPr>
      </w:pPr>
      <w:r>
        <w:rPr>
          <w:rFonts w:hint="default" w:ascii="Times New Roman" w:hAnsi="Times New Roman" w:eastAsia="宋体" w:cs="Times New Roman"/>
          <w:color w:val="auto"/>
          <w:spacing w:val="0"/>
          <w:position w:val="0"/>
          <w:sz w:val="24"/>
          <w:szCs w:val="24"/>
          <w:highlight w:val="none"/>
        </w:rPr>
        <w:t>后备奶牛</w:t>
      </w:r>
      <w:r>
        <w:rPr>
          <w:rFonts w:hint="default" w:ascii="Times New Roman" w:hAnsi="Times New Roman" w:cs="Times New Roman"/>
          <w:color w:val="auto"/>
          <w:spacing w:val="0"/>
          <w:position w:val="0"/>
          <w:sz w:val="24"/>
          <w:szCs w:val="24"/>
          <w:highlight w:val="none"/>
          <w:lang w:eastAsia="zh-CN"/>
        </w:rPr>
        <w:t>（</w:t>
      </w:r>
      <w:r>
        <w:rPr>
          <w:rFonts w:hint="eastAsia" w:cs="Times New Roman"/>
          <w:color w:val="auto"/>
          <w:spacing w:val="0"/>
          <w:position w:val="0"/>
          <w:sz w:val="24"/>
          <w:szCs w:val="24"/>
          <w:highlight w:val="none"/>
          <w:lang w:eastAsia="zh-CN"/>
        </w:rPr>
        <w:t>牛犊</w:t>
      </w:r>
      <w:r>
        <w:rPr>
          <w:rFonts w:hint="default" w:ascii="Times New Roman" w:hAnsi="Times New Roman" w:eastAsia="宋体" w:cs="Times New Roman"/>
          <w:color w:val="auto"/>
          <w:spacing w:val="0"/>
          <w:position w:val="0"/>
          <w:sz w:val="24"/>
          <w:szCs w:val="24"/>
          <w:highlight w:val="none"/>
        </w:rPr>
        <w:t>、</w:t>
      </w:r>
      <w:r>
        <w:rPr>
          <w:rFonts w:hint="default" w:ascii="Times New Roman" w:hAnsi="Times New Roman" w:cs="Times New Roman"/>
          <w:color w:val="auto"/>
          <w:spacing w:val="0"/>
          <w:position w:val="0"/>
          <w:sz w:val="24"/>
          <w:szCs w:val="24"/>
          <w:highlight w:val="none"/>
          <w:lang w:val="en-US" w:eastAsia="zh-CN"/>
        </w:rPr>
        <w:t>育成</w:t>
      </w:r>
      <w:r>
        <w:rPr>
          <w:rFonts w:hint="default" w:ascii="Times New Roman" w:hAnsi="Times New Roman" w:eastAsia="宋体" w:cs="Times New Roman"/>
          <w:color w:val="auto"/>
          <w:spacing w:val="0"/>
          <w:position w:val="0"/>
          <w:sz w:val="24"/>
          <w:szCs w:val="24"/>
          <w:highlight w:val="none"/>
        </w:rPr>
        <w:t>牛、</w:t>
      </w:r>
      <w:r>
        <w:rPr>
          <w:rFonts w:hint="default" w:ascii="Times New Roman" w:hAnsi="Times New Roman" w:cs="Times New Roman"/>
          <w:color w:val="auto"/>
          <w:spacing w:val="0"/>
          <w:position w:val="0"/>
          <w:sz w:val="24"/>
          <w:szCs w:val="24"/>
          <w:highlight w:val="none"/>
          <w:lang w:val="en-US" w:eastAsia="zh-CN"/>
        </w:rPr>
        <w:t>青年牛</w:t>
      </w:r>
      <w:r>
        <w:rPr>
          <w:rFonts w:hint="default" w:ascii="Times New Roman" w:hAnsi="Times New Roman" w:cs="Times New Roman"/>
          <w:color w:val="auto"/>
          <w:spacing w:val="0"/>
          <w:position w:val="0"/>
          <w:sz w:val="24"/>
          <w:szCs w:val="24"/>
          <w:highlight w:val="none"/>
          <w:lang w:eastAsia="zh-CN"/>
        </w:rPr>
        <w:t>）</w:t>
      </w:r>
      <w:r>
        <w:rPr>
          <w:rFonts w:hint="default" w:ascii="Times New Roman" w:hAnsi="Times New Roman" w:eastAsia="宋体" w:cs="Times New Roman"/>
          <w:color w:val="auto"/>
          <w:spacing w:val="0"/>
          <w:position w:val="0"/>
          <w:sz w:val="24"/>
          <w:szCs w:val="24"/>
          <w:highlight w:val="none"/>
        </w:rPr>
        <w:t>饲养至19月龄成为成年奶牛，成年奶牛经人工授精手段成功配种后，再经280天的孕期产犊，同时开始产奶，产奶周期305天，然后进入约60天的干奶期。成年奶牛每次产犊60~90天后再次进行配种。</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rPr>
          <w:rFonts w:hint="default" w:ascii="Times New Roman" w:hAnsi="Times New Roman" w:eastAsia="宋体" w:cs="Times New Roman"/>
          <w:color w:val="auto"/>
          <w:spacing w:val="0"/>
          <w:position w:val="0"/>
          <w:sz w:val="24"/>
          <w:szCs w:val="24"/>
          <w:highlight w:val="none"/>
        </w:rPr>
      </w:pPr>
      <w:r>
        <w:rPr>
          <w:rFonts w:hint="default" w:ascii="Times New Roman" w:hAnsi="Times New Roman" w:eastAsia="宋体" w:cs="Times New Roman"/>
          <w:color w:val="auto"/>
          <w:spacing w:val="0"/>
          <w:position w:val="0"/>
          <w:sz w:val="24"/>
          <w:szCs w:val="24"/>
          <w:highlight w:val="none"/>
        </w:rPr>
        <w:t>奶牛场的生产过程就是不断重复“配种——妊娠——产犊”的</w:t>
      </w:r>
      <w:r>
        <w:rPr>
          <w:rFonts w:hint="eastAsia" w:cs="Times New Roman"/>
          <w:color w:val="auto"/>
          <w:spacing w:val="0"/>
          <w:position w:val="0"/>
          <w:sz w:val="24"/>
          <w:szCs w:val="24"/>
          <w:highlight w:val="none"/>
          <w:lang w:eastAsia="zh-CN"/>
        </w:rPr>
        <w:t>牛犊</w:t>
      </w:r>
      <w:r>
        <w:rPr>
          <w:rFonts w:hint="default" w:ascii="Times New Roman" w:hAnsi="Times New Roman" w:eastAsia="宋体" w:cs="Times New Roman"/>
          <w:color w:val="auto"/>
          <w:spacing w:val="0"/>
          <w:position w:val="0"/>
          <w:sz w:val="24"/>
          <w:szCs w:val="24"/>
          <w:highlight w:val="none"/>
        </w:rPr>
        <w:t>生产过程和“泌乳——干奶——泌乳”的牛奶的生产过程。一般每头奶牛的最优生产性能在前3个胎次，因此当单头奶牛产犊3胎后将被淘汰。</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textAlignment w:val="auto"/>
        <w:rPr>
          <w:rFonts w:hint="default" w:ascii="Times New Roman" w:hAnsi="Times New Roman" w:eastAsia="宋体" w:cs="Times New Roman"/>
          <w:color w:val="auto"/>
          <w:spacing w:val="0"/>
          <w:position w:val="0"/>
          <w:sz w:val="24"/>
          <w:szCs w:val="24"/>
          <w:highlight w:val="none"/>
        </w:rPr>
      </w:pPr>
      <w:r>
        <w:rPr>
          <w:rFonts w:hint="default" w:ascii="Times New Roman" w:hAnsi="Times New Roman" w:eastAsia="宋体" w:cs="Times New Roman"/>
          <w:color w:val="auto"/>
          <w:spacing w:val="0"/>
          <w:position w:val="0"/>
          <w:sz w:val="24"/>
          <w:szCs w:val="24"/>
          <w:highlight w:val="none"/>
        </w:rPr>
        <w:t>本项目公犊外售；母</w:t>
      </w:r>
      <w:r>
        <w:rPr>
          <w:rFonts w:hint="eastAsia" w:cs="Times New Roman"/>
          <w:color w:val="auto"/>
          <w:spacing w:val="0"/>
          <w:position w:val="0"/>
          <w:sz w:val="24"/>
          <w:szCs w:val="24"/>
          <w:highlight w:val="none"/>
          <w:lang w:eastAsia="zh-CN"/>
        </w:rPr>
        <w:t>牛犊</w:t>
      </w:r>
      <w:r>
        <w:rPr>
          <w:rFonts w:hint="default" w:ascii="Times New Roman" w:hAnsi="Times New Roman" w:eastAsia="宋体" w:cs="Times New Roman"/>
          <w:color w:val="auto"/>
          <w:spacing w:val="0"/>
          <w:position w:val="0"/>
          <w:sz w:val="24"/>
          <w:szCs w:val="24"/>
          <w:highlight w:val="none"/>
        </w:rPr>
        <w:t>部分</w:t>
      </w:r>
      <w:r>
        <w:rPr>
          <w:rFonts w:hint="default" w:ascii="Times New Roman" w:hAnsi="Times New Roman" w:cs="Times New Roman"/>
          <w:color w:val="auto"/>
          <w:spacing w:val="0"/>
          <w:position w:val="0"/>
          <w:sz w:val="24"/>
          <w:szCs w:val="24"/>
          <w:highlight w:val="none"/>
          <w:lang w:val="en-US" w:eastAsia="zh-CN"/>
        </w:rPr>
        <w:t>培育</w:t>
      </w:r>
      <w:r>
        <w:rPr>
          <w:rFonts w:hint="default" w:ascii="Times New Roman" w:hAnsi="Times New Roman" w:eastAsia="宋体" w:cs="Times New Roman"/>
          <w:color w:val="auto"/>
          <w:spacing w:val="0"/>
          <w:position w:val="0"/>
          <w:sz w:val="24"/>
          <w:szCs w:val="24"/>
          <w:highlight w:val="none"/>
        </w:rPr>
        <w:t>成乳牛群，其余作为优质奶牛外售。淘汰的成牛销售给屠宰厂。</w:t>
      </w:r>
    </w:p>
    <w:p>
      <w:pPr>
        <w:pStyle w:val="7"/>
        <w:bidi w:val="0"/>
        <w:ind w:left="1009" w:hanging="1009"/>
        <w:rPr>
          <w:rFonts w:hint="default" w:ascii="Times New Roman" w:hAnsi="Times New Roman" w:eastAsia="宋体" w:cs="Times New Roman"/>
          <w:color w:val="auto"/>
        </w:rPr>
      </w:pPr>
      <w:r>
        <w:rPr>
          <w:rFonts w:hint="default" w:ascii="Times New Roman" w:hAnsi="Times New Roman" w:eastAsia="宋体" w:cs="Times New Roman"/>
          <w:color w:val="auto"/>
        </w:rPr>
        <w:t>挤奶及贮奶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1"/>
        <w:textAlignment w:val="auto"/>
        <w:rPr>
          <w:rFonts w:hint="default" w:ascii="Times New Roman" w:hAnsi="Times New Roman" w:eastAsia="宋体" w:cs="Times New Roman"/>
          <w:color w:val="auto"/>
          <w:spacing w:val="0"/>
          <w:position w:val="0"/>
          <w:sz w:val="24"/>
          <w:szCs w:val="24"/>
          <w:highlight w:val="none"/>
        </w:rPr>
      </w:pPr>
      <w:r>
        <w:rPr>
          <w:rFonts w:hint="default" w:ascii="Times New Roman" w:hAnsi="Times New Roman" w:eastAsia="宋体" w:cs="Times New Roman"/>
          <w:color w:val="auto"/>
          <w:spacing w:val="0"/>
          <w:position w:val="0"/>
          <w:sz w:val="24"/>
          <w:szCs w:val="24"/>
          <w:highlight w:val="none"/>
        </w:rPr>
        <w:t>本项目建有挤奶厅，采用机器挤奶的方式。在挤奶厅内的奶牛</w:t>
      </w:r>
      <w:r>
        <w:rPr>
          <w:rFonts w:hint="default" w:ascii="Times New Roman" w:hAnsi="Times New Roman" w:cs="Times New Roman"/>
          <w:color w:val="auto"/>
          <w:spacing w:val="0"/>
          <w:position w:val="0"/>
          <w:sz w:val="24"/>
          <w:szCs w:val="24"/>
          <w:highlight w:val="none"/>
          <w:lang w:val="en-US" w:eastAsia="zh-CN"/>
        </w:rPr>
        <w:t>转盘式</w:t>
      </w:r>
      <w:r>
        <w:rPr>
          <w:rFonts w:hint="default" w:ascii="Times New Roman" w:hAnsi="Times New Roman" w:eastAsia="宋体" w:cs="Times New Roman"/>
          <w:color w:val="auto"/>
          <w:spacing w:val="0"/>
          <w:position w:val="0"/>
          <w:sz w:val="24"/>
          <w:szCs w:val="24"/>
          <w:highlight w:val="none"/>
        </w:rPr>
        <w:t>排列，能有效利用挤奶厅面积，适应大规模牧场的挤奶作业。挤奶机系由真空泵和挤奶器两大部分组成。前者主要包括真空泵、电动机、真空罐、真空调节器、真空压力表等；后者由挤奶桶、搏动器(或脉动器)、集乳器、挤奶杯和一些导管及橡皮管所组成。乳汁由挤奶杯通过挤乳器，由管道直接流入贮奶罐，与外界完全隔绝；且能根据乳流自动调节挤奶杯的真空压力，挤净后可自动脱落，整个过程中牛奶不与空气接触。</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rPr>
          <w:rFonts w:hint="default" w:ascii="Times New Roman" w:hAnsi="Times New Roman" w:eastAsia="宋体" w:cs="Times New Roman"/>
          <w:color w:val="auto"/>
          <w:spacing w:val="0"/>
          <w:position w:val="0"/>
          <w:sz w:val="24"/>
          <w:szCs w:val="24"/>
          <w:highlight w:val="none"/>
        </w:rPr>
      </w:pPr>
      <w:r>
        <w:rPr>
          <w:rFonts w:hint="default" w:ascii="Times New Roman" w:hAnsi="Times New Roman" w:eastAsia="宋体" w:cs="Times New Roman"/>
          <w:color w:val="auto"/>
          <w:spacing w:val="0"/>
          <w:position w:val="0"/>
          <w:sz w:val="24"/>
          <w:szCs w:val="24"/>
          <w:highlight w:val="none"/>
        </w:rPr>
        <w:t>（1）清洁检查：挤奶前先观察或触摸乳房外表是否有红、肿、热、痛症状或创伤。</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rPr>
          <w:rFonts w:hint="default" w:ascii="Times New Roman" w:hAnsi="Times New Roman" w:eastAsia="宋体" w:cs="Times New Roman"/>
          <w:color w:val="auto"/>
          <w:spacing w:val="0"/>
          <w:position w:val="0"/>
          <w:sz w:val="24"/>
          <w:szCs w:val="24"/>
          <w:highlight w:val="none"/>
        </w:rPr>
      </w:pPr>
      <w:r>
        <w:rPr>
          <w:rFonts w:hint="default" w:ascii="Times New Roman" w:hAnsi="Times New Roman" w:eastAsia="宋体" w:cs="Times New Roman"/>
          <w:color w:val="auto"/>
          <w:spacing w:val="0"/>
          <w:position w:val="0"/>
          <w:sz w:val="24"/>
          <w:szCs w:val="24"/>
          <w:highlight w:val="none"/>
        </w:rPr>
        <w:t>（2）挤头几把奶：把头几把奶挤到专用容器中，检查牛奶看是否有凝块、絮状物或水样，牛奶正常的牛方可上机挤奶；异常的，及时报告兽医治疗，单独挤奶，严禁混入正常牛奶中。</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rPr>
          <w:rFonts w:hint="default" w:ascii="Times New Roman" w:hAnsi="Times New Roman" w:eastAsia="宋体" w:cs="Times New Roman"/>
          <w:color w:val="auto"/>
          <w:spacing w:val="0"/>
          <w:position w:val="0"/>
          <w:sz w:val="24"/>
          <w:szCs w:val="24"/>
          <w:highlight w:val="none"/>
        </w:rPr>
      </w:pPr>
      <w:r>
        <w:rPr>
          <w:rFonts w:hint="default" w:ascii="Times New Roman" w:hAnsi="Times New Roman" w:eastAsia="宋体" w:cs="Times New Roman"/>
          <w:color w:val="auto"/>
          <w:spacing w:val="0"/>
          <w:position w:val="0"/>
          <w:sz w:val="24"/>
          <w:szCs w:val="24"/>
          <w:highlight w:val="none"/>
        </w:rPr>
        <w:t>（3）乳头预药浴：挤掉头几把奶后，对乳头进行预药浴，选用专用的乳头药浴液，药液作用时间应保持在（20-30）秒。</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rPr>
          <w:rFonts w:hint="default" w:ascii="Times New Roman" w:hAnsi="Times New Roman" w:eastAsia="宋体" w:cs="Times New Roman"/>
          <w:color w:val="auto"/>
          <w:spacing w:val="0"/>
          <w:position w:val="0"/>
          <w:sz w:val="24"/>
          <w:szCs w:val="24"/>
          <w:highlight w:val="none"/>
          <w:lang w:eastAsia="zh-CN"/>
        </w:rPr>
      </w:pPr>
      <w:r>
        <w:rPr>
          <w:rFonts w:hint="default" w:ascii="Times New Roman" w:hAnsi="Times New Roman" w:eastAsia="宋体" w:cs="Times New Roman"/>
          <w:color w:val="auto"/>
          <w:spacing w:val="0"/>
          <w:position w:val="0"/>
          <w:sz w:val="24"/>
          <w:szCs w:val="24"/>
          <w:highlight w:val="none"/>
        </w:rPr>
        <w:t>（4）干乳头：用一次性纸巾在药浴后擦干乳头及基部</w:t>
      </w:r>
      <w:r>
        <w:rPr>
          <w:rFonts w:hint="default" w:ascii="Times New Roman" w:hAnsi="Times New Roman" w:cs="Times New Roman"/>
          <w:color w:val="auto"/>
          <w:spacing w:val="0"/>
          <w:position w:val="0"/>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rPr>
          <w:rFonts w:hint="default" w:ascii="Times New Roman" w:hAnsi="Times New Roman" w:eastAsia="宋体" w:cs="Times New Roman"/>
          <w:color w:val="auto"/>
          <w:spacing w:val="0"/>
          <w:position w:val="0"/>
          <w:sz w:val="24"/>
          <w:szCs w:val="24"/>
          <w:highlight w:val="none"/>
        </w:rPr>
      </w:pPr>
      <w:r>
        <w:rPr>
          <w:rFonts w:hint="default" w:ascii="Times New Roman" w:hAnsi="Times New Roman" w:eastAsia="宋体" w:cs="Times New Roman"/>
          <w:color w:val="auto"/>
          <w:spacing w:val="0"/>
          <w:position w:val="0"/>
          <w:sz w:val="24"/>
          <w:szCs w:val="24"/>
          <w:highlight w:val="none"/>
        </w:rPr>
        <w:t>（5）上机挤奶：上述工作结束后，及时套上挤奶杯组（套杯过程中尽量避免空气进入杯组中）</w:t>
      </w:r>
      <w:r>
        <w:rPr>
          <w:rFonts w:hint="default" w:ascii="Times New Roman" w:hAnsi="Times New Roman" w:cs="Times New Roman"/>
          <w:color w:val="auto"/>
          <w:spacing w:val="0"/>
          <w:position w:val="0"/>
          <w:sz w:val="24"/>
          <w:szCs w:val="24"/>
          <w:highlight w:val="none"/>
          <w:lang w:val="en-US" w:eastAsia="zh-CN"/>
        </w:rPr>
        <w:t>进行挤奶</w:t>
      </w:r>
      <w:r>
        <w:rPr>
          <w:rFonts w:hint="default" w:ascii="Times New Roman" w:hAnsi="Times New Roman" w:eastAsia="宋体" w:cs="Times New Roman"/>
          <w:color w:val="auto"/>
          <w:spacing w:val="0"/>
          <w:position w:val="0"/>
          <w:sz w:val="24"/>
          <w:szCs w:val="24"/>
          <w:highlight w:val="none"/>
        </w:rPr>
        <w:t>。挤奶过程中观察真空稳定情况，挤奶杯组奶流情况，适当调整奶杯组的</w:t>
      </w:r>
      <w:r>
        <w:rPr>
          <w:rFonts w:hint="default" w:ascii="Times New Roman" w:hAnsi="Times New Roman" w:cs="Times New Roman"/>
          <w:color w:val="auto"/>
          <w:spacing w:val="0"/>
          <w:position w:val="0"/>
          <w:sz w:val="24"/>
          <w:szCs w:val="24"/>
          <w:highlight w:val="none"/>
          <w:lang w:val="en-US" w:eastAsia="zh-CN"/>
        </w:rPr>
        <w:t>位置</w:t>
      </w:r>
      <w:r>
        <w:rPr>
          <w:rFonts w:hint="default" w:ascii="Times New Roman" w:hAnsi="Times New Roman" w:eastAsia="宋体" w:cs="Times New Roman"/>
          <w:color w:val="auto"/>
          <w:spacing w:val="0"/>
          <w:position w:val="0"/>
          <w:sz w:val="24"/>
          <w:szCs w:val="24"/>
          <w:highlight w:val="none"/>
        </w:rPr>
        <w:t>。排乳接近结束，先关闭真空，再移走挤奶杯组。严禁下压挤奶机，避免过度挤奶。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rPr>
          <w:rFonts w:hint="default" w:ascii="Times New Roman" w:hAnsi="Times New Roman" w:eastAsia="宋体" w:cs="Times New Roman"/>
          <w:color w:val="auto"/>
          <w:spacing w:val="0"/>
          <w:position w:val="0"/>
          <w:sz w:val="24"/>
          <w:szCs w:val="24"/>
          <w:highlight w:val="none"/>
        </w:rPr>
      </w:pPr>
      <w:r>
        <w:rPr>
          <w:rFonts w:hint="default" w:ascii="Times New Roman" w:hAnsi="Times New Roman" w:eastAsia="宋体" w:cs="Times New Roman"/>
          <w:color w:val="auto"/>
          <w:spacing w:val="0"/>
          <w:position w:val="0"/>
          <w:sz w:val="24"/>
          <w:szCs w:val="24"/>
          <w:highlight w:val="none"/>
        </w:rPr>
        <w:t>（6）挤奶后药浴：挤奶结束后，应迅速进行乳头药浴，停留时间为（3-5）秒。</w:t>
      </w:r>
    </w:p>
    <w:p>
      <w:pPr>
        <w:pStyle w:val="7"/>
        <w:bidi w:val="0"/>
        <w:rPr>
          <w:rFonts w:hint="default" w:ascii="Times New Roman" w:hAnsi="Times New Roman" w:eastAsia="宋体" w:cs="Times New Roman"/>
          <w:color w:val="auto"/>
        </w:rPr>
      </w:pPr>
      <w:r>
        <w:rPr>
          <w:rFonts w:hint="default" w:ascii="Times New Roman" w:hAnsi="Times New Roman" w:eastAsia="宋体" w:cs="Times New Roman"/>
          <w:color w:val="auto"/>
        </w:rPr>
        <w:t>清粪</w:t>
      </w:r>
      <w:r>
        <w:rPr>
          <w:rFonts w:hint="eastAsia"/>
          <w:color w:val="auto"/>
          <w:lang w:val="en-US" w:eastAsia="zh-CN"/>
        </w:rPr>
        <w:t>和堆肥</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r>
        <w:rPr>
          <w:rFonts w:hint="default" w:ascii="Times New Roman" w:hAnsi="Times New Roman" w:cs="Times New Roman"/>
          <w:color w:val="auto"/>
          <w:highlight w:val="none"/>
          <w:lang w:eastAsia="zh-CN"/>
        </w:rPr>
        <w:t>粪污</w:t>
      </w:r>
      <w:r>
        <w:rPr>
          <w:rFonts w:hint="default" w:ascii="Times New Roman" w:hAnsi="Times New Roman" w:cs="Times New Roman"/>
          <w:color w:val="auto"/>
          <w:highlight w:val="none"/>
        </w:rPr>
        <w:t>采用干清粪的方式日产日清，由清粪车清运至堆粪场通过高温堆肥处理方式对粪污</w:t>
      </w:r>
      <w:r>
        <w:rPr>
          <w:rFonts w:hint="eastAsia" w:cs="Times New Roman"/>
          <w:color w:val="auto"/>
          <w:highlight w:val="none"/>
          <w:lang w:eastAsia="zh-CN"/>
        </w:rPr>
        <w:t>（</w:t>
      </w:r>
      <w:r>
        <w:rPr>
          <w:rFonts w:hint="eastAsia" w:cs="Times New Roman"/>
          <w:color w:val="auto"/>
          <w:highlight w:val="none"/>
          <w:lang w:val="en-US" w:eastAsia="zh-CN"/>
        </w:rPr>
        <w:t>含垫料</w:t>
      </w:r>
      <w:r>
        <w:rPr>
          <w:rFonts w:hint="eastAsia" w:cs="Times New Roman"/>
          <w:color w:val="auto"/>
          <w:highlight w:val="none"/>
          <w:lang w:eastAsia="zh-CN"/>
        </w:rPr>
        <w:t>）</w:t>
      </w:r>
      <w:r>
        <w:rPr>
          <w:rFonts w:hint="default" w:ascii="Times New Roman" w:hAnsi="Times New Roman" w:cs="Times New Roman"/>
          <w:color w:val="auto"/>
          <w:highlight w:val="none"/>
        </w:rPr>
        <w:t>进行无害化处理，</w:t>
      </w:r>
      <w:r>
        <w:rPr>
          <w:rFonts w:hint="eastAsia" w:cs="Times New Roman"/>
          <w:color w:val="auto"/>
          <w:highlight w:val="none"/>
          <w:lang w:val="en-US" w:eastAsia="zh-CN"/>
        </w:rPr>
        <w:t>堆肥后</w:t>
      </w:r>
      <w:r>
        <w:rPr>
          <w:rFonts w:hint="eastAsia" w:cs="Times New Roman"/>
          <w:color w:val="auto"/>
          <w:highlight w:val="none"/>
          <w:lang w:eastAsia="zh-CN"/>
        </w:rPr>
        <w:t>用于垫料及还田利用</w:t>
      </w:r>
      <w:r>
        <w:rPr>
          <w:rFonts w:hint="default" w:ascii="Times New Roman" w:hAnsi="Times New Roman" w:cs="Times New Roman"/>
          <w:color w:val="auto"/>
          <w:highlight w:val="none"/>
        </w:rPr>
        <w:t>，</w:t>
      </w:r>
      <w:r>
        <w:rPr>
          <w:rFonts w:hint="eastAsia" w:cs="Times New Roman"/>
          <w:color w:val="auto"/>
          <w:highlight w:val="none"/>
          <w:lang w:eastAsia="zh-CN"/>
        </w:rPr>
        <w:t>还田</w:t>
      </w:r>
      <w:r>
        <w:rPr>
          <w:rFonts w:hint="eastAsia" w:cs="Times New Roman"/>
          <w:color w:val="auto"/>
          <w:highlight w:val="none"/>
          <w:lang w:val="en-US" w:eastAsia="zh-CN"/>
        </w:rPr>
        <w:t>粪污</w:t>
      </w:r>
      <w:r>
        <w:rPr>
          <w:rFonts w:hint="default" w:ascii="Times New Roman" w:hAnsi="Times New Roman" w:cs="Times New Roman"/>
          <w:color w:val="auto"/>
          <w:highlight w:val="none"/>
        </w:rPr>
        <w:t>符合《粪便无害化卫生要求》（GB7959-2012），禁止未经处理的畜禽粪便直接施入农田。</w:t>
      </w:r>
    </w:p>
    <w:p>
      <w:pPr>
        <w:pageBreakBefore w:val="0"/>
        <w:numPr>
          <w:ilvl w:val="0"/>
          <w:numId w:val="15"/>
        </w:numPr>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堆肥概述：</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eastAsia"/>
          <w:color w:val="auto"/>
        </w:rPr>
        <w:t>堆肥指</w:t>
      </w:r>
      <w:r>
        <w:rPr>
          <w:rFonts w:hint="default" w:ascii="Times New Roman" w:hAnsi="Times New Roman" w:cs="Times New Roman"/>
          <w:color w:val="auto"/>
          <w:highlight w:val="none"/>
        </w:rPr>
        <w:t>将畜禽粪便等有机固体废物集中堆放并在微生物作用下使有机物发生生物降解，形成一种类似腐殖质土壤的物质过程。腐熟度指堆肥过程中的有机质经过矿化、腐殖化过程最后达到稳定的程度，是反映堆肥化过程中稳定化程度的指标。</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无害化处理指利用高温、好氧或厌氧等工艺杀灭畜禽粪污中病原菌、寄生虫和杂草种子的过程。</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本项目采用好氧堆肥技术进行无害化处理，即在不断进行翻堆充分供氧的条件下，利用好氧微生物对</w:t>
      </w:r>
      <w:r>
        <w:rPr>
          <w:rFonts w:hint="eastAsia" w:cs="Times New Roman"/>
          <w:color w:val="auto"/>
          <w:highlight w:val="none"/>
          <w:lang w:val="en-US" w:eastAsia="zh-CN"/>
        </w:rPr>
        <w:t>粪污</w:t>
      </w:r>
      <w:r>
        <w:rPr>
          <w:rFonts w:hint="default" w:ascii="Times New Roman" w:hAnsi="Times New Roman" w:cs="Times New Roman"/>
          <w:color w:val="auto"/>
          <w:highlight w:val="none"/>
        </w:rPr>
        <w:t>进行堆肥的方法。</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堆肥发酵过程通常包括</w:t>
      </w:r>
      <w:r>
        <w:rPr>
          <w:rFonts w:hint="default" w:ascii="Times New Roman" w:hAnsi="Times New Roman" w:cs="Times New Roman"/>
          <w:color w:val="auto"/>
          <w:highlight w:val="none"/>
          <w:lang w:eastAsia="zh-CN"/>
        </w:rPr>
        <w:t>预处理</w:t>
      </w:r>
      <w:r>
        <w:rPr>
          <w:rFonts w:hint="default" w:ascii="Times New Roman" w:hAnsi="Times New Roman" w:cs="Times New Roman"/>
          <w:color w:val="auto"/>
          <w:highlight w:val="none"/>
        </w:rPr>
        <w:t>、好氧发酵、后处理和贮存等环节。发酵前需与发酵菌剂、秸秆混合，同时调节水分、碳氮比等指标，发酵过程中不断进行翻堆，从而促使其腐熟。</w:t>
      </w:r>
    </w:p>
    <w:p>
      <w:pPr>
        <w:pStyle w:val="47"/>
        <w:pageBreakBefore w:val="0"/>
        <w:wordWrap/>
        <w:bidi w:val="0"/>
        <w:adjustRightInd w:val="0"/>
        <w:spacing w:line="360" w:lineRule="auto"/>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）堆肥工序</w:t>
      </w:r>
    </w:p>
    <w:p>
      <w:pPr>
        <w:pageBreakBefore w:val="0"/>
        <w:wordWrap/>
        <w:bidi w:val="0"/>
        <w:adjustRightInd w:val="0"/>
        <w:snapToGrid w:val="0"/>
        <w:spacing w:line="360" w:lineRule="auto"/>
        <w:ind w:left="0" w:leftChars="0" w:right="0" w:rightChars="0" w:firstLine="480" w:firstLineChars="200"/>
        <w:rPr>
          <w:rFonts w:hint="default" w:ascii="Times New Roman" w:hAnsi="Times New Roman" w:eastAsia="宋体" w:cs="Times New Roman"/>
          <w:color w:val="auto"/>
          <w:highlight w:val="none"/>
        </w:rPr>
      </w:pPr>
      <w:r>
        <w:rPr>
          <w:rFonts w:hint="default" w:ascii="Times New Roman" w:hAnsi="Times New Roman" w:cs="Times New Roman"/>
          <w:color w:val="auto"/>
          <w:sz w:val="24"/>
          <w:highlight w:val="none"/>
        </w:rPr>
        <w:t>好氧堆肥是在通气条件好，氧气充足的条件下，好氧菌对废物进行吸收、氧化以及分解的过程。好氧微生物通过自身的生命活动，把一部分被吸收的有机物氧化成简单的无机物，同时释放出可供微生物生长活动所需的能量，而另一部分有机物则被合成新的细胞质，使微生物不断生长繁殖，产生出更多生物体。通常，好氧堆肥的堆温较高，一般宜在55～60℃时较好，所以好氧堆肥也称高温堆肥。高温堆肥可以最大限度地杀灭病原菌，同时，对有机质的降解速度快，堆肥所需天数短，臭气发生量少，是堆肥化的首选。经好氧</w:t>
      </w:r>
      <w:r>
        <w:rPr>
          <w:rFonts w:hint="default" w:ascii="Times New Roman" w:hAnsi="Times New Roman" w:cs="Times New Roman"/>
          <w:color w:val="auto"/>
          <w:highlight w:val="none"/>
        </w:rPr>
        <w:t>堆肥处理达到《畜禽养殖业污染物排放标准》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GB18596-2001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中关于</w:t>
      </w:r>
      <w:r>
        <w:rPr>
          <w:rFonts w:hint="default" w:ascii="Times New Roman" w:hAnsi="Times New Roman" w:cs="Times New Roman"/>
          <w:color w:val="auto"/>
          <w:highlight w:val="none"/>
          <w:lang w:eastAsia="zh-CN"/>
        </w:rPr>
        <w:t>粪污</w:t>
      </w:r>
      <w:r>
        <w:rPr>
          <w:rFonts w:hint="default" w:ascii="Times New Roman" w:hAnsi="Times New Roman" w:cs="Times New Roman"/>
          <w:color w:val="auto"/>
          <w:highlight w:val="none"/>
        </w:rPr>
        <w:t>无害化处理的要求之后（蛔虫卵死亡率≥95%；粪大肠菌群数≤10</w:t>
      </w:r>
      <w:r>
        <w:rPr>
          <w:rFonts w:hint="default" w:ascii="Times New Roman" w:hAnsi="Times New Roman" w:cs="Times New Roman"/>
          <w:color w:val="auto"/>
          <w:highlight w:val="none"/>
          <w:vertAlign w:val="superscript"/>
        </w:rPr>
        <w:t>5</w:t>
      </w:r>
      <w:r>
        <w:rPr>
          <w:rFonts w:hint="default" w:ascii="Times New Roman" w:hAnsi="Times New Roman" w:cs="Times New Roman"/>
          <w:color w:val="auto"/>
          <w:highlight w:val="none"/>
        </w:rPr>
        <w:t>个/kg），</w:t>
      </w:r>
      <w:r>
        <w:rPr>
          <w:rFonts w:hint="default" w:ascii="Times New Roman" w:hAnsi="Times New Roman" w:cs="Times New Roman"/>
          <w:color w:val="auto"/>
          <w:highlight w:val="none"/>
          <w:lang w:val="en-US" w:eastAsia="zh-CN"/>
        </w:rPr>
        <w:t>还田</w:t>
      </w:r>
      <w:r>
        <w:rPr>
          <w:rFonts w:hint="default" w:ascii="Times New Roman" w:hAnsi="Times New Roman" w:cs="Times New Roman"/>
          <w:color w:val="auto"/>
          <w:highlight w:val="none"/>
        </w:rPr>
        <w:t>施肥，种养结合，实现再生资源利用。</w:t>
      </w:r>
    </w:p>
    <w:p>
      <w:pPr>
        <w:pStyle w:val="47"/>
        <w:pageBreakBefore w:val="0"/>
        <w:wordWrap/>
        <w:bidi w:val="0"/>
        <w:adjustRightInd w:val="0"/>
        <w:spacing w:line="360" w:lineRule="auto"/>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好氧堆肥由预处理、发酵、后处理、贮存等工序组成。预处理和后处理过程中分选出的石头等杂物应进行妥善处理。畜禽粪便经过预处理调整水分和碳氮比（C/N），应符合下列要求：</w:t>
      </w:r>
    </w:p>
    <w:p>
      <w:pPr>
        <w:pStyle w:val="47"/>
        <w:pageBreakBefore w:val="0"/>
        <w:wordWrap/>
        <w:bidi w:val="0"/>
        <w:adjustRightInd w:val="0"/>
        <w:spacing w:line="360" w:lineRule="auto"/>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①堆肥粪便的起始含水率应为40%～60%；</w:t>
      </w:r>
    </w:p>
    <w:p>
      <w:pPr>
        <w:pStyle w:val="47"/>
        <w:pageBreakBefore w:val="0"/>
        <w:wordWrap/>
        <w:bidi w:val="0"/>
        <w:adjustRightInd w:val="0"/>
        <w:spacing w:line="360" w:lineRule="auto"/>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②碳氮比应为20:1～30:1，可通过添加植物秸秆、稻壳等物料进行调节，必要时添加菌剂和酶制剂；</w:t>
      </w:r>
    </w:p>
    <w:p>
      <w:pPr>
        <w:pStyle w:val="47"/>
        <w:pageBreakBefore w:val="0"/>
        <w:wordWrap/>
        <w:bidi w:val="0"/>
        <w:adjustRightInd w:val="0"/>
        <w:spacing w:line="360" w:lineRule="auto"/>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③堆肥粪便的pH应控制在6.5～8.5。</w:t>
      </w:r>
    </w:p>
    <w:p>
      <w:pPr>
        <w:pStyle w:val="47"/>
        <w:pageBreakBefore w:val="0"/>
        <w:wordWrap/>
        <w:bidi w:val="0"/>
        <w:adjustRightInd w:val="0"/>
        <w:spacing w:line="360" w:lineRule="auto"/>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好氧发酵过程应符合下列要求：</w:t>
      </w:r>
    </w:p>
    <w:p>
      <w:pPr>
        <w:pStyle w:val="47"/>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①发酵过程温度控制在55～65℃，且持续时间不得少于5天，最高温度不宜超过75℃；</w:t>
      </w:r>
    </w:p>
    <w:p>
      <w:pPr>
        <w:pStyle w:val="47"/>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②堆肥时间应根据碳氮比、湿度、天气条件、堆肥工艺类型及废物和添加剂种类确定；</w:t>
      </w:r>
    </w:p>
    <w:p>
      <w:pPr>
        <w:pStyle w:val="47"/>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③堆肥各点的氧气浓度不应低于10%；</w:t>
      </w:r>
    </w:p>
    <w:p>
      <w:pPr>
        <w:pStyle w:val="47"/>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④可适时采用翻堆方式自然通风或设有其它机械通风装置换气，以调节堆肥物料的氧气浓度和温度。</w:t>
      </w:r>
    </w:p>
    <w:p>
      <w:pPr>
        <w:pStyle w:val="47"/>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发酵结束时，应符合下列要求：</w:t>
      </w:r>
    </w:p>
    <w:p>
      <w:pPr>
        <w:pStyle w:val="47"/>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①碳氮比不大于 20:1；</w:t>
      </w:r>
    </w:p>
    <w:p>
      <w:pPr>
        <w:pStyle w:val="47"/>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②含水率为20%～35%；</w:t>
      </w:r>
    </w:p>
    <w:p>
      <w:pPr>
        <w:pStyle w:val="47"/>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③堆肥应符合无害化卫生要求的规定；</w:t>
      </w:r>
    </w:p>
    <w:p>
      <w:pPr>
        <w:pStyle w:val="47"/>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④耗氧速率趋于稳定；</w:t>
      </w:r>
    </w:p>
    <w:p>
      <w:pPr>
        <w:pStyle w:val="47"/>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⑤腐熟度应大于等于Ⅳ级。</w:t>
      </w:r>
    </w:p>
    <w:p>
      <w:pPr>
        <w:pStyle w:val="47"/>
        <w:pageBreakBefore w:val="0"/>
        <w:wordWrap/>
        <w:bidi w:val="0"/>
        <w:adjustRightInd w:val="0"/>
        <w:ind w:left="0" w:leftChars="0" w:right="0" w:rightChars="0" w:firstLine="480"/>
        <w:rPr>
          <w:rFonts w:hint="default" w:ascii="Times New Roman" w:hAnsi="Times New Roman" w:eastAsia="宋体" w:cs="Times New Roman"/>
          <w:b/>
          <w:bCs/>
          <w:color w:val="auto"/>
          <w:highlight w:val="none"/>
        </w:rPr>
      </w:pPr>
      <w:r>
        <w:rPr>
          <w:rFonts w:hint="default" w:ascii="Times New Roman" w:hAnsi="Times New Roman" w:eastAsia="宋体" w:cs="Times New Roman"/>
          <w:color w:val="auto"/>
          <w:highlight w:val="none"/>
        </w:rPr>
        <w:t>发酵完毕后应进行后处理，确保堆肥制品质量合格。后处理包括再干燥、破碎、造粒、过筛、包装至成品等工序。本项目堆肥后</w:t>
      </w:r>
      <w:r>
        <w:rPr>
          <w:rFonts w:hint="eastAsia" w:ascii="Times New Roman" w:hAnsi="Times New Roman" w:eastAsia="宋体" w:cs="Times New Roman"/>
          <w:color w:val="auto"/>
          <w:highlight w:val="none"/>
          <w:lang w:eastAsia="zh-CN"/>
        </w:rPr>
        <w:t>用于垫料及还田利用</w:t>
      </w:r>
      <w:r>
        <w:rPr>
          <w:rFonts w:hint="default" w:ascii="Times New Roman" w:hAnsi="Times New Roman" w:eastAsia="宋体" w:cs="Times New Roman"/>
          <w:color w:val="auto"/>
          <w:highlight w:val="none"/>
        </w:rPr>
        <w:t>，因此不需进行后处理。</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）堆肥制品应符合下列要求</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 堆肥产品存放时，含水率应不高于30%，袋装堆肥含水率应不高于20%；</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 堆肥产品的含盐量应在1%～2%；</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 成品堆肥外观应为茶褐色或黑褐色，无恶臭，质地松散，具有泥土气味。</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本项目堆肥工艺流程及产污环节如下图3.</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drawing>
          <wp:inline distT="0" distB="0" distL="114300" distR="114300">
            <wp:extent cx="4705350" cy="3095625"/>
            <wp:effectExtent l="0" t="0" r="0" b="9525"/>
            <wp:docPr id="42" name="图片 42" descr="169339710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693397105631"/>
                    <pic:cNvPicPr>
                      <a:picLocks noChangeAspect="1"/>
                    </pic:cNvPicPr>
                  </pic:nvPicPr>
                  <pic:blipFill>
                    <a:blip r:embed="rId39"/>
                    <a:stretch>
                      <a:fillRect/>
                    </a:stretch>
                  </pic:blipFill>
                  <pic:spPr>
                    <a:xfrm>
                      <a:off x="0" y="0"/>
                      <a:ext cx="4705350" cy="30956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0" w:firstLineChars="0"/>
        <w:jc w:val="center"/>
        <w:textAlignment w:val="auto"/>
        <w:rPr>
          <w:rStyle w:val="57"/>
          <w:rFonts w:hint="default" w:ascii="Times New Roman" w:hAnsi="Times New Roman" w:cs="Times New Roman"/>
          <w:color w:val="auto"/>
          <w:sz w:val="21"/>
          <w:szCs w:val="21"/>
          <w:highlight w:val="none"/>
        </w:rPr>
      </w:pPr>
      <w:r>
        <w:rPr>
          <w:rStyle w:val="57"/>
          <w:rFonts w:hint="default" w:ascii="Times New Roman" w:hAnsi="Times New Roman" w:cs="Times New Roman"/>
          <w:color w:val="auto"/>
          <w:sz w:val="21"/>
          <w:szCs w:val="21"/>
          <w:highlight w:val="none"/>
        </w:rPr>
        <w:t>图3.</w:t>
      </w:r>
      <w:r>
        <w:rPr>
          <w:rStyle w:val="57"/>
          <w:rFonts w:hint="default" w:ascii="Times New Roman" w:hAnsi="Times New Roman" w:cs="Times New Roman"/>
          <w:color w:val="auto"/>
          <w:sz w:val="21"/>
          <w:szCs w:val="21"/>
          <w:highlight w:val="none"/>
          <w:lang w:val="en-US" w:eastAsia="zh-CN"/>
        </w:rPr>
        <w:t>2</w:t>
      </w:r>
      <w:r>
        <w:rPr>
          <w:rStyle w:val="57"/>
          <w:rFonts w:hint="default" w:ascii="Times New Roman" w:hAnsi="Times New Roman" w:cs="Times New Roman"/>
          <w:color w:val="auto"/>
          <w:sz w:val="21"/>
          <w:szCs w:val="21"/>
          <w:highlight w:val="none"/>
        </w:rPr>
        <w:t>-</w:t>
      </w:r>
      <w:r>
        <w:rPr>
          <w:rStyle w:val="57"/>
          <w:rFonts w:hint="default" w:ascii="Times New Roman" w:hAnsi="Times New Roman" w:cs="Times New Roman"/>
          <w:color w:val="auto"/>
          <w:sz w:val="21"/>
          <w:szCs w:val="21"/>
          <w:highlight w:val="none"/>
          <w:lang w:val="en-US" w:eastAsia="zh-CN"/>
        </w:rPr>
        <w:t>4</w:t>
      </w:r>
      <w:r>
        <w:rPr>
          <w:rStyle w:val="57"/>
          <w:rFonts w:hint="default" w:ascii="Times New Roman" w:hAnsi="Times New Roman" w:cs="Times New Roman"/>
          <w:color w:val="auto"/>
          <w:sz w:val="21"/>
          <w:szCs w:val="21"/>
          <w:highlight w:val="none"/>
        </w:rPr>
        <w:t xml:space="preserve">   堆肥工艺流程及产污环节</w:t>
      </w:r>
    </w:p>
    <w:p>
      <w:pPr>
        <w:pStyle w:val="7"/>
        <w:bidi w:val="0"/>
        <w:rPr>
          <w:rFonts w:hint="default"/>
          <w:color w:val="auto"/>
        </w:rPr>
      </w:pPr>
      <w:r>
        <w:rPr>
          <w:rFonts w:hint="default"/>
          <w:color w:val="auto"/>
        </w:rPr>
        <w:t>伤病管理</w:t>
      </w:r>
    </w:p>
    <w:p>
      <w:pPr>
        <w:keepNext w:val="0"/>
        <w:keepLines w:val="0"/>
        <w:pageBreakBefore w:val="0"/>
        <w:widowControl w:val="0"/>
        <w:kinsoku/>
        <w:wordWrap/>
        <w:overflowPunct/>
        <w:topLinePunct w:val="0"/>
        <w:autoSpaceDE/>
        <w:autoSpaceDN/>
        <w:bidi w:val="0"/>
        <w:adjustRightInd w:val="0"/>
        <w:snapToGrid w:val="0"/>
        <w:ind w:left="0" w:leftChars="0" w:right="0" w:rightChars="0" w:firstLine="480"/>
        <w:textAlignment w:val="auto"/>
        <w:rPr>
          <w:rFonts w:hint="default" w:ascii="Times New Roman" w:hAnsi="Times New Roman" w:cs="Times New Roman"/>
          <w:color w:val="auto"/>
          <w:spacing w:val="0"/>
          <w:position w:val="0"/>
          <w:sz w:val="24"/>
          <w:highlight w:val="none"/>
        </w:rPr>
      </w:pPr>
      <w:r>
        <w:rPr>
          <w:rFonts w:hint="default" w:ascii="Times New Roman" w:hAnsi="Times New Roman" w:cs="Times New Roman"/>
          <w:color w:val="auto"/>
          <w:spacing w:val="0"/>
          <w:position w:val="0"/>
          <w:sz w:val="24"/>
          <w:highlight w:val="none"/>
        </w:rPr>
        <w:t>（1）病牛处置：隔离注射治疗。</w:t>
      </w:r>
    </w:p>
    <w:p>
      <w:pPr>
        <w:keepNext w:val="0"/>
        <w:keepLines w:val="0"/>
        <w:pageBreakBefore w:val="0"/>
        <w:widowControl w:val="0"/>
        <w:kinsoku/>
        <w:wordWrap/>
        <w:overflowPunct/>
        <w:topLinePunct w:val="0"/>
        <w:autoSpaceDE/>
        <w:autoSpaceDN/>
        <w:bidi w:val="0"/>
        <w:adjustRightInd w:val="0"/>
        <w:snapToGrid w:val="0"/>
        <w:ind w:left="0" w:leftChars="0" w:right="0" w:rightChars="0" w:firstLine="480"/>
        <w:textAlignment w:val="auto"/>
        <w:rPr>
          <w:rFonts w:hint="default" w:ascii="Times New Roman" w:hAnsi="Times New Roman" w:cs="Times New Roman"/>
          <w:color w:val="auto"/>
          <w:spacing w:val="0"/>
          <w:position w:val="0"/>
          <w:sz w:val="24"/>
          <w:highlight w:val="none"/>
        </w:rPr>
      </w:pPr>
      <w:r>
        <w:rPr>
          <w:rFonts w:hint="default" w:ascii="Times New Roman" w:hAnsi="Times New Roman" w:cs="Times New Roman"/>
          <w:color w:val="auto"/>
          <w:spacing w:val="0"/>
          <w:position w:val="0"/>
          <w:sz w:val="24"/>
          <w:highlight w:val="none"/>
        </w:rPr>
        <w:t>（2）疫牛处置：一旦发现，立即向卫生监督部门上报并封闭全场。</w:t>
      </w:r>
    </w:p>
    <w:p>
      <w:pPr>
        <w:keepNext w:val="0"/>
        <w:keepLines w:val="0"/>
        <w:pageBreakBefore w:val="0"/>
        <w:widowControl w:val="0"/>
        <w:kinsoku/>
        <w:wordWrap/>
        <w:overflowPunct/>
        <w:topLinePunct w:val="0"/>
        <w:autoSpaceDE/>
        <w:autoSpaceDN/>
        <w:bidi w:val="0"/>
        <w:adjustRightInd w:val="0"/>
        <w:snapToGrid w:val="0"/>
        <w:ind w:left="0" w:leftChars="0" w:right="0" w:rightChars="0" w:firstLine="480"/>
        <w:textAlignment w:val="auto"/>
        <w:rPr>
          <w:rFonts w:hint="default" w:ascii="Times New Roman" w:hAnsi="Times New Roman" w:cs="Times New Roman"/>
          <w:color w:val="auto"/>
          <w:spacing w:val="0"/>
          <w:position w:val="0"/>
          <w:sz w:val="24"/>
          <w:highlight w:val="none"/>
        </w:rPr>
      </w:pPr>
      <w:r>
        <w:rPr>
          <w:rFonts w:hint="default" w:ascii="Times New Roman" w:hAnsi="Times New Roman" w:cs="Times New Roman"/>
          <w:color w:val="auto"/>
          <w:spacing w:val="0"/>
          <w:position w:val="0"/>
          <w:sz w:val="24"/>
          <w:highlight w:val="none"/>
        </w:rPr>
        <w:t>（3）死牛处理：</w:t>
      </w:r>
      <w:r>
        <w:rPr>
          <w:rFonts w:hint="default" w:ascii="Times New Roman" w:hAnsi="Times New Roman" w:cs="Times New Roman"/>
          <w:color w:val="auto"/>
          <w:spacing w:val="0"/>
          <w:position w:val="0"/>
          <w:sz w:val="24"/>
          <w:highlight w:val="none"/>
          <w:lang w:val="en-US" w:eastAsia="zh-CN"/>
        </w:rPr>
        <w:t>病死牛尸体</w:t>
      </w:r>
      <w:r>
        <w:rPr>
          <w:rFonts w:hint="eastAsia" w:cs="Times New Roman"/>
          <w:color w:val="auto"/>
          <w:spacing w:val="0"/>
          <w:position w:val="0"/>
          <w:sz w:val="24"/>
          <w:highlight w:val="none"/>
          <w:lang w:val="en-US" w:eastAsia="zh-CN"/>
        </w:rPr>
        <w:t>进入</w:t>
      </w:r>
      <w:r>
        <w:rPr>
          <w:rFonts w:hint="default" w:ascii="Times New Roman" w:hAnsi="Times New Roman" w:cs="Times New Roman"/>
          <w:color w:val="auto"/>
          <w:spacing w:val="0"/>
          <w:position w:val="0"/>
          <w:sz w:val="24"/>
          <w:highlight w:val="none"/>
          <w:lang w:val="en-US" w:eastAsia="zh-CN"/>
        </w:rPr>
        <w:t>安全填埋井填埋</w:t>
      </w:r>
      <w:r>
        <w:rPr>
          <w:rFonts w:hint="default" w:ascii="Times New Roman" w:hAnsi="Times New Roman" w:cs="Times New Roman"/>
          <w:color w:val="auto"/>
          <w:spacing w:val="0"/>
          <w:position w:val="0"/>
          <w:sz w:val="24"/>
          <w:highlight w:val="none"/>
        </w:rPr>
        <w:t>。</w:t>
      </w:r>
    </w:p>
    <w:p>
      <w:pPr>
        <w:pStyle w:val="4"/>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lang w:val="en-US" w:eastAsia="zh-CN"/>
        </w:rPr>
      </w:pPr>
      <w:bookmarkStart w:id="138" w:name="_Toc6417"/>
      <w:r>
        <w:rPr>
          <w:rFonts w:hint="default" w:ascii="Times New Roman" w:hAnsi="Times New Roman" w:eastAsia="宋体" w:cs="Times New Roman"/>
          <w:color w:val="auto"/>
          <w:highlight w:val="none"/>
          <w:lang w:val="en-US" w:eastAsia="zh-CN"/>
        </w:rPr>
        <w:t>工程污染源分析</w:t>
      </w:r>
      <w:bookmarkEnd w:id="136"/>
      <w:bookmarkEnd w:id="137"/>
      <w:bookmarkEnd w:id="138"/>
    </w:p>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139" w:name="_Toc28914"/>
      <w:bookmarkStart w:id="140" w:name="_Toc10314"/>
      <w:bookmarkStart w:id="141" w:name="_Toc3196_WPSOffice_Level2"/>
      <w:bookmarkStart w:id="142" w:name="_Toc17185"/>
      <w:bookmarkStart w:id="143" w:name="_Toc10937"/>
      <w:bookmarkStart w:id="144" w:name="_Toc19260"/>
      <w:r>
        <w:rPr>
          <w:rFonts w:hint="default" w:ascii="Times New Roman" w:hAnsi="Times New Roman" w:cs="Times New Roman"/>
          <w:color w:val="auto"/>
          <w:highlight w:val="none"/>
        </w:rPr>
        <w:t>施工期工程分析</w:t>
      </w:r>
      <w:bookmarkEnd w:id="139"/>
      <w:bookmarkEnd w:id="140"/>
      <w:bookmarkEnd w:id="141"/>
      <w:bookmarkEnd w:id="142"/>
      <w:bookmarkEnd w:id="143"/>
      <w:bookmarkEnd w:id="144"/>
    </w:p>
    <w:p>
      <w:pPr>
        <w:pStyle w:val="119"/>
        <w:pageBreakBefore w:val="0"/>
        <w:wordWrap/>
        <w:bidi w:val="0"/>
        <w:adjustRightInd w:val="0"/>
        <w:ind w:left="0" w:leftChars="0" w:right="0" w:rightChars="0"/>
        <w:rPr>
          <w:rFonts w:hint="default" w:ascii="Times New Roman" w:hAnsi="Times New Roman" w:cs="Times New Roman"/>
          <w:color w:val="auto"/>
          <w:highlight w:val="none"/>
          <w:lang w:val="en-US" w:eastAsia="zh-CN"/>
        </w:rPr>
      </w:pPr>
      <w:bookmarkStart w:id="145" w:name="_Toc4907"/>
      <w:r>
        <w:rPr>
          <w:rFonts w:hint="default" w:ascii="Times New Roman" w:hAnsi="Times New Roman" w:cs="Times New Roman"/>
          <w:color w:val="auto"/>
          <w:highlight w:val="none"/>
          <w:lang w:val="en-US" w:eastAsia="zh-CN"/>
        </w:rPr>
        <w:t>大气污染物排放分析</w:t>
      </w:r>
    </w:p>
    <w:p>
      <w:pPr>
        <w:pageBreakBefore w:val="0"/>
        <w:wordWrap/>
        <w:bidi w:val="0"/>
        <w:adjustRightInd w:val="0"/>
        <w:spacing w:line="360" w:lineRule="auto"/>
        <w:ind w:left="0" w:leftChars="0" w:right="0" w:rightChars="0" w:firstLine="480"/>
        <w:jc w:val="left"/>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大气污染主要来自于施工扬尘和施工机械废气，由于本项目的开挖面积较大，施工周期较长，所以，施工期间将不可避免地对当地的大气环境产生一定的负面影响，此外</w:t>
      </w:r>
      <w:r>
        <w:rPr>
          <w:rFonts w:hint="default" w:ascii="Times New Roman" w:hAnsi="Times New Roman" w:cs="Times New Roman"/>
          <w:color w:val="auto"/>
          <w:sz w:val="24"/>
          <w:szCs w:val="22"/>
          <w:highlight w:val="none"/>
          <w:lang w:eastAsia="zh-CN"/>
        </w:rPr>
        <w:t>建筑物</w:t>
      </w:r>
      <w:r>
        <w:rPr>
          <w:rFonts w:hint="default" w:ascii="Times New Roman" w:hAnsi="Times New Roman" w:cs="Times New Roman"/>
          <w:color w:val="auto"/>
          <w:sz w:val="24"/>
          <w:szCs w:val="22"/>
          <w:highlight w:val="none"/>
        </w:rPr>
        <w:t>的装修和设备安装等有可能对空气环境造成影响。</w:t>
      </w:r>
    </w:p>
    <w:p>
      <w:pPr>
        <w:pageBreakBefore w:val="0"/>
        <w:wordWrap/>
        <w:bidi w:val="0"/>
        <w:adjustRightInd w:val="0"/>
        <w:spacing w:line="360" w:lineRule="auto"/>
        <w:ind w:left="0" w:leftChars="0" w:right="0" w:rightChars="0" w:firstLine="480"/>
        <w:jc w:val="left"/>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施工期场地内扬尘主要由以下因素产生：① 施工土石方和结构施工阶段，施工场地内地表的挖掘与重整、土方和建材物料的堆放及运输等。② 干燥有风天气，运输车辆在施工场地内的道路和裸露施工面行使。</w:t>
      </w:r>
    </w:p>
    <w:p>
      <w:pPr>
        <w:pageBreakBefore w:val="0"/>
        <w:wordWrap/>
        <w:bidi w:val="0"/>
        <w:adjustRightInd w:val="0"/>
        <w:spacing w:line="360" w:lineRule="auto"/>
        <w:ind w:left="0" w:leftChars="0" w:right="0" w:rightChars="0" w:firstLine="480"/>
        <w:jc w:val="left"/>
        <w:rPr>
          <w:rFonts w:hint="default" w:ascii="Times New Roman" w:hAnsi="Times New Roman" w:cs="Times New Roman"/>
          <w:color w:val="auto"/>
          <w:spacing w:val="-6"/>
          <w:sz w:val="24"/>
          <w:szCs w:val="22"/>
          <w:highlight w:val="none"/>
        </w:rPr>
      </w:pPr>
      <w:r>
        <w:rPr>
          <w:rFonts w:hint="eastAsia" w:cs="Times New Roman"/>
          <w:color w:val="auto"/>
          <w:spacing w:val="-6"/>
          <w:sz w:val="24"/>
          <w:szCs w:val="22"/>
          <w:highlight w:val="none"/>
          <w:lang w:val="en-US" w:eastAsia="zh-CN"/>
        </w:rPr>
        <w:t>参照</w:t>
      </w:r>
      <w:r>
        <w:rPr>
          <w:rFonts w:hint="default" w:ascii="Times New Roman" w:hAnsi="Times New Roman" w:cs="Times New Roman"/>
          <w:color w:val="auto"/>
          <w:spacing w:val="-6"/>
          <w:sz w:val="24"/>
          <w:szCs w:val="22"/>
          <w:highlight w:val="none"/>
        </w:rPr>
        <w:t>环境保护部办公厅文件《关于排污申报与排污费征收有关问题的通知方法（试行）》环办[2014]80号）的计算方法</w:t>
      </w:r>
      <w:r>
        <w:rPr>
          <w:rFonts w:hint="eastAsia" w:cs="Times New Roman"/>
          <w:color w:val="auto"/>
          <w:spacing w:val="-6"/>
          <w:sz w:val="24"/>
          <w:szCs w:val="22"/>
          <w:highlight w:val="none"/>
          <w:lang w:eastAsia="zh-CN"/>
        </w:rPr>
        <w:t>，</w:t>
      </w:r>
      <w:r>
        <w:rPr>
          <w:rFonts w:hint="default" w:ascii="Times New Roman" w:hAnsi="Times New Roman" w:cs="Times New Roman"/>
          <w:color w:val="auto"/>
          <w:spacing w:val="-6"/>
          <w:sz w:val="24"/>
          <w:szCs w:val="22"/>
          <w:highlight w:val="none"/>
        </w:rPr>
        <w:t>本项目施工期扬尘产生量的计算结果如下：</w:t>
      </w:r>
    </w:p>
    <w:p>
      <w:pPr>
        <w:pageBreakBefore w:val="0"/>
        <w:wordWrap/>
        <w:bidi w:val="0"/>
        <w:adjustRightInd w:val="0"/>
        <w:spacing w:line="360" w:lineRule="auto"/>
        <w:ind w:left="0" w:leftChars="0" w:right="0" w:rightChars="0" w:firstLine="1200" w:firstLineChars="500"/>
        <w:jc w:val="left"/>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W=WE-WX</w:t>
      </w:r>
    </w:p>
    <w:p>
      <w:pPr>
        <w:pageBreakBefore w:val="0"/>
        <w:wordWrap/>
        <w:bidi w:val="0"/>
        <w:adjustRightInd w:val="0"/>
        <w:spacing w:line="360" w:lineRule="auto"/>
        <w:ind w:left="0" w:leftChars="0" w:right="0" w:rightChars="0" w:firstLine="1200" w:firstLineChars="500"/>
        <w:jc w:val="left"/>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WE=A×E×T</w:t>
      </w:r>
    </w:p>
    <w:p>
      <w:pPr>
        <w:pageBreakBefore w:val="0"/>
        <w:wordWrap/>
        <w:bidi w:val="0"/>
        <w:adjustRightInd w:val="0"/>
        <w:spacing w:line="360" w:lineRule="auto"/>
        <w:ind w:left="0" w:leftChars="0" w:right="0" w:rightChars="0" w:firstLine="1200" w:firstLineChars="500"/>
        <w:jc w:val="left"/>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WX=A×（P11+P12+P13+P14+P15+P21+P22）×T</w:t>
      </w:r>
    </w:p>
    <w:p>
      <w:pPr>
        <w:pageBreakBefore w:val="0"/>
        <w:wordWrap/>
        <w:bidi w:val="0"/>
        <w:adjustRightInd w:val="0"/>
        <w:spacing w:line="360" w:lineRule="auto"/>
        <w:ind w:left="0" w:leftChars="0" w:right="0" w:rightChars="0" w:firstLine="480"/>
        <w:jc w:val="left"/>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式中：W—施工工地扬尘排放量（千克）；</w:t>
      </w:r>
    </w:p>
    <w:p>
      <w:pPr>
        <w:pageBreakBefore w:val="0"/>
        <w:wordWrap/>
        <w:bidi w:val="0"/>
        <w:adjustRightInd w:val="0"/>
        <w:spacing w:line="360" w:lineRule="auto"/>
        <w:ind w:left="0" w:leftChars="0" w:right="0" w:rightChars="0" w:firstLine="1200" w:firstLineChars="500"/>
        <w:jc w:val="left"/>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WE—扬尘产生量（千克）；</w:t>
      </w:r>
    </w:p>
    <w:p>
      <w:pPr>
        <w:pageBreakBefore w:val="0"/>
        <w:wordWrap/>
        <w:bidi w:val="0"/>
        <w:adjustRightInd w:val="0"/>
        <w:spacing w:line="360" w:lineRule="auto"/>
        <w:ind w:left="0" w:leftChars="0" w:right="0" w:rightChars="0" w:firstLine="1200" w:firstLineChars="500"/>
        <w:jc w:val="left"/>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WX—扬尘削减量（千克）；</w:t>
      </w:r>
    </w:p>
    <w:p>
      <w:pPr>
        <w:pageBreakBefore w:val="0"/>
        <w:wordWrap/>
        <w:bidi w:val="0"/>
        <w:adjustRightInd w:val="0"/>
        <w:spacing w:line="360" w:lineRule="auto"/>
        <w:ind w:left="0" w:leftChars="0" w:right="0" w:rightChars="0" w:firstLine="1200" w:firstLineChars="500"/>
        <w:jc w:val="left"/>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A—</w:t>
      </w:r>
      <w:r>
        <w:rPr>
          <w:rFonts w:hint="default" w:ascii="Times New Roman" w:hAnsi="Times New Roman" w:cs="Times New Roman"/>
          <w:color w:val="auto"/>
          <w:sz w:val="24"/>
          <w:szCs w:val="22"/>
          <w:highlight w:val="none"/>
          <w:lang w:eastAsia="zh-CN"/>
        </w:rPr>
        <w:t>月</w:t>
      </w:r>
      <w:r>
        <w:rPr>
          <w:rFonts w:hint="default" w:ascii="Times New Roman" w:hAnsi="Times New Roman" w:cs="Times New Roman"/>
          <w:color w:val="auto"/>
          <w:sz w:val="24"/>
          <w:szCs w:val="22"/>
          <w:highlight w:val="none"/>
        </w:rPr>
        <w:t>建筑面积，平方米；</w:t>
      </w:r>
    </w:p>
    <w:p>
      <w:pPr>
        <w:pageBreakBefore w:val="0"/>
        <w:wordWrap/>
        <w:bidi w:val="0"/>
        <w:adjustRightInd w:val="0"/>
        <w:spacing w:line="360" w:lineRule="auto"/>
        <w:ind w:left="0" w:leftChars="0" w:right="0" w:rightChars="0" w:firstLine="1200" w:firstLineChars="500"/>
        <w:jc w:val="left"/>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E—扬尘产生量系数（千克∕平方米·月），取1.01千克∕平方米·月；</w:t>
      </w:r>
    </w:p>
    <w:p>
      <w:pPr>
        <w:pageBreakBefore w:val="0"/>
        <w:wordWrap/>
        <w:bidi w:val="0"/>
        <w:adjustRightInd w:val="0"/>
        <w:spacing w:line="360" w:lineRule="auto"/>
        <w:ind w:left="0" w:leftChars="0" w:right="0" w:rightChars="0" w:firstLine="1200" w:firstLineChars="500"/>
        <w:jc w:val="left"/>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P11、P12、P13、P14、P15—各项控制扬尘措施所对应的一次扬尘排放量削减系数（千克∕平方米·月），详见下表；</w:t>
      </w:r>
    </w:p>
    <w:p>
      <w:pPr>
        <w:pageBreakBefore w:val="0"/>
        <w:wordWrap/>
        <w:bidi w:val="0"/>
        <w:adjustRightInd w:val="0"/>
        <w:spacing w:line="360" w:lineRule="auto"/>
        <w:ind w:left="0" w:leftChars="0" w:right="0" w:rightChars="0" w:firstLine="960" w:firstLineChars="400"/>
        <w:jc w:val="left"/>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P21、P22—控制运输车辆扬尘所对应二次扬尘排放量削减系数（千克∕平方米·月），详见下表；</w:t>
      </w:r>
    </w:p>
    <w:p>
      <w:pPr>
        <w:pageBreakBefore w:val="0"/>
        <w:wordWrap/>
        <w:bidi w:val="0"/>
        <w:adjustRightInd w:val="0"/>
        <w:spacing w:line="360" w:lineRule="auto"/>
        <w:ind w:left="0" w:leftChars="0" w:right="0" w:rightChars="0" w:firstLine="1200" w:firstLineChars="500"/>
        <w:jc w:val="left"/>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T—施工期（月）。</w:t>
      </w: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3.3</w:t>
      </w:r>
      <w:r>
        <w:rPr>
          <w:rFonts w:hint="default" w:ascii="Times New Roman" w:hAnsi="Times New Roman" w:eastAsia="宋体" w:cs="Times New Roman"/>
          <w:b/>
          <w:bCs/>
          <w:color w:val="auto"/>
          <w:sz w:val="21"/>
          <w:szCs w:val="21"/>
          <w:highlight w:val="none"/>
        </w:rPr>
        <w:t>-1               施工扬尘产生、削减系数表</w:t>
      </w:r>
    </w:p>
    <w:tbl>
      <w:tblPr>
        <w:tblStyle w:val="39"/>
        <w:tblW w:w="913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659"/>
        <w:gridCol w:w="1468"/>
        <w:gridCol w:w="2404"/>
        <w:gridCol w:w="1900"/>
        <w:gridCol w:w="170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5" w:hRule="atLeast"/>
          <w:jc w:val="center"/>
        </w:trPr>
        <w:tc>
          <w:tcPr>
            <w:tcW w:w="3127" w:type="dxa"/>
            <w:gridSpan w:val="2"/>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工地类型</w:t>
            </w:r>
          </w:p>
        </w:tc>
        <w:tc>
          <w:tcPr>
            <w:tcW w:w="6007" w:type="dxa"/>
            <w:gridSpan w:val="3"/>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扬尘产生量系数（千克/平方米·月）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3127" w:type="dxa"/>
            <w:gridSpan w:val="2"/>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建筑施工</w:t>
            </w:r>
          </w:p>
        </w:tc>
        <w:tc>
          <w:tcPr>
            <w:tcW w:w="6007" w:type="dxa"/>
            <w:gridSpan w:val="3"/>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45" w:hRule="atLeast"/>
          <w:jc w:val="center"/>
        </w:trPr>
        <w:tc>
          <w:tcPr>
            <w:tcW w:w="1659" w:type="dxa"/>
            <w:vMerge w:val="restart"/>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工地类型</w:t>
            </w:r>
          </w:p>
        </w:tc>
        <w:tc>
          <w:tcPr>
            <w:tcW w:w="1468" w:type="dxa"/>
            <w:vMerge w:val="restart"/>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扬尘类型</w:t>
            </w:r>
          </w:p>
        </w:tc>
        <w:tc>
          <w:tcPr>
            <w:tcW w:w="2404" w:type="dxa"/>
            <w:vMerge w:val="restart"/>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扬尘污染控制措施</w:t>
            </w:r>
          </w:p>
        </w:tc>
        <w:tc>
          <w:tcPr>
            <w:tcW w:w="3603" w:type="dxa"/>
            <w:gridSpan w:val="2"/>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扬尘排放量削减系数</w:t>
            </w:r>
          </w:p>
          <w:p>
            <w:pPr>
              <w:pStyle w:val="70"/>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（千克/平方米·月）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1659" w:type="dxa"/>
            <w:vMerge w:val="continue"/>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468" w:type="dxa"/>
            <w:vMerge w:val="continue"/>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2404" w:type="dxa"/>
            <w:vMerge w:val="continue"/>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3603" w:type="dxa"/>
            <w:gridSpan w:val="2"/>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措施达标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1659" w:type="dxa"/>
            <w:vMerge w:val="continue"/>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468" w:type="dxa"/>
            <w:vMerge w:val="continue"/>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2404" w:type="dxa"/>
            <w:vMerge w:val="continue"/>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900" w:type="dxa"/>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c>
          <w:tcPr>
            <w:tcW w:w="1703" w:type="dxa"/>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1659" w:type="dxa"/>
            <w:vMerge w:val="restart"/>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建筑工地</w:t>
            </w:r>
          </w:p>
        </w:tc>
        <w:tc>
          <w:tcPr>
            <w:tcW w:w="1468" w:type="dxa"/>
            <w:vMerge w:val="restart"/>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一次扬尘</w:t>
            </w:r>
          </w:p>
        </w:tc>
        <w:tc>
          <w:tcPr>
            <w:tcW w:w="2404" w:type="dxa"/>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道路硬化措施</w:t>
            </w:r>
          </w:p>
        </w:tc>
        <w:tc>
          <w:tcPr>
            <w:tcW w:w="1900" w:type="dxa"/>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0.071</w:t>
            </w:r>
          </w:p>
        </w:tc>
        <w:tc>
          <w:tcPr>
            <w:tcW w:w="1703" w:type="dxa"/>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5" w:hRule="atLeast"/>
          <w:jc w:val="center"/>
        </w:trPr>
        <w:tc>
          <w:tcPr>
            <w:tcW w:w="1659" w:type="dxa"/>
            <w:vMerge w:val="continue"/>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468" w:type="dxa"/>
            <w:vMerge w:val="continue"/>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2404" w:type="dxa"/>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边界围挡</w:t>
            </w:r>
          </w:p>
        </w:tc>
        <w:tc>
          <w:tcPr>
            <w:tcW w:w="1900" w:type="dxa"/>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0.047</w:t>
            </w:r>
          </w:p>
        </w:tc>
        <w:tc>
          <w:tcPr>
            <w:tcW w:w="1703" w:type="dxa"/>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5" w:hRule="atLeast"/>
          <w:jc w:val="center"/>
        </w:trPr>
        <w:tc>
          <w:tcPr>
            <w:tcW w:w="1659" w:type="dxa"/>
            <w:vMerge w:val="continue"/>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468" w:type="dxa"/>
            <w:vMerge w:val="continue"/>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2404" w:type="dxa"/>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裸露地面覆盖</w:t>
            </w:r>
          </w:p>
        </w:tc>
        <w:tc>
          <w:tcPr>
            <w:tcW w:w="1900" w:type="dxa"/>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0.047</w:t>
            </w:r>
          </w:p>
        </w:tc>
        <w:tc>
          <w:tcPr>
            <w:tcW w:w="1703" w:type="dxa"/>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5" w:hRule="atLeast"/>
          <w:jc w:val="center"/>
        </w:trPr>
        <w:tc>
          <w:tcPr>
            <w:tcW w:w="1659" w:type="dxa"/>
            <w:vMerge w:val="continue"/>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468" w:type="dxa"/>
            <w:vMerge w:val="continue"/>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2404" w:type="dxa"/>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易扬尘物料覆盖</w:t>
            </w:r>
          </w:p>
        </w:tc>
        <w:tc>
          <w:tcPr>
            <w:tcW w:w="1900" w:type="dxa"/>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0.025</w:t>
            </w:r>
          </w:p>
        </w:tc>
        <w:tc>
          <w:tcPr>
            <w:tcW w:w="1703" w:type="dxa"/>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5" w:hRule="atLeast"/>
          <w:jc w:val="center"/>
        </w:trPr>
        <w:tc>
          <w:tcPr>
            <w:tcW w:w="1659" w:type="dxa"/>
            <w:vMerge w:val="continue"/>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468" w:type="dxa"/>
            <w:vMerge w:val="continue"/>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2404" w:type="dxa"/>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定期喷洒抑制剂</w:t>
            </w:r>
          </w:p>
        </w:tc>
        <w:tc>
          <w:tcPr>
            <w:tcW w:w="1900" w:type="dxa"/>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0.03</w:t>
            </w:r>
          </w:p>
        </w:tc>
        <w:tc>
          <w:tcPr>
            <w:tcW w:w="1703" w:type="dxa"/>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5" w:hRule="atLeast"/>
          <w:jc w:val="center"/>
        </w:trPr>
        <w:tc>
          <w:tcPr>
            <w:tcW w:w="1659" w:type="dxa"/>
            <w:vMerge w:val="continue"/>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468" w:type="dxa"/>
            <w:vMerge w:val="restart"/>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二次扬尘</w:t>
            </w:r>
          </w:p>
        </w:tc>
        <w:tc>
          <w:tcPr>
            <w:tcW w:w="2404" w:type="dxa"/>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运输车辆机械冲洗装置</w:t>
            </w:r>
          </w:p>
        </w:tc>
        <w:tc>
          <w:tcPr>
            <w:tcW w:w="1900" w:type="dxa"/>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0.31</w:t>
            </w:r>
          </w:p>
        </w:tc>
        <w:tc>
          <w:tcPr>
            <w:tcW w:w="1703" w:type="dxa"/>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4" w:hRule="atLeast"/>
          <w:jc w:val="center"/>
        </w:trPr>
        <w:tc>
          <w:tcPr>
            <w:tcW w:w="1659" w:type="dxa"/>
            <w:vMerge w:val="continue"/>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468" w:type="dxa"/>
            <w:vMerge w:val="continue"/>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2404" w:type="dxa"/>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运输车辆简易冲洗装置</w:t>
            </w:r>
          </w:p>
        </w:tc>
        <w:tc>
          <w:tcPr>
            <w:tcW w:w="1900" w:type="dxa"/>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0.155</w:t>
            </w:r>
          </w:p>
        </w:tc>
        <w:tc>
          <w:tcPr>
            <w:tcW w:w="1703" w:type="dxa"/>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r>
    </w:tbl>
    <w:p>
      <w:pPr>
        <w:pageBreakBefore w:val="0"/>
        <w:wordWrap/>
        <w:bidi w:val="0"/>
        <w:adjustRightInd w:val="0"/>
        <w:spacing w:line="360" w:lineRule="auto"/>
        <w:ind w:left="0" w:leftChars="0" w:right="0" w:rightChars="0"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WE=A×E×T=</w:t>
      </w:r>
      <w:r>
        <w:rPr>
          <w:rFonts w:hint="default" w:ascii="Times New Roman" w:hAnsi="Times New Roman" w:cs="Times New Roman"/>
          <w:color w:val="auto"/>
          <w:sz w:val="24"/>
          <w:szCs w:val="24"/>
          <w:highlight w:val="none"/>
          <w:lang w:val="en-US" w:eastAsia="zh-CN"/>
        </w:rPr>
        <w:t>52121.71/24</w:t>
      </w:r>
      <w:r>
        <w:rPr>
          <w:rFonts w:hint="default" w:ascii="Times New Roman" w:hAnsi="Times New Roman" w:cs="Times New Roman"/>
          <w:color w:val="auto"/>
          <w:sz w:val="24"/>
          <w:szCs w:val="24"/>
          <w:highlight w:val="none"/>
        </w:rPr>
        <w:t>×1.01×</w:t>
      </w:r>
      <w:r>
        <w:rPr>
          <w:rFonts w:hint="default" w:ascii="Times New Roman" w:hAnsi="Times New Roman" w:cs="Times New Roman"/>
          <w:color w:val="auto"/>
          <w:sz w:val="24"/>
          <w:szCs w:val="24"/>
          <w:highlight w:val="none"/>
          <w:lang w:val="en-US" w:eastAsia="zh-CN"/>
        </w:rPr>
        <w:t>24</w:t>
      </w:r>
      <w:r>
        <w:rPr>
          <w:rFonts w:hint="default" w:ascii="Times New Roman" w:hAnsi="Times New Roman" w:cs="Times New Roman"/>
          <w:color w:val="auto"/>
          <w:sz w:val="24"/>
          <w:szCs w:val="24"/>
          <w:highlight w:val="none"/>
        </w:rPr>
        <w:t>/1000=</w:t>
      </w:r>
      <w:r>
        <w:rPr>
          <w:rFonts w:hint="default" w:ascii="Times New Roman" w:hAnsi="Times New Roman" w:cs="Times New Roman"/>
          <w:color w:val="auto"/>
          <w:sz w:val="24"/>
          <w:szCs w:val="24"/>
          <w:highlight w:val="none"/>
          <w:lang w:val="en-US" w:eastAsia="zh-CN"/>
        </w:rPr>
        <w:t>52.6</w:t>
      </w:r>
      <w:r>
        <w:rPr>
          <w:rFonts w:hint="default" w:ascii="Times New Roman" w:hAnsi="Times New Roman" w:cs="Times New Roman"/>
          <w:color w:val="auto"/>
          <w:sz w:val="24"/>
          <w:szCs w:val="24"/>
          <w:highlight w:val="none"/>
        </w:rPr>
        <w:t>t</w:t>
      </w:r>
    </w:p>
    <w:p>
      <w:pPr>
        <w:pageBreakBefore w:val="0"/>
        <w:wordWrap/>
        <w:bidi w:val="0"/>
        <w:adjustRightInd w:val="0"/>
        <w:spacing w:line="360" w:lineRule="auto"/>
        <w:ind w:left="0" w:leftChars="0" w:right="0" w:rightChars="0"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WX=A×（P11+P12+P13+P14+P15+P21+P22）×T=</w:t>
      </w:r>
      <w:r>
        <w:rPr>
          <w:rFonts w:hint="default" w:ascii="Times New Roman" w:hAnsi="Times New Roman" w:cs="Times New Roman"/>
          <w:color w:val="auto"/>
          <w:sz w:val="24"/>
          <w:szCs w:val="24"/>
          <w:highlight w:val="none"/>
          <w:lang w:val="en-US" w:eastAsia="zh-CN"/>
        </w:rPr>
        <w:t>3</w:t>
      </w:r>
      <w:r>
        <w:rPr>
          <w:rFonts w:hint="eastAsia" w:cs="Times New Roman"/>
          <w:color w:val="auto"/>
          <w:sz w:val="24"/>
          <w:szCs w:val="24"/>
          <w:highlight w:val="none"/>
          <w:lang w:val="en-US" w:eastAsia="zh-CN"/>
        </w:rPr>
        <w:t>5.7</w:t>
      </w:r>
      <w:r>
        <w:rPr>
          <w:rFonts w:hint="default" w:ascii="Times New Roman" w:hAnsi="Times New Roman" w:cs="Times New Roman"/>
          <w:color w:val="auto"/>
          <w:sz w:val="24"/>
          <w:szCs w:val="24"/>
          <w:highlight w:val="none"/>
        </w:rPr>
        <w:t>t</w:t>
      </w:r>
    </w:p>
    <w:p>
      <w:pPr>
        <w:pageBreakBefore w:val="0"/>
        <w:wordWrap/>
        <w:bidi w:val="0"/>
        <w:adjustRightInd w:val="0"/>
        <w:spacing w:line="360" w:lineRule="auto"/>
        <w:ind w:left="0" w:leftChars="0" w:right="0" w:rightChars="0"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W=WE – WX =</w:t>
      </w:r>
      <w:r>
        <w:rPr>
          <w:rFonts w:hint="default" w:ascii="Times New Roman" w:hAnsi="Times New Roman" w:cs="Times New Roman"/>
          <w:color w:val="auto"/>
          <w:sz w:val="24"/>
          <w:szCs w:val="24"/>
          <w:highlight w:val="none"/>
          <w:lang w:val="en-US" w:eastAsia="zh-CN"/>
        </w:rPr>
        <w:t>52.6</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3</w:t>
      </w:r>
      <w:r>
        <w:rPr>
          <w:rFonts w:hint="eastAsia" w:cs="Times New Roman"/>
          <w:color w:val="auto"/>
          <w:sz w:val="24"/>
          <w:szCs w:val="24"/>
          <w:highlight w:val="none"/>
          <w:lang w:val="en-US" w:eastAsia="zh-CN"/>
        </w:rPr>
        <w:t>5.7</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16.</w:t>
      </w:r>
      <w:r>
        <w:rPr>
          <w:rFonts w:hint="eastAsia" w:cs="Times New Roman"/>
          <w:color w:val="auto"/>
          <w:sz w:val="24"/>
          <w:szCs w:val="24"/>
          <w:highlight w:val="none"/>
          <w:lang w:val="en-US" w:eastAsia="zh-CN"/>
        </w:rPr>
        <w:t>9</w:t>
      </w:r>
      <w:r>
        <w:rPr>
          <w:rFonts w:hint="default" w:ascii="Times New Roman" w:hAnsi="Times New Roman" w:cs="Times New Roman"/>
          <w:color w:val="auto"/>
          <w:sz w:val="24"/>
          <w:szCs w:val="24"/>
          <w:highlight w:val="none"/>
        </w:rPr>
        <w:t>t</w:t>
      </w:r>
    </w:p>
    <w:p>
      <w:pPr>
        <w:pageBreakBefore w:val="0"/>
        <w:wordWrap/>
        <w:bidi w:val="0"/>
        <w:adjustRightInd w:val="0"/>
        <w:spacing w:line="360" w:lineRule="auto"/>
        <w:ind w:left="0" w:leftChars="0" w:right="0" w:rightChars="0"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根据施工扬尘产生、削减系数表计算，则本项目施工期扬尘</w:t>
      </w:r>
      <w:r>
        <w:rPr>
          <w:rFonts w:hint="eastAsia" w:cs="Times New Roman"/>
          <w:color w:val="auto"/>
          <w:sz w:val="24"/>
          <w:szCs w:val="24"/>
          <w:highlight w:val="none"/>
          <w:lang w:val="en-US" w:eastAsia="zh-CN"/>
        </w:rPr>
        <w:t>排放</w:t>
      </w:r>
      <w:r>
        <w:rPr>
          <w:rFonts w:hint="default" w:ascii="Times New Roman" w:hAnsi="Times New Roman" w:cs="Times New Roman"/>
          <w:color w:val="auto"/>
          <w:sz w:val="24"/>
          <w:szCs w:val="24"/>
          <w:highlight w:val="none"/>
        </w:rPr>
        <w:t>量为</w:t>
      </w:r>
      <w:r>
        <w:rPr>
          <w:rFonts w:hint="default" w:ascii="Times New Roman" w:hAnsi="Times New Roman" w:cs="Times New Roman"/>
          <w:color w:val="auto"/>
          <w:sz w:val="24"/>
          <w:szCs w:val="24"/>
          <w:highlight w:val="none"/>
          <w:lang w:val="en-US" w:eastAsia="zh-CN"/>
        </w:rPr>
        <w:t>16.</w:t>
      </w:r>
      <w:r>
        <w:rPr>
          <w:rFonts w:hint="eastAsia" w:cs="Times New Roman"/>
          <w:color w:val="auto"/>
          <w:sz w:val="24"/>
          <w:szCs w:val="24"/>
          <w:highlight w:val="none"/>
          <w:lang w:val="en-US" w:eastAsia="zh-CN"/>
        </w:rPr>
        <w:t>9</w:t>
      </w:r>
      <w:r>
        <w:rPr>
          <w:rFonts w:hint="default" w:ascii="Times New Roman" w:hAnsi="Times New Roman" w:cs="Times New Roman"/>
          <w:color w:val="auto"/>
          <w:sz w:val="24"/>
          <w:szCs w:val="24"/>
          <w:highlight w:val="none"/>
        </w:rPr>
        <w:t>t。</w:t>
      </w:r>
    </w:p>
    <w:p>
      <w:pPr>
        <w:pageBreakBefore w:val="0"/>
        <w:wordWrap/>
        <w:bidi w:val="0"/>
        <w:adjustRightInd w:val="0"/>
        <w:spacing w:line="360" w:lineRule="auto"/>
        <w:ind w:left="0" w:leftChars="0" w:right="0" w:rightChars="0"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为防止施工扬尘对环境的污染，采</w:t>
      </w:r>
      <w:r>
        <w:rPr>
          <w:rFonts w:hint="default" w:ascii="Times New Roman" w:hAnsi="Times New Roman" w:eastAsia="宋体" w:cs="Times New Roman"/>
          <w:color w:val="auto"/>
          <w:sz w:val="24"/>
          <w:szCs w:val="24"/>
          <w:highlight w:val="none"/>
        </w:rPr>
        <w:t>取道路硬化</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边界围挡</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裸露地面覆盖</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易扬尘物料覆</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定期洒水降尘等</w:t>
      </w:r>
      <w:r>
        <w:rPr>
          <w:rFonts w:hint="default" w:ascii="Times New Roman" w:hAnsi="Times New Roman" w:eastAsia="宋体" w:cs="Times New Roman"/>
          <w:color w:val="auto"/>
          <w:sz w:val="24"/>
          <w:szCs w:val="24"/>
          <w:highlight w:val="none"/>
        </w:rPr>
        <w:t>措</w:t>
      </w:r>
      <w:r>
        <w:rPr>
          <w:rFonts w:hint="default" w:ascii="Times New Roman" w:hAnsi="Times New Roman" w:cs="Times New Roman"/>
          <w:color w:val="auto"/>
          <w:sz w:val="24"/>
          <w:szCs w:val="24"/>
          <w:highlight w:val="none"/>
        </w:rPr>
        <w:t>施，将施工场地扬尘排放浓度控制在1mg/m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内。</w:t>
      </w:r>
    </w:p>
    <w:p>
      <w:pPr>
        <w:pStyle w:val="119"/>
        <w:pageBreakBefore w:val="0"/>
        <w:wordWrap/>
        <w:bidi w:val="0"/>
        <w:adjustRightInd w:val="0"/>
        <w:ind w:left="0" w:leftChars="0" w:right="0" w:rightChars="0"/>
        <w:rPr>
          <w:rFonts w:hint="default" w:ascii="Times New Roman" w:hAnsi="Times New Roman" w:cs="Times New Roman"/>
          <w:color w:val="auto"/>
          <w:highlight w:val="none"/>
          <w:lang w:val="en-US" w:eastAsia="zh-CN"/>
        </w:rPr>
      </w:pPr>
      <w:bookmarkStart w:id="146" w:name="_Toc25890"/>
      <w:bookmarkStart w:id="147" w:name="_Toc26374"/>
      <w:bookmarkStart w:id="148" w:name="_Toc24387"/>
      <w:bookmarkStart w:id="149" w:name="_Toc22235"/>
      <w:r>
        <w:rPr>
          <w:rFonts w:hint="default" w:ascii="Times New Roman" w:hAnsi="Times New Roman" w:cs="Times New Roman"/>
          <w:color w:val="auto"/>
          <w:highlight w:val="none"/>
          <w:lang w:val="en-US" w:eastAsia="zh-CN"/>
        </w:rPr>
        <w:t>水污染物排放</w:t>
      </w:r>
      <w:bookmarkEnd w:id="146"/>
      <w:bookmarkEnd w:id="147"/>
      <w:bookmarkEnd w:id="148"/>
      <w:bookmarkEnd w:id="149"/>
      <w:r>
        <w:rPr>
          <w:rFonts w:hint="default" w:ascii="Times New Roman" w:hAnsi="Times New Roman" w:cs="Times New Roman"/>
          <w:color w:val="auto"/>
          <w:highlight w:val="none"/>
          <w:lang w:val="en-US" w:eastAsia="zh-CN"/>
        </w:rPr>
        <w:t>分析</w:t>
      </w:r>
    </w:p>
    <w:p>
      <w:pPr>
        <w:pageBreakBefore w:val="0"/>
        <w:wordWrap/>
        <w:bidi w:val="0"/>
        <w:adjustRightInd w:val="0"/>
        <w:spacing w:line="360" w:lineRule="auto"/>
        <w:ind w:left="0" w:leftChars="0" w:right="0" w:rightChars="0"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结合本项目的</w:t>
      </w:r>
      <w:r>
        <w:rPr>
          <w:rFonts w:hint="eastAsia" w:cs="Times New Roman"/>
          <w:color w:val="auto"/>
          <w:sz w:val="24"/>
          <w:szCs w:val="24"/>
          <w:highlight w:val="none"/>
          <w:lang w:val="en-US" w:eastAsia="zh-CN"/>
        </w:rPr>
        <w:t>施工特点</w:t>
      </w:r>
      <w:r>
        <w:rPr>
          <w:rFonts w:hint="default" w:ascii="Times New Roman" w:hAnsi="Times New Roman" w:cs="Times New Roman"/>
          <w:color w:val="auto"/>
          <w:sz w:val="24"/>
          <w:szCs w:val="24"/>
          <w:highlight w:val="none"/>
        </w:rPr>
        <w:t>，本项目施工过程中产生的废水主要来自于施工人员的生活污水、建筑施工废水和雨后地表径流形成的泥浆水以及其中所携带的污染物。</w:t>
      </w:r>
    </w:p>
    <w:p>
      <w:pPr>
        <w:pageBreakBefore w:val="0"/>
        <w:wordWrap/>
        <w:bidi w:val="0"/>
        <w:adjustRightInd w:val="0"/>
        <w:spacing w:line="360" w:lineRule="auto"/>
        <w:ind w:left="0" w:leftChars="0" w:right="0" w:rightChars="0" w:firstLine="480"/>
        <w:rPr>
          <w:rFonts w:hint="eastAsia" w:cs="Times New Roman"/>
          <w:color w:val="auto"/>
          <w:sz w:val="24"/>
          <w:szCs w:val="24"/>
          <w:highlight w:val="none"/>
          <w:lang w:val="en-US" w:eastAsia="zh-CN"/>
        </w:rPr>
      </w:pPr>
      <w:r>
        <w:rPr>
          <w:rFonts w:hint="default" w:ascii="Times New Roman" w:hAnsi="Times New Roman" w:cs="Times New Roman"/>
          <w:color w:val="auto"/>
          <w:sz w:val="24"/>
          <w:szCs w:val="24"/>
          <w:highlight w:val="none"/>
        </w:rPr>
        <w:t>根据施工单位提供的资料，本项目施工期间工人数最高峰为50人，施工人员平均用水量按30L/（人•日）计，其中80%作为</w:t>
      </w:r>
      <w:r>
        <w:rPr>
          <w:rFonts w:hint="default" w:ascii="Times New Roman" w:hAnsi="Times New Roman" w:cs="Times New Roman"/>
          <w:color w:val="auto"/>
          <w:sz w:val="24"/>
          <w:szCs w:val="24"/>
          <w:highlight w:val="none"/>
          <w:lang w:eastAsia="zh-CN"/>
        </w:rPr>
        <w:t>生活</w:t>
      </w:r>
      <w:r>
        <w:rPr>
          <w:rFonts w:hint="default" w:ascii="Times New Roman" w:hAnsi="Times New Roman" w:cs="Times New Roman"/>
          <w:color w:val="auto"/>
          <w:sz w:val="24"/>
          <w:szCs w:val="24"/>
          <w:highlight w:val="none"/>
        </w:rPr>
        <w:t>废水排放量，则本项目在施工期间的</w:t>
      </w:r>
      <w:r>
        <w:rPr>
          <w:rFonts w:hint="default" w:ascii="Times New Roman" w:hAnsi="Times New Roman" w:cs="Times New Roman"/>
          <w:color w:val="auto"/>
          <w:sz w:val="24"/>
          <w:szCs w:val="24"/>
          <w:highlight w:val="none"/>
          <w:lang w:eastAsia="zh-CN"/>
        </w:rPr>
        <w:t>生活</w:t>
      </w:r>
      <w:r>
        <w:rPr>
          <w:rFonts w:hint="default" w:ascii="Times New Roman" w:hAnsi="Times New Roman" w:cs="Times New Roman"/>
          <w:color w:val="auto"/>
          <w:sz w:val="24"/>
          <w:szCs w:val="24"/>
          <w:highlight w:val="none"/>
        </w:rPr>
        <w:t>污水量为1.2</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sz w:val="24"/>
          <w:szCs w:val="24"/>
          <w:highlight w:val="none"/>
        </w:rPr>
        <w:t>/d。</w:t>
      </w:r>
      <w:r>
        <w:rPr>
          <w:rFonts w:hint="eastAsia" w:cs="Times New Roman"/>
          <w:color w:val="auto"/>
          <w:sz w:val="24"/>
          <w:szCs w:val="24"/>
          <w:highlight w:val="none"/>
          <w:lang w:val="en-US" w:eastAsia="zh-CN"/>
        </w:rPr>
        <w:t>施工期生活污水进入集污池，定期清掏拉运至塔城市污水厂。</w:t>
      </w:r>
    </w:p>
    <w:p>
      <w:pPr>
        <w:pageBreakBefore w:val="0"/>
        <w:wordWrap/>
        <w:bidi w:val="0"/>
        <w:adjustRightInd w:val="0"/>
        <w:spacing w:line="360" w:lineRule="auto"/>
        <w:ind w:left="0" w:leftChars="0" w:right="0" w:rightChars="0" w:firstLine="480"/>
        <w:rPr>
          <w:rFonts w:hint="default"/>
          <w:color w:val="auto"/>
        </w:rPr>
      </w:pPr>
      <w:r>
        <w:rPr>
          <w:rFonts w:hint="default" w:ascii="Times New Roman" w:hAnsi="Times New Roman" w:cs="Times New Roman"/>
          <w:color w:val="auto"/>
          <w:sz w:val="24"/>
          <w:szCs w:val="24"/>
          <w:highlight w:val="none"/>
        </w:rPr>
        <w:t>施工废水来自清洗设备、材料等所产生的污水，此部分污水中的污染物质主要是SS，不含有其他有毒有害物质。施工废水</w:t>
      </w:r>
      <w:r>
        <w:rPr>
          <w:rFonts w:hint="default" w:ascii="Times New Roman" w:hAnsi="Times New Roman" w:cs="Times New Roman"/>
          <w:color w:val="auto"/>
          <w:sz w:val="24"/>
          <w:szCs w:val="24"/>
          <w:highlight w:val="none"/>
          <w:lang w:eastAsia="zh-CN"/>
        </w:rPr>
        <w:t>沉淀后回用于洒水降尘</w:t>
      </w:r>
      <w:r>
        <w:rPr>
          <w:rFonts w:hint="default" w:ascii="Times New Roman" w:hAnsi="Times New Roman" w:cs="Times New Roman"/>
          <w:color w:val="auto"/>
          <w:sz w:val="24"/>
          <w:szCs w:val="24"/>
          <w:highlight w:val="none"/>
        </w:rPr>
        <w:t>。</w:t>
      </w:r>
    </w:p>
    <w:p>
      <w:pPr>
        <w:pStyle w:val="119"/>
        <w:pageBreakBefore w:val="0"/>
        <w:wordWrap/>
        <w:bidi w:val="0"/>
        <w:adjustRightInd w:val="0"/>
        <w:ind w:left="0" w:leftChars="0" w:right="0" w:rightChars="0"/>
        <w:rPr>
          <w:rFonts w:hint="default" w:ascii="Times New Roman" w:hAnsi="Times New Roman" w:cs="Times New Roman"/>
          <w:color w:val="auto"/>
          <w:highlight w:val="none"/>
          <w:lang w:val="en-US" w:eastAsia="zh-CN"/>
        </w:rPr>
      </w:pPr>
      <w:bookmarkStart w:id="150" w:name="_Toc5560"/>
      <w:bookmarkStart w:id="151" w:name="_Toc6920"/>
      <w:bookmarkStart w:id="152" w:name="_Toc10751"/>
      <w:bookmarkStart w:id="153" w:name="_Toc31313"/>
      <w:r>
        <w:rPr>
          <w:rFonts w:hint="default" w:ascii="Times New Roman" w:hAnsi="Times New Roman" w:cs="Times New Roman"/>
          <w:color w:val="auto"/>
          <w:highlight w:val="none"/>
          <w:lang w:val="en-US" w:eastAsia="zh-CN"/>
        </w:rPr>
        <w:t>噪声污染排放</w:t>
      </w:r>
      <w:bookmarkEnd w:id="150"/>
      <w:bookmarkEnd w:id="151"/>
      <w:bookmarkEnd w:id="152"/>
      <w:bookmarkEnd w:id="153"/>
      <w:r>
        <w:rPr>
          <w:rFonts w:hint="default" w:ascii="Times New Roman" w:hAnsi="Times New Roman" w:cs="Times New Roman"/>
          <w:color w:val="auto"/>
          <w:highlight w:val="none"/>
          <w:lang w:val="en-US" w:eastAsia="zh-CN"/>
        </w:rPr>
        <w:t>分析</w:t>
      </w:r>
    </w:p>
    <w:p>
      <w:pPr>
        <w:pageBreakBefore w:val="0"/>
        <w:wordWrap/>
        <w:bidi w:val="0"/>
        <w:adjustRightInd w:val="0"/>
        <w:spacing w:line="360" w:lineRule="auto"/>
        <w:ind w:left="0" w:leftChars="0" w:right="0" w:rightChars="0"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期主要噪声源为建筑工地机械设备噪声和运输卡车的交通噪声。建筑工地噪声主要来自土地平整、地基加固和建筑施工等活动。土地平整的噪声主要来源于推土机、铲车、大卡车；地基加固的噪声来源于打桩机、运输车辆、空压机等。各种施工机械中对环境影响较大的噪声设备主要是打桩机、挖掘机等，主要施工机械的最大噪声级见表</w:t>
      </w:r>
      <w:r>
        <w:rPr>
          <w:rFonts w:hint="default" w:ascii="Times New Roman" w:hAnsi="Times New Roman" w:cs="Times New Roman"/>
          <w:color w:val="auto"/>
          <w:sz w:val="24"/>
          <w:szCs w:val="24"/>
          <w:highlight w:val="none"/>
          <w:lang w:val="en-US" w:eastAsia="zh-CN"/>
        </w:rPr>
        <w:t>3.3</w:t>
      </w:r>
      <w:r>
        <w:rPr>
          <w:rFonts w:hint="default" w:ascii="Times New Roman" w:hAnsi="Times New Roman" w:cs="Times New Roman"/>
          <w:color w:val="auto"/>
          <w:sz w:val="24"/>
          <w:szCs w:val="24"/>
          <w:highlight w:val="none"/>
        </w:rPr>
        <w:t>-2。</w:t>
      </w: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cs="Times New Roman"/>
          <w:b/>
          <w:bCs/>
          <w:color w:val="auto"/>
          <w:sz w:val="21"/>
          <w:szCs w:val="21"/>
          <w:highlight w:val="none"/>
          <w:lang w:val="en-US" w:eastAsia="zh-CN"/>
        </w:rPr>
        <w:t>3.3-2</w:t>
      </w:r>
      <w:r>
        <w:rPr>
          <w:rFonts w:hint="default" w:ascii="Times New Roman" w:hAnsi="Times New Roman" w:eastAsia="宋体" w:cs="Times New Roman"/>
          <w:b/>
          <w:bCs/>
          <w:color w:val="auto"/>
          <w:sz w:val="21"/>
          <w:szCs w:val="21"/>
          <w:highlight w:val="none"/>
        </w:rPr>
        <w:t xml:space="preserve">                 主要施工机械噪声值</w:t>
      </w:r>
    </w:p>
    <w:tbl>
      <w:tblPr>
        <w:tblStyle w:val="39"/>
        <w:tblW w:w="881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07"/>
        <w:gridCol w:w="1872"/>
        <w:gridCol w:w="3144"/>
        <w:gridCol w:w="299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9" w:hRule="atLeast"/>
          <w:jc w:val="center"/>
        </w:trPr>
        <w:tc>
          <w:tcPr>
            <w:tcW w:w="807"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872"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设备名称</w:t>
            </w:r>
          </w:p>
        </w:tc>
        <w:tc>
          <w:tcPr>
            <w:tcW w:w="3144"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测点与声源距离（m）</w:t>
            </w:r>
          </w:p>
        </w:tc>
        <w:tc>
          <w:tcPr>
            <w:tcW w:w="299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最大声级（dB（A））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9" w:hRule="atLeast"/>
          <w:jc w:val="center"/>
        </w:trPr>
        <w:tc>
          <w:tcPr>
            <w:tcW w:w="807"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872"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推土机</w:t>
            </w:r>
          </w:p>
        </w:tc>
        <w:tc>
          <w:tcPr>
            <w:tcW w:w="3144"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299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8</w:t>
            </w:r>
            <w:r>
              <w:rPr>
                <w:rFonts w:hint="default" w:ascii="Times New Roman" w:hAnsi="Times New Roman" w:cs="Times New Roman"/>
                <w:color w:val="auto"/>
                <w:sz w:val="21"/>
                <w:szCs w:val="21"/>
                <w:highlight w:val="none"/>
                <w:lang w:val="en-US" w:eastAsia="zh-CN"/>
              </w:rPr>
              <w:t>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9" w:hRule="atLeast"/>
          <w:jc w:val="center"/>
        </w:trPr>
        <w:tc>
          <w:tcPr>
            <w:tcW w:w="807"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872"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装载机</w:t>
            </w:r>
          </w:p>
        </w:tc>
        <w:tc>
          <w:tcPr>
            <w:tcW w:w="3144"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299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9</w:t>
            </w:r>
            <w:r>
              <w:rPr>
                <w:rFonts w:hint="default" w:ascii="Times New Roman" w:hAnsi="Times New Roman" w:cs="Times New Roman"/>
                <w:color w:val="auto"/>
                <w:sz w:val="21"/>
                <w:szCs w:val="21"/>
                <w:highlight w:val="none"/>
                <w:lang w:val="en-US" w:eastAsia="zh-CN"/>
              </w:rPr>
              <w:t>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9" w:hRule="atLeast"/>
          <w:jc w:val="center"/>
        </w:trPr>
        <w:tc>
          <w:tcPr>
            <w:tcW w:w="807"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872"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挖掘机</w:t>
            </w:r>
          </w:p>
        </w:tc>
        <w:tc>
          <w:tcPr>
            <w:tcW w:w="3144"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299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9" w:hRule="atLeast"/>
          <w:jc w:val="center"/>
        </w:trPr>
        <w:tc>
          <w:tcPr>
            <w:tcW w:w="807"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4</w:t>
            </w:r>
          </w:p>
        </w:tc>
        <w:tc>
          <w:tcPr>
            <w:tcW w:w="1872"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打桩机</w:t>
            </w:r>
          </w:p>
        </w:tc>
        <w:tc>
          <w:tcPr>
            <w:tcW w:w="3144"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99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3" w:hRule="atLeast"/>
          <w:jc w:val="center"/>
        </w:trPr>
        <w:tc>
          <w:tcPr>
            <w:tcW w:w="807"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5</w:t>
            </w:r>
          </w:p>
        </w:tc>
        <w:tc>
          <w:tcPr>
            <w:tcW w:w="1872"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升降机</w:t>
            </w:r>
          </w:p>
        </w:tc>
        <w:tc>
          <w:tcPr>
            <w:tcW w:w="3144"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99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77</w:t>
            </w:r>
          </w:p>
        </w:tc>
      </w:tr>
    </w:tbl>
    <w:p>
      <w:pPr>
        <w:pStyle w:val="119"/>
        <w:keepNext/>
        <w:keepLines/>
        <w:pageBreakBefore w:val="0"/>
        <w:widowControl w:val="0"/>
        <w:kinsoku/>
        <w:wordWrap/>
        <w:overflowPunct/>
        <w:topLinePunct w:val="0"/>
        <w:autoSpaceDE/>
        <w:autoSpaceDN/>
        <w:bidi w:val="0"/>
        <w:adjustRightInd w:val="0"/>
        <w:snapToGrid w:val="0"/>
        <w:spacing w:before="157" w:beforeLines="50"/>
        <w:ind w:left="0" w:leftChars="0" w:right="0" w:rightChars="0"/>
        <w:textAlignment w:val="auto"/>
        <w:rPr>
          <w:rFonts w:hint="default" w:ascii="Times New Roman" w:hAnsi="Times New Roman" w:cs="Times New Roman"/>
          <w:color w:val="auto"/>
          <w:highlight w:val="none"/>
          <w:lang w:val="en-US" w:eastAsia="zh-CN"/>
        </w:rPr>
      </w:pPr>
      <w:bookmarkStart w:id="154" w:name="_Toc31763"/>
      <w:bookmarkStart w:id="155" w:name="_Toc7035"/>
      <w:bookmarkStart w:id="156" w:name="_Toc14291"/>
      <w:bookmarkStart w:id="157" w:name="_Toc10293"/>
      <w:r>
        <w:rPr>
          <w:rFonts w:hint="default" w:ascii="Times New Roman" w:hAnsi="Times New Roman" w:cs="Times New Roman"/>
          <w:color w:val="auto"/>
          <w:highlight w:val="none"/>
          <w:lang w:val="en-US" w:eastAsia="zh-CN"/>
        </w:rPr>
        <w:t>固体废物</w:t>
      </w:r>
      <w:bookmarkEnd w:id="154"/>
      <w:bookmarkEnd w:id="155"/>
      <w:bookmarkEnd w:id="156"/>
      <w:bookmarkEnd w:id="157"/>
      <w:r>
        <w:rPr>
          <w:rFonts w:hint="default" w:ascii="Times New Roman" w:hAnsi="Times New Roman" w:cs="Times New Roman"/>
          <w:color w:val="auto"/>
          <w:highlight w:val="none"/>
          <w:lang w:val="en-US" w:eastAsia="zh-CN"/>
        </w:rPr>
        <w:t>分析</w:t>
      </w:r>
    </w:p>
    <w:p>
      <w:pPr>
        <w:pageBreakBefore w:val="0"/>
        <w:wordWrap/>
        <w:bidi w:val="0"/>
        <w:adjustRightInd w:val="0"/>
        <w:spacing w:line="360" w:lineRule="auto"/>
        <w:ind w:left="0" w:leftChars="0" w:right="0" w:rightChars="0"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施工期固体废物主要为施工人员的生活垃圾及建筑废料和包装材料等。本项目施工期间工人数最高峰为50人，本评价以0.5kg/d的人均生活垃圾产生量计算，故本项目施工期产生的生活垃圾量为25kg/d。施工过程产生的建筑垃圾</w:t>
      </w:r>
      <w:r>
        <w:rPr>
          <w:rFonts w:hint="eastAsia" w:cs="Times New Roman"/>
          <w:color w:val="auto"/>
          <w:sz w:val="24"/>
          <w:szCs w:val="24"/>
          <w:highlight w:val="none"/>
          <w:lang w:val="en-US" w:eastAsia="zh-CN"/>
        </w:rPr>
        <w:t>收集后运送至</w:t>
      </w:r>
      <w:r>
        <w:rPr>
          <w:rFonts w:hint="eastAsia" w:cs="Times New Roman"/>
          <w:color w:val="0000FF"/>
          <w:sz w:val="24"/>
          <w:szCs w:val="24"/>
          <w:highlight w:val="none"/>
          <w:lang w:eastAsia="zh-CN"/>
        </w:rPr>
        <w:t>管理部门指定地点</w:t>
      </w:r>
      <w:r>
        <w:rPr>
          <w:rFonts w:hint="default" w:ascii="Times New Roman" w:hAnsi="Times New Roman" w:cs="Times New Roman"/>
          <w:color w:val="auto"/>
          <w:sz w:val="24"/>
          <w:szCs w:val="24"/>
          <w:highlight w:val="none"/>
        </w:rPr>
        <w:t>。本项目施工过程中挖土全部</w:t>
      </w:r>
      <w:r>
        <w:rPr>
          <w:rFonts w:hint="default" w:ascii="Times New Roman" w:hAnsi="Times New Roman" w:cs="Times New Roman"/>
          <w:color w:val="auto"/>
          <w:sz w:val="24"/>
          <w:szCs w:val="24"/>
          <w:highlight w:val="none"/>
          <w:lang w:eastAsia="zh-CN"/>
        </w:rPr>
        <w:t>就地平整</w:t>
      </w:r>
      <w:r>
        <w:rPr>
          <w:rFonts w:hint="default" w:ascii="Times New Roman" w:hAnsi="Times New Roman" w:cs="Times New Roman"/>
          <w:color w:val="auto"/>
          <w:sz w:val="24"/>
          <w:szCs w:val="24"/>
          <w:highlight w:val="none"/>
        </w:rPr>
        <w:t>，无弃土产生。</w:t>
      </w:r>
    </w:p>
    <w:p>
      <w:pPr>
        <w:pStyle w:val="5"/>
        <w:keepNext/>
        <w:keepLines/>
        <w:pageBreakBefore w:val="0"/>
        <w:widowControl w:val="0"/>
        <w:kinsoku/>
        <w:wordWrap/>
        <w:overflowPunct/>
        <w:topLinePunct w:val="0"/>
        <w:autoSpaceDE/>
        <w:autoSpaceDN/>
        <w:bidi w:val="0"/>
        <w:adjustRightInd w:val="0"/>
        <w:snapToGrid w:val="0"/>
        <w:spacing w:before="157" w:beforeLines="50"/>
        <w:ind w:left="0" w:leftChars="0" w:right="0" w:rightChars="0"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运营期</w:t>
      </w:r>
      <w:bookmarkEnd w:id="145"/>
      <w:r>
        <w:rPr>
          <w:rFonts w:hint="default" w:ascii="Times New Roman" w:hAnsi="Times New Roman" w:cs="Times New Roman"/>
          <w:color w:val="auto"/>
          <w:highlight w:val="none"/>
          <w:lang w:val="en-US" w:eastAsia="zh-CN"/>
        </w:rPr>
        <w:t>工程分析</w:t>
      </w:r>
    </w:p>
    <w:p>
      <w:pPr>
        <w:pStyle w:val="119"/>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废气</w:t>
      </w:r>
    </w:p>
    <w:p>
      <w:pPr>
        <w:pageBreakBefore w:val="0"/>
        <w:wordWrap/>
        <w:bidi w:val="0"/>
        <w:adjustRightInd w:val="0"/>
        <w:ind w:left="0" w:leftChars="0" w:right="0" w:right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养殖区恶臭</w:t>
      </w:r>
    </w:p>
    <w:p>
      <w:pPr>
        <w:pageBreakBefore w:val="0"/>
        <w:wordWrap/>
        <w:bidi w:val="0"/>
        <w:adjustRightInd w:val="0"/>
        <w:ind w:left="0" w:leftChars="0" w:right="0" w:right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根据《排污许可证申请与核发技术规范 畜禽养殖行业》（HJ1029-2019）中奶牛产污系数：粪便产生量为25.71kg/d·头，粪便中总氮产生量为168.5g/d·头。尿液中总氮产生量为112.5g/d·头，《畜禽养殖业污染治理工程技术规范》附录A中“畜禽粪尿排泄系数”，牛排尿10kg/只·d。</w:t>
      </w:r>
      <w:r>
        <w:rPr>
          <w:rFonts w:hint="eastAsia" w:cs="Times New Roman"/>
          <w:color w:val="auto"/>
          <w:highlight w:val="none"/>
          <w:lang w:val="en-US" w:eastAsia="zh-CN"/>
        </w:rPr>
        <w:t>根据《</w:t>
      </w:r>
      <w:r>
        <w:rPr>
          <w:rFonts w:ascii="宋体" w:hAnsi="宋体" w:eastAsia="宋体" w:cs="宋体"/>
          <w:color w:val="auto"/>
          <w:sz w:val="24"/>
          <w:szCs w:val="24"/>
          <w:highlight w:val="none"/>
        </w:rPr>
        <w:t>大气氨源排放清单编制技术指南</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试行）</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本项目存栏量为3000头牛，</w:t>
      </w:r>
      <w:r>
        <w:rPr>
          <w:rFonts w:hint="eastAsia" w:cs="Times New Roman"/>
          <w:color w:val="auto"/>
          <w:highlight w:val="none"/>
          <w:lang w:val="en-US" w:eastAsia="zh-CN"/>
        </w:rPr>
        <w:t>集约化养殖畜禽粪便排泄物铵态氮比例为60%，转换系数1.214，排放系数取14%TAN，本项目圈舍</w:t>
      </w:r>
      <w:r>
        <w:rPr>
          <w:rFonts w:hint="default" w:ascii="Times New Roman" w:hAnsi="Times New Roman" w:cs="Times New Roman"/>
          <w:color w:val="auto"/>
          <w:highlight w:val="none"/>
          <w:lang w:val="en-US" w:eastAsia="zh-CN"/>
        </w:rPr>
        <w:t>NH</w:t>
      </w:r>
      <w:r>
        <w:rPr>
          <w:rFonts w:hint="default" w:ascii="Times New Roman" w:hAnsi="Times New Roman" w:cs="Times New Roman"/>
          <w:color w:val="auto"/>
          <w:highlight w:val="none"/>
          <w:vertAlign w:val="subscript"/>
          <w:lang w:val="en-US" w:eastAsia="zh-CN"/>
        </w:rPr>
        <w:t>3</w:t>
      </w:r>
      <w:r>
        <w:rPr>
          <w:rFonts w:hint="eastAsia" w:cs="Times New Roman"/>
          <w:color w:val="auto"/>
          <w:highlight w:val="none"/>
          <w:vertAlign w:val="baseline"/>
          <w:lang w:val="en-US" w:eastAsia="zh-CN"/>
        </w:rPr>
        <w:t>产生量为0.086t/a。</w:t>
      </w:r>
      <w:r>
        <w:rPr>
          <w:rFonts w:hint="default" w:ascii="Times New Roman" w:hAnsi="Times New Roman" w:cs="Times New Roman"/>
          <w:color w:val="auto"/>
          <w:highlight w:val="none"/>
          <w:lang w:val="en-US" w:eastAsia="zh-CN"/>
        </w:rPr>
        <w:t>项目生产养殖过程中，定期对牛舍喷洒微生物除臭剂，根据广东省微生物研究所罗永华等人的研究，微生物除臭剂（由氨氧化细菌、硫氧化细菌等多种微生物复合发酵制成的生物除臭剂EM生物菌）对恶臭的去除率65.2%～75.2%，本次评价取75%。NH</w:t>
      </w:r>
      <w:r>
        <w:rPr>
          <w:rFonts w:hint="default" w:ascii="Times New Roman" w:hAnsi="Times New Roman" w:cs="Times New Roman"/>
          <w:color w:val="auto"/>
          <w:highlight w:val="none"/>
          <w:vertAlign w:val="subscript"/>
          <w:lang w:val="en-US" w:eastAsia="zh-CN"/>
        </w:rPr>
        <w:t>3</w:t>
      </w:r>
      <w:r>
        <w:rPr>
          <w:rFonts w:hint="default" w:ascii="Times New Roman" w:hAnsi="Times New Roman" w:cs="Times New Roman"/>
          <w:color w:val="auto"/>
          <w:highlight w:val="none"/>
          <w:lang w:val="en-US" w:eastAsia="zh-CN"/>
        </w:rPr>
        <w:t>产污量详见表3.3-</w:t>
      </w:r>
      <w:r>
        <w:rPr>
          <w:rFonts w:hint="eastAsia" w:cs="Times New Roman"/>
          <w:color w:val="auto"/>
          <w:highlight w:val="none"/>
          <w:lang w:val="en-US" w:eastAsia="zh-CN"/>
        </w:rPr>
        <w:t>3</w:t>
      </w:r>
      <w:r>
        <w:rPr>
          <w:rFonts w:hint="default" w:ascii="Times New Roman" w:hAnsi="Times New Roman" w:cs="Times New Roman"/>
          <w:color w:val="auto"/>
          <w:highlight w:val="none"/>
          <w:lang w:val="en-US" w:eastAsia="zh-CN"/>
        </w:rPr>
        <w:t>。</w:t>
      </w:r>
    </w:p>
    <w:p>
      <w:pPr>
        <w:pStyle w:val="50"/>
        <w:pageBreakBefore w:val="0"/>
        <w:widowControl w:val="0"/>
        <w:kinsoku/>
        <w:wordWrap/>
        <w:overflowPunct/>
        <w:topLinePunct w:val="0"/>
        <w:autoSpaceDE/>
        <w:autoSpaceDN/>
        <w:bidi w:val="0"/>
        <w:adjustRightInd w:val="0"/>
        <w:snapToGrid w:val="0"/>
        <w:spacing w:afterLines="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表3.3-</w:t>
      </w:r>
      <w:r>
        <w:rPr>
          <w:rFonts w:hint="eastAsia" w:ascii="Times New Roman" w:hAnsi="Times New Roman"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 xml:space="preserve">  项目养殖区圈舍NH</w:t>
      </w:r>
      <w:r>
        <w:rPr>
          <w:rFonts w:hint="default" w:ascii="Times New Roman" w:hAnsi="Times New Roman" w:eastAsia="宋体" w:cs="Times New Roman"/>
          <w:color w:val="auto"/>
          <w:sz w:val="21"/>
          <w:szCs w:val="21"/>
          <w:highlight w:val="none"/>
          <w:vertAlign w:val="subscript"/>
          <w:lang w:val="en-US" w:eastAsia="zh-CN"/>
        </w:rPr>
        <w:t>3</w:t>
      </w:r>
      <w:r>
        <w:rPr>
          <w:rFonts w:hint="default" w:ascii="Times New Roman" w:hAnsi="Times New Roman" w:eastAsia="宋体" w:cs="Times New Roman"/>
          <w:color w:val="auto"/>
          <w:sz w:val="21"/>
          <w:szCs w:val="21"/>
          <w:highlight w:val="none"/>
          <w:lang w:val="en-US" w:eastAsia="zh-CN"/>
        </w:rPr>
        <w:t>排放情况</w:t>
      </w:r>
    </w:p>
    <w:tbl>
      <w:tblPr>
        <w:tblStyle w:val="40"/>
        <w:tblpPr w:leftFromText="180" w:rightFromText="180" w:vertAnchor="text" w:tblpXSpec="left" w:tblpY="1"/>
        <w:tblOverlap w:val="never"/>
        <w:tblW w:w="867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927"/>
        <w:gridCol w:w="787"/>
        <w:gridCol w:w="945"/>
        <w:gridCol w:w="3225"/>
        <w:gridCol w:w="575"/>
        <w:gridCol w:w="995"/>
        <w:gridCol w:w="12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4" w:hRule="atLeast"/>
        </w:trPr>
        <w:tc>
          <w:tcPr>
            <w:tcW w:w="927" w:type="dxa"/>
            <w:vMerge w:val="restar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污染物名称</w:t>
            </w:r>
          </w:p>
        </w:tc>
        <w:tc>
          <w:tcPr>
            <w:tcW w:w="7752" w:type="dxa"/>
            <w:gridSpan w:val="6"/>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NH</w:t>
            </w:r>
            <w:r>
              <w:rPr>
                <w:rFonts w:hint="default" w:ascii="Times New Roman" w:hAnsi="Times New Roman" w:eastAsia="宋体" w:cs="Times New Roman"/>
                <w:color w:val="auto"/>
                <w:sz w:val="21"/>
                <w:szCs w:val="21"/>
                <w:highlight w:val="none"/>
                <w:vertAlign w:val="sub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11" w:hRule="atLeast"/>
        </w:trPr>
        <w:tc>
          <w:tcPr>
            <w:tcW w:w="927" w:type="dxa"/>
            <w:vMerge w:val="continue"/>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c>
          <w:tcPr>
            <w:tcW w:w="787"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产生量（t/</w:t>
            </w:r>
            <w:r>
              <w:rPr>
                <w:rFonts w:hint="eastAsia" w:cs="Times New Roman"/>
                <w:color w:val="auto"/>
                <w:sz w:val="21"/>
                <w:szCs w:val="21"/>
                <w:highlight w:val="none"/>
                <w:lang w:val="en-US" w:eastAsia="zh-CN"/>
              </w:rPr>
              <w:t>a</w:t>
            </w:r>
            <w:r>
              <w:rPr>
                <w:rFonts w:hint="default" w:ascii="Times New Roman" w:hAnsi="Times New Roman" w:eastAsia="宋体" w:cs="Times New Roman"/>
                <w:color w:val="auto"/>
                <w:sz w:val="21"/>
                <w:szCs w:val="21"/>
                <w:highlight w:val="none"/>
                <w:lang w:val="en-US" w:eastAsia="zh-CN"/>
              </w:rPr>
              <w:t>）</w:t>
            </w:r>
          </w:p>
        </w:tc>
        <w:tc>
          <w:tcPr>
            <w:tcW w:w="945"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产生速率（kg/h）</w:t>
            </w:r>
          </w:p>
        </w:tc>
        <w:tc>
          <w:tcPr>
            <w:tcW w:w="3225"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措施</w:t>
            </w:r>
          </w:p>
        </w:tc>
        <w:tc>
          <w:tcPr>
            <w:tcW w:w="575"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去除率%</w:t>
            </w:r>
          </w:p>
        </w:tc>
        <w:tc>
          <w:tcPr>
            <w:tcW w:w="995"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排放量</w:t>
            </w:r>
            <w:r>
              <w:rPr>
                <w:rFonts w:hint="default" w:ascii="Times New Roman" w:hAnsi="Times New Roman" w:eastAsia="宋体" w:cs="Times New Roman"/>
                <w:color w:val="auto"/>
                <w:sz w:val="21"/>
                <w:szCs w:val="21"/>
                <w:highlight w:val="none"/>
                <w:lang w:val="en-US" w:eastAsia="zh-CN"/>
              </w:rPr>
              <w:t>（t/</w:t>
            </w:r>
            <w:r>
              <w:rPr>
                <w:rFonts w:hint="eastAsia" w:cs="Times New Roman"/>
                <w:color w:val="auto"/>
                <w:sz w:val="21"/>
                <w:szCs w:val="21"/>
                <w:highlight w:val="none"/>
                <w:lang w:val="en-US" w:eastAsia="zh-CN"/>
              </w:rPr>
              <w:t>a</w:t>
            </w:r>
            <w:r>
              <w:rPr>
                <w:rFonts w:hint="default" w:ascii="Times New Roman" w:hAnsi="Times New Roman" w:eastAsia="宋体" w:cs="Times New Roman"/>
                <w:color w:val="auto"/>
                <w:sz w:val="21"/>
                <w:szCs w:val="21"/>
                <w:highlight w:val="none"/>
                <w:lang w:val="en-US" w:eastAsia="zh-CN"/>
              </w:rPr>
              <w:t>）</w:t>
            </w:r>
          </w:p>
        </w:tc>
        <w:tc>
          <w:tcPr>
            <w:tcW w:w="1225"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67" w:hRule="atLeast"/>
        </w:trPr>
        <w:tc>
          <w:tcPr>
            <w:tcW w:w="927"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NH</w:t>
            </w:r>
            <w:r>
              <w:rPr>
                <w:rFonts w:hint="default" w:ascii="Times New Roman" w:hAnsi="Times New Roman" w:eastAsia="宋体" w:cs="Times New Roman"/>
                <w:color w:val="auto"/>
                <w:sz w:val="21"/>
                <w:szCs w:val="21"/>
                <w:highlight w:val="none"/>
                <w:vertAlign w:val="subscript"/>
                <w:lang w:val="en-US" w:eastAsia="zh-CN"/>
              </w:rPr>
              <w:t>3</w:t>
            </w:r>
          </w:p>
        </w:tc>
        <w:tc>
          <w:tcPr>
            <w:tcW w:w="787"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0.086</w:t>
            </w:r>
          </w:p>
        </w:tc>
        <w:tc>
          <w:tcPr>
            <w:tcW w:w="945"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0.001</w:t>
            </w:r>
          </w:p>
        </w:tc>
        <w:tc>
          <w:tcPr>
            <w:tcW w:w="3225"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一天一次干清粪，加强牛舍自然通风</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喷洒除臭剂</w:t>
            </w:r>
          </w:p>
        </w:tc>
        <w:tc>
          <w:tcPr>
            <w:tcW w:w="575"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75</w:t>
            </w:r>
          </w:p>
        </w:tc>
        <w:tc>
          <w:tcPr>
            <w:tcW w:w="995"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0.022</w:t>
            </w:r>
          </w:p>
        </w:tc>
        <w:tc>
          <w:tcPr>
            <w:tcW w:w="1225"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0.0025</w:t>
            </w:r>
          </w:p>
        </w:tc>
      </w:tr>
    </w:tbl>
    <w:p>
      <w:pPr>
        <w:keepNext w:val="0"/>
        <w:keepLines w:val="0"/>
        <w:pageBreakBefore w:val="0"/>
        <w:widowControl/>
        <w:suppressLineNumbers w:val="0"/>
        <w:kinsoku/>
        <w:wordWrap/>
        <w:overflowPunct/>
        <w:topLinePunct w:val="0"/>
        <w:autoSpaceDE/>
        <w:autoSpaceDN/>
        <w:bidi w:val="0"/>
        <w:adjustRightInd w:val="0"/>
        <w:snapToGrid w:val="0"/>
        <w:spacing w:before="157" w:beforeLines="50"/>
        <w:ind w:left="0" w:leftChars="0" w:right="0" w:rightChars="0"/>
        <w:jc w:val="both"/>
        <w:textAlignment w:val="auto"/>
        <w:rPr>
          <w:rFonts w:hint="default" w:ascii="Times New Roman" w:hAnsi="Times New Roman"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参考《舍饲散养自然通风</w:t>
      </w:r>
      <w:r>
        <w:rPr>
          <w:rFonts w:hint="default" w:ascii="Times New Roman" w:hAnsi="Times New Roman" w:cs="Times New Roman"/>
          <w:color w:val="auto"/>
          <w:kern w:val="0"/>
          <w:sz w:val="24"/>
          <w:szCs w:val="24"/>
          <w:highlight w:val="none"/>
          <w:lang w:val="en-US" w:eastAsia="zh-CN" w:bidi="ar"/>
        </w:rPr>
        <w:t>奶牛</w:t>
      </w:r>
      <w:r>
        <w:rPr>
          <w:rFonts w:hint="default" w:ascii="Times New Roman" w:hAnsi="Times New Roman" w:eastAsia="宋体" w:cs="Times New Roman"/>
          <w:color w:val="auto"/>
          <w:kern w:val="0"/>
          <w:sz w:val="24"/>
          <w:szCs w:val="24"/>
          <w:highlight w:val="none"/>
          <w:lang w:val="en-US" w:eastAsia="zh-CN" w:bidi="ar"/>
        </w:rPr>
        <w:t>舍的空气环境分析》（农业工程学报，2004年9 月）、《日粮不同种类的饲草料对荷斯坦青年母牛粪尿中总氮、氨态氮和粪中NH</w:t>
      </w:r>
      <w:r>
        <w:rPr>
          <w:rFonts w:hint="default" w:ascii="Times New Roman" w:hAnsi="Times New Roman" w:eastAsia="宋体" w:cs="Times New Roman"/>
          <w:color w:val="auto"/>
          <w:kern w:val="0"/>
          <w:sz w:val="24"/>
          <w:szCs w:val="24"/>
          <w:highlight w:val="none"/>
          <w:vertAlign w:val="sub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、H</w:t>
      </w:r>
      <w:r>
        <w:rPr>
          <w:rFonts w:hint="default" w:ascii="Times New Roman" w:hAnsi="Times New Roman" w:eastAsia="宋体" w:cs="Times New Roman"/>
          <w:color w:val="auto"/>
          <w:kern w:val="0"/>
          <w:sz w:val="24"/>
          <w:szCs w:val="24"/>
          <w:highlight w:val="none"/>
          <w:vertAlign w:val="sub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S散发量的影响》（《中国畜牧杂质》，2010（46）20），牛舍中H</w:t>
      </w:r>
      <w:r>
        <w:rPr>
          <w:rFonts w:hint="default" w:ascii="Times New Roman" w:hAnsi="Times New Roman" w:eastAsia="宋体" w:cs="Times New Roman"/>
          <w:color w:val="auto"/>
          <w:kern w:val="0"/>
          <w:sz w:val="24"/>
          <w:szCs w:val="24"/>
          <w:highlight w:val="none"/>
          <w:vertAlign w:val="sub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S排放系数为0.015kg/头·年，定期对牛舍喷洒微生物除臭剂，则本项目H</w:t>
      </w:r>
      <w:r>
        <w:rPr>
          <w:rFonts w:hint="default" w:ascii="Times New Roman" w:hAnsi="Times New Roman" w:eastAsia="宋体" w:cs="Times New Roman"/>
          <w:color w:val="auto"/>
          <w:kern w:val="0"/>
          <w:sz w:val="24"/>
          <w:szCs w:val="24"/>
          <w:highlight w:val="none"/>
          <w:vertAlign w:val="sub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S产污量详见表</w:t>
      </w:r>
      <w:r>
        <w:rPr>
          <w:rFonts w:hint="default" w:ascii="Times New Roman" w:hAnsi="Times New Roman" w:cs="Times New Roman"/>
          <w:color w:val="auto"/>
          <w:kern w:val="0"/>
          <w:sz w:val="24"/>
          <w:szCs w:val="24"/>
          <w:highlight w:val="none"/>
          <w:lang w:val="en-US" w:eastAsia="zh-CN" w:bidi="ar"/>
        </w:rPr>
        <w:t>3.3-</w:t>
      </w:r>
      <w:r>
        <w:rPr>
          <w:rFonts w:hint="eastAsia" w:cs="Times New Roman"/>
          <w:color w:val="auto"/>
          <w:kern w:val="0"/>
          <w:sz w:val="24"/>
          <w:szCs w:val="24"/>
          <w:highlight w:val="none"/>
          <w:lang w:val="en-US" w:eastAsia="zh-CN" w:bidi="ar"/>
        </w:rPr>
        <w:t>4</w:t>
      </w:r>
      <w:r>
        <w:rPr>
          <w:rFonts w:hint="default" w:ascii="Times New Roman" w:hAnsi="Times New Roman" w:cs="Times New Roman"/>
          <w:color w:val="auto"/>
          <w:kern w:val="0"/>
          <w:sz w:val="24"/>
          <w:szCs w:val="24"/>
          <w:highlight w:val="none"/>
          <w:lang w:val="en-US" w:eastAsia="zh-CN" w:bidi="ar"/>
        </w:rPr>
        <w:t>。</w:t>
      </w:r>
    </w:p>
    <w:p>
      <w:pPr>
        <w:pStyle w:val="50"/>
        <w:pageBreakBefore w:val="0"/>
        <w:widowControl w:val="0"/>
        <w:kinsoku/>
        <w:wordWrap/>
        <w:overflowPunct/>
        <w:topLinePunct w:val="0"/>
        <w:autoSpaceDE/>
        <w:autoSpaceDN/>
        <w:bidi w:val="0"/>
        <w:adjustRightInd w:val="0"/>
        <w:snapToGrid w:val="0"/>
        <w:spacing w:afterLines="0"/>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表3.3-</w:t>
      </w:r>
      <w:r>
        <w:rPr>
          <w:rFonts w:hint="eastAsia" w:ascii="Times New Roman" w:hAnsi="Times New Roman"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 xml:space="preserve">   项目养殖区圈舍</w:t>
      </w:r>
      <w:r>
        <w:rPr>
          <w:rFonts w:hint="default" w:ascii="Times New Roman" w:hAnsi="Times New Roman" w:eastAsia="宋体" w:cs="Times New Roman"/>
          <w:color w:val="auto"/>
          <w:kern w:val="0"/>
          <w:sz w:val="21"/>
          <w:szCs w:val="21"/>
          <w:highlight w:val="none"/>
          <w:lang w:val="en-US" w:eastAsia="zh-CN" w:bidi="ar"/>
        </w:rPr>
        <w:t>H</w:t>
      </w:r>
      <w:r>
        <w:rPr>
          <w:rFonts w:hint="default" w:ascii="Times New Roman" w:hAnsi="Times New Roman" w:eastAsia="宋体" w:cs="Times New Roman"/>
          <w:color w:val="auto"/>
          <w:kern w:val="0"/>
          <w:sz w:val="21"/>
          <w:szCs w:val="21"/>
          <w:highlight w:val="none"/>
          <w:vertAlign w:val="subscript"/>
          <w:lang w:val="en-US" w:eastAsia="zh-CN" w:bidi="ar"/>
        </w:rPr>
        <w:t>2</w:t>
      </w:r>
      <w:r>
        <w:rPr>
          <w:rFonts w:hint="default" w:ascii="Times New Roman" w:hAnsi="Times New Roman" w:eastAsia="宋体" w:cs="Times New Roman"/>
          <w:color w:val="auto"/>
          <w:kern w:val="0"/>
          <w:sz w:val="21"/>
          <w:szCs w:val="21"/>
          <w:highlight w:val="none"/>
          <w:lang w:val="en-US" w:eastAsia="zh-CN" w:bidi="ar"/>
        </w:rPr>
        <w:t>S</w:t>
      </w:r>
      <w:r>
        <w:rPr>
          <w:rFonts w:hint="default" w:ascii="Times New Roman" w:hAnsi="Times New Roman" w:eastAsia="宋体" w:cs="Times New Roman"/>
          <w:color w:val="auto"/>
          <w:sz w:val="21"/>
          <w:szCs w:val="21"/>
          <w:highlight w:val="none"/>
          <w:lang w:val="en-US" w:eastAsia="zh-CN"/>
        </w:rPr>
        <w:t>排放情况</w:t>
      </w:r>
    </w:p>
    <w:tbl>
      <w:tblPr>
        <w:tblStyle w:val="40"/>
        <w:tblW w:w="495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782"/>
        <w:gridCol w:w="755"/>
        <w:gridCol w:w="931"/>
        <w:gridCol w:w="1107"/>
        <w:gridCol w:w="2338"/>
        <w:gridCol w:w="569"/>
        <w:gridCol w:w="1003"/>
        <w:gridCol w:w="11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39" w:hRule="atLeast"/>
        </w:trPr>
        <w:tc>
          <w:tcPr>
            <w:tcW w:w="454" w:type="pct"/>
            <w:vMerge w:val="restar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污染物名称</w:t>
            </w:r>
          </w:p>
        </w:tc>
        <w:tc>
          <w:tcPr>
            <w:tcW w:w="438" w:type="pct"/>
            <w:vMerge w:val="restar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产生量（t/a）</w:t>
            </w:r>
          </w:p>
        </w:tc>
        <w:tc>
          <w:tcPr>
            <w:tcW w:w="4106" w:type="pct"/>
            <w:gridSpan w:val="6"/>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H</w:t>
            </w:r>
            <w:r>
              <w:rPr>
                <w:rFonts w:hint="default" w:ascii="Times New Roman" w:hAnsi="Times New Roman" w:eastAsia="宋体" w:cs="Times New Roman"/>
                <w:color w:val="auto"/>
                <w:kern w:val="0"/>
                <w:sz w:val="21"/>
                <w:szCs w:val="21"/>
                <w:highlight w:val="none"/>
                <w:vertAlign w:val="subscript"/>
                <w:lang w:val="en-US" w:eastAsia="zh-CN" w:bidi="ar"/>
              </w:rPr>
              <w:t>2</w:t>
            </w:r>
            <w:r>
              <w:rPr>
                <w:rFonts w:hint="default" w:ascii="Times New Roman" w:hAnsi="Times New Roman" w:eastAsia="宋体" w:cs="Times New Roman"/>
                <w:color w:val="auto"/>
                <w:kern w:val="0"/>
                <w:sz w:val="21"/>
                <w:szCs w:val="21"/>
                <w:highlight w:val="none"/>
                <w:lang w:val="en-US" w:eastAsia="zh-CN" w:bidi="ar"/>
              </w:rPr>
              <w:t>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33" w:hRule="atLeast"/>
        </w:trPr>
        <w:tc>
          <w:tcPr>
            <w:tcW w:w="454" w:type="pct"/>
            <w:vMerge w:val="continue"/>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c>
          <w:tcPr>
            <w:tcW w:w="438" w:type="pct"/>
            <w:vMerge w:val="continue"/>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c>
          <w:tcPr>
            <w:tcW w:w="54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H</w:t>
            </w:r>
            <w:r>
              <w:rPr>
                <w:rFonts w:hint="default" w:ascii="Times New Roman" w:hAnsi="Times New Roman" w:eastAsia="宋体" w:cs="Times New Roman"/>
                <w:color w:val="auto"/>
                <w:kern w:val="0"/>
                <w:sz w:val="21"/>
                <w:szCs w:val="21"/>
                <w:highlight w:val="none"/>
                <w:vertAlign w:val="subscript"/>
                <w:lang w:val="en-US" w:eastAsia="zh-CN" w:bidi="ar"/>
              </w:rPr>
              <w:t>2</w:t>
            </w:r>
            <w:r>
              <w:rPr>
                <w:rFonts w:hint="default" w:ascii="Times New Roman" w:hAnsi="Times New Roman" w:eastAsia="宋体" w:cs="Times New Roman"/>
                <w:color w:val="auto"/>
                <w:kern w:val="0"/>
                <w:sz w:val="21"/>
                <w:szCs w:val="21"/>
                <w:highlight w:val="none"/>
                <w:lang w:val="en-US" w:eastAsia="zh-CN" w:bidi="ar"/>
              </w:rPr>
              <w:t>S</w:t>
            </w:r>
            <w:r>
              <w:rPr>
                <w:rFonts w:hint="default" w:ascii="Times New Roman" w:hAnsi="Times New Roman" w:eastAsia="宋体" w:cs="Times New Roman"/>
                <w:color w:val="auto"/>
                <w:sz w:val="21"/>
                <w:szCs w:val="21"/>
                <w:highlight w:val="none"/>
                <w:lang w:val="en-US" w:eastAsia="zh-CN"/>
              </w:rPr>
              <w:t>产生量（t/d）</w:t>
            </w:r>
          </w:p>
        </w:tc>
        <w:tc>
          <w:tcPr>
            <w:tcW w:w="643"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H</w:t>
            </w:r>
            <w:r>
              <w:rPr>
                <w:rFonts w:hint="default" w:ascii="Times New Roman" w:hAnsi="Times New Roman" w:eastAsia="宋体" w:cs="Times New Roman"/>
                <w:color w:val="auto"/>
                <w:kern w:val="0"/>
                <w:sz w:val="21"/>
                <w:szCs w:val="21"/>
                <w:highlight w:val="none"/>
                <w:vertAlign w:val="subscript"/>
                <w:lang w:val="en-US" w:eastAsia="zh-CN" w:bidi="ar"/>
              </w:rPr>
              <w:t>2</w:t>
            </w:r>
            <w:r>
              <w:rPr>
                <w:rFonts w:hint="default" w:ascii="Times New Roman" w:hAnsi="Times New Roman" w:eastAsia="宋体" w:cs="Times New Roman"/>
                <w:color w:val="auto"/>
                <w:kern w:val="0"/>
                <w:sz w:val="21"/>
                <w:szCs w:val="21"/>
                <w:highlight w:val="none"/>
                <w:lang w:val="en-US" w:eastAsia="zh-CN" w:bidi="ar"/>
              </w:rPr>
              <w:t>S</w:t>
            </w:r>
            <w:r>
              <w:rPr>
                <w:rFonts w:hint="default" w:ascii="Times New Roman" w:hAnsi="Times New Roman" w:eastAsia="宋体" w:cs="Times New Roman"/>
                <w:color w:val="auto"/>
                <w:sz w:val="21"/>
                <w:szCs w:val="21"/>
                <w:highlight w:val="none"/>
                <w:vertAlign w:val="baseline"/>
                <w:lang w:val="en-US" w:eastAsia="zh-CN"/>
              </w:rPr>
              <w:t>产生速率（kg/h）</w:t>
            </w:r>
          </w:p>
        </w:tc>
        <w:tc>
          <w:tcPr>
            <w:tcW w:w="135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措施</w:t>
            </w:r>
          </w:p>
        </w:tc>
        <w:tc>
          <w:tcPr>
            <w:tcW w:w="330"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去除率%</w:t>
            </w:r>
          </w:p>
        </w:tc>
        <w:tc>
          <w:tcPr>
            <w:tcW w:w="582"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H</w:t>
            </w:r>
            <w:r>
              <w:rPr>
                <w:rFonts w:hint="default" w:ascii="Times New Roman" w:hAnsi="Times New Roman" w:eastAsia="宋体" w:cs="Times New Roman"/>
                <w:color w:val="auto"/>
                <w:kern w:val="0"/>
                <w:sz w:val="21"/>
                <w:szCs w:val="21"/>
                <w:highlight w:val="none"/>
                <w:vertAlign w:val="subscript"/>
                <w:lang w:val="en-US" w:eastAsia="zh-CN" w:bidi="ar"/>
              </w:rPr>
              <w:t>2</w:t>
            </w:r>
            <w:r>
              <w:rPr>
                <w:rFonts w:hint="default" w:ascii="Times New Roman" w:hAnsi="Times New Roman" w:eastAsia="宋体" w:cs="Times New Roman"/>
                <w:color w:val="auto"/>
                <w:kern w:val="0"/>
                <w:sz w:val="21"/>
                <w:szCs w:val="21"/>
                <w:highlight w:val="none"/>
                <w:lang w:val="en-US" w:eastAsia="zh-CN" w:bidi="ar"/>
              </w:rPr>
              <w:t>S</w:t>
            </w:r>
            <w:r>
              <w:rPr>
                <w:rFonts w:hint="default" w:ascii="Times New Roman" w:hAnsi="Times New Roman" w:eastAsia="宋体" w:cs="Times New Roman"/>
                <w:color w:val="auto"/>
                <w:sz w:val="21"/>
                <w:szCs w:val="21"/>
                <w:highlight w:val="none"/>
                <w:vertAlign w:val="baseline"/>
                <w:lang w:val="en-US" w:eastAsia="zh-CN"/>
              </w:rPr>
              <w:t>排放量</w:t>
            </w:r>
            <w:r>
              <w:rPr>
                <w:rFonts w:hint="default" w:ascii="Times New Roman" w:hAnsi="Times New Roman" w:eastAsia="宋体" w:cs="Times New Roman"/>
                <w:color w:val="auto"/>
                <w:sz w:val="21"/>
                <w:szCs w:val="21"/>
                <w:highlight w:val="none"/>
                <w:lang w:val="en-US" w:eastAsia="zh-CN"/>
              </w:rPr>
              <w:t>（t/</w:t>
            </w:r>
            <w:r>
              <w:rPr>
                <w:rFonts w:hint="eastAsia" w:cs="Times New Roman"/>
                <w:color w:val="auto"/>
                <w:sz w:val="21"/>
                <w:szCs w:val="21"/>
                <w:highlight w:val="none"/>
                <w:lang w:val="en-US" w:eastAsia="zh-CN"/>
              </w:rPr>
              <w:t>a</w:t>
            </w:r>
            <w:r>
              <w:rPr>
                <w:rFonts w:hint="default" w:ascii="Times New Roman" w:hAnsi="Times New Roman" w:eastAsia="宋体" w:cs="Times New Roman"/>
                <w:color w:val="auto"/>
                <w:sz w:val="21"/>
                <w:szCs w:val="21"/>
                <w:highlight w:val="none"/>
                <w:lang w:val="en-US" w:eastAsia="zh-CN"/>
              </w:rPr>
              <w:t>）</w:t>
            </w:r>
          </w:p>
        </w:tc>
        <w:tc>
          <w:tcPr>
            <w:tcW w:w="650"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H</w:t>
            </w:r>
            <w:r>
              <w:rPr>
                <w:rFonts w:hint="default" w:ascii="Times New Roman" w:hAnsi="Times New Roman" w:eastAsia="宋体" w:cs="Times New Roman"/>
                <w:color w:val="auto"/>
                <w:kern w:val="0"/>
                <w:sz w:val="21"/>
                <w:szCs w:val="21"/>
                <w:highlight w:val="none"/>
                <w:vertAlign w:val="subscript"/>
                <w:lang w:val="en-US" w:eastAsia="zh-CN" w:bidi="ar"/>
              </w:rPr>
              <w:t>2</w:t>
            </w:r>
            <w:r>
              <w:rPr>
                <w:rFonts w:hint="default" w:ascii="Times New Roman" w:hAnsi="Times New Roman" w:eastAsia="宋体" w:cs="Times New Roman"/>
                <w:color w:val="auto"/>
                <w:kern w:val="0"/>
                <w:sz w:val="21"/>
                <w:szCs w:val="21"/>
                <w:highlight w:val="none"/>
                <w:lang w:val="en-US" w:eastAsia="zh-CN" w:bidi="ar"/>
              </w:rPr>
              <w:t>S</w:t>
            </w:r>
            <w:r>
              <w:rPr>
                <w:rFonts w:hint="default" w:ascii="Times New Roman" w:hAnsi="Times New Roman" w:eastAsia="宋体" w:cs="Times New Roman"/>
                <w:color w:val="auto"/>
                <w:sz w:val="21"/>
                <w:szCs w:val="21"/>
                <w:highlight w:val="none"/>
                <w:vertAlign w:val="baseline"/>
                <w:lang w:val="en-US" w:eastAsia="zh-CN"/>
              </w:rPr>
              <w:t>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48" w:hRule="atLeast"/>
        </w:trPr>
        <w:tc>
          <w:tcPr>
            <w:tcW w:w="454"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H</w:t>
            </w:r>
            <w:r>
              <w:rPr>
                <w:rFonts w:hint="default" w:ascii="Times New Roman" w:hAnsi="Times New Roman" w:eastAsia="宋体" w:cs="Times New Roman"/>
                <w:color w:val="auto"/>
                <w:kern w:val="0"/>
                <w:sz w:val="21"/>
                <w:szCs w:val="21"/>
                <w:highlight w:val="none"/>
                <w:vertAlign w:val="subscript"/>
                <w:lang w:val="en-US" w:eastAsia="zh-CN" w:bidi="ar"/>
              </w:rPr>
              <w:t>2</w:t>
            </w:r>
            <w:r>
              <w:rPr>
                <w:rFonts w:hint="default" w:ascii="Times New Roman" w:hAnsi="Times New Roman" w:eastAsia="宋体" w:cs="Times New Roman"/>
                <w:color w:val="auto"/>
                <w:kern w:val="0"/>
                <w:sz w:val="21"/>
                <w:szCs w:val="21"/>
                <w:highlight w:val="none"/>
                <w:lang w:val="en-US" w:eastAsia="zh-CN" w:bidi="ar"/>
              </w:rPr>
              <w:t>S</w:t>
            </w:r>
          </w:p>
        </w:tc>
        <w:tc>
          <w:tcPr>
            <w:tcW w:w="43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w:t>
            </w:r>
            <w:r>
              <w:rPr>
                <w:rFonts w:hint="default" w:ascii="Times New Roman" w:hAnsi="Times New Roman" w:cs="Times New Roman"/>
                <w:color w:val="auto"/>
                <w:sz w:val="21"/>
                <w:szCs w:val="21"/>
                <w:highlight w:val="none"/>
                <w:lang w:val="en-US" w:eastAsia="zh-CN"/>
              </w:rPr>
              <w:t>45</w:t>
            </w:r>
          </w:p>
        </w:tc>
        <w:tc>
          <w:tcPr>
            <w:tcW w:w="54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0.00012</w:t>
            </w:r>
          </w:p>
        </w:tc>
        <w:tc>
          <w:tcPr>
            <w:tcW w:w="643"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0.0051</w:t>
            </w:r>
          </w:p>
        </w:tc>
        <w:tc>
          <w:tcPr>
            <w:tcW w:w="135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一天一次干清粪，加强牛舍自然通风</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喷洒除臭剂</w:t>
            </w:r>
          </w:p>
        </w:tc>
        <w:tc>
          <w:tcPr>
            <w:tcW w:w="330"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75</w:t>
            </w:r>
          </w:p>
        </w:tc>
        <w:tc>
          <w:tcPr>
            <w:tcW w:w="582"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0.011</w:t>
            </w:r>
          </w:p>
        </w:tc>
        <w:tc>
          <w:tcPr>
            <w:tcW w:w="650"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0.0013</w:t>
            </w:r>
          </w:p>
        </w:tc>
      </w:tr>
    </w:tbl>
    <w:p>
      <w:pPr>
        <w:keepNext w:val="0"/>
        <w:keepLines w:val="0"/>
        <w:pageBreakBefore w:val="0"/>
        <w:widowControl/>
        <w:suppressLineNumbers w:val="0"/>
        <w:kinsoku/>
        <w:wordWrap/>
        <w:overflowPunct/>
        <w:topLinePunct w:val="0"/>
        <w:autoSpaceDE/>
        <w:autoSpaceDN/>
        <w:bidi w:val="0"/>
        <w:adjustRightInd w:val="0"/>
        <w:snapToGrid w:val="0"/>
        <w:spacing w:before="157" w:beforeLines="50"/>
        <w:ind w:left="0" w:leftChars="0" w:right="0" w:rightChars="0"/>
        <w:jc w:val="both"/>
        <w:textAlignment w:val="auto"/>
        <w:rPr>
          <w:rFonts w:hint="default" w:ascii="Times New Roman" w:hAnsi="Times New Roman" w:eastAsia="黑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综上，本项目养殖区氨气产生量为</w:t>
      </w:r>
      <w:r>
        <w:rPr>
          <w:rFonts w:hint="eastAsia" w:cs="Times New Roman"/>
          <w:color w:val="auto"/>
          <w:kern w:val="0"/>
          <w:sz w:val="24"/>
          <w:szCs w:val="24"/>
          <w:highlight w:val="none"/>
          <w:lang w:val="en-US" w:eastAsia="zh-CN" w:bidi="ar"/>
        </w:rPr>
        <w:t>0.086</w:t>
      </w:r>
      <w:r>
        <w:rPr>
          <w:rFonts w:hint="default" w:ascii="Times New Roman" w:hAnsi="Times New Roman" w:eastAsia="宋体" w:cs="Times New Roman"/>
          <w:color w:val="auto"/>
          <w:kern w:val="0"/>
          <w:sz w:val="24"/>
          <w:szCs w:val="24"/>
          <w:highlight w:val="none"/>
          <w:lang w:val="en-US" w:eastAsia="zh-CN" w:bidi="ar"/>
        </w:rPr>
        <w:t>t/</w:t>
      </w:r>
      <w:r>
        <w:rPr>
          <w:rFonts w:hint="eastAsia" w:cs="Times New Roman"/>
          <w:color w:val="auto"/>
          <w:kern w:val="0"/>
          <w:sz w:val="24"/>
          <w:szCs w:val="24"/>
          <w:highlight w:val="none"/>
          <w:lang w:val="en-US" w:eastAsia="zh-CN" w:bidi="ar"/>
        </w:rPr>
        <w:t>a</w:t>
      </w:r>
      <w:r>
        <w:rPr>
          <w:rFonts w:hint="default" w:ascii="Times New Roman" w:hAnsi="Times New Roman" w:eastAsia="宋体" w:cs="Times New Roman"/>
          <w:color w:val="auto"/>
          <w:kern w:val="0"/>
          <w:sz w:val="24"/>
          <w:szCs w:val="24"/>
          <w:highlight w:val="none"/>
          <w:lang w:val="en-US" w:eastAsia="zh-CN" w:bidi="ar"/>
        </w:rPr>
        <w:t>，采取</w:t>
      </w:r>
      <w:r>
        <w:rPr>
          <w:rFonts w:hint="default" w:ascii="Times New Roman" w:hAnsi="Times New Roman" w:cs="Times New Roman"/>
          <w:color w:val="auto"/>
          <w:highlight w:val="none"/>
          <w:lang w:val="en-US" w:eastAsia="zh-CN"/>
        </w:rPr>
        <w:t>一天一次干清粪，加强牛舍自然通风</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喷洒除臭剂</w:t>
      </w:r>
      <w:r>
        <w:rPr>
          <w:rFonts w:hint="eastAsia" w:cs="Times New Roman"/>
          <w:color w:val="auto"/>
          <w:highlight w:val="none"/>
          <w:lang w:val="en-US" w:eastAsia="zh-CN"/>
        </w:rPr>
        <w:t>等</w:t>
      </w:r>
      <w:r>
        <w:rPr>
          <w:rFonts w:hint="default" w:ascii="Times New Roman" w:hAnsi="Times New Roman" w:eastAsia="宋体" w:cs="Times New Roman"/>
          <w:color w:val="auto"/>
          <w:kern w:val="0"/>
          <w:sz w:val="24"/>
          <w:szCs w:val="24"/>
          <w:highlight w:val="none"/>
          <w:lang w:val="en-US" w:eastAsia="zh-CN" w:bidi="ar"/>
        </w:rPr>
        <w:t>防治措施后排放量为</w:t>
      </w:r>
      <w:r>
        <w:rPr>
          <w:rFonts w:hint="eastAsia" w:cs="Times New Roman"/>
          <w:color w:val="auto"/>
          <w:kern w:val="0"/>
          <w:sz w:val="24"/>
          <w:szCs w:val="24"/>
          <w:highlight w:val="none"/>
          <w:lang w:val="en-US" w:eastAsia="zh-CN" w:bidi="ar"/>
        </w:rPr>
        <w:t>0.022</w:t>
      </w:r>
      <w:r>
        <w:rPr>
          <w:rFonts w:hint="default" w:ascii="Times New Roman" w:hAnsi="Times New Roman" w:eastAsia="宋体" w:cs="Times New Roman"/>
          <w:color w:val="auto"/>
          <w:kern w:val="0"/>
          <w:sz w:val="24"/>
          <w:szCs w:val="24"/>
          <w:highlight w:val="none"/>
          <w:lang w:val="en-US" w:eastAsia="zh-CN" w:bidi="ar"/>
        </w:rPr>
        <w:t>t/</w:t>
      </w:r>
      <w:r>
        <w:rPr>
          <w:rFonts w:hint="eastAsia" w:cs="Times New Roman"/>
          <w:color w:val="auto"/>
          <w:kern w:val="0"/>
          <w:sz w:val="24"/>
          <w:szCs w:val="24"/>
          <w:highlight w:val="none"/>
          <w:lang w:val="en-US" w:eastAsia="zh-CN" w:bidi="ar"/>
        </w:rPr>
        <w:t>a</w:t>
      </w:r>
      <w:r>
        <w:rPr>
          <w:rFonts w:hint="default" w:ascii="Times New Roman" w:hAnsi="Times New Roman" w:eastAsia="宋体" w:cs="Times New Roman"/>
          <w:color w:val="auto"/>
          <w:kern w:val="0"/>
          <w:sz w:val="24"/>
          <w:szCs w:val="24"/>
          <w:highlight w:val="none"/>
          <w:lang w:val="en-US" w:eastAsia="zh-CN" w:bidi="ar"/>
        </w:rPr>
        <w:t>。硫化氢产生量为</w:t>
      </w:r>
      <w:r>
        <w:rPr>
          <w:rFonts w:hint="eastAsia" w:cs="Times New Roman"/>
          <w:color w:val="auto"/>
          <w:kern w:val="0"/>
          <w:sz w:val="24"/>
          <w:szCs w:val="24"/>
          <w:highlight w:val="none"/>
          <w:lang w:val="en-US" w:eastAsia="zh-CN" w:bidi="ar"/>
        </w:rPr>
        <w:t>0.045</w:t>
      </w:r>
      <w:r>
        <w:rPr>
          <w:rFonts w:hint="default" w:ascii="Times New Roman" w:hAnsi="Times New Roman" w:eastAsia="宋体" w:cs="Times New Roman"/>
          <w:color w:val="auto"/>
          <w:kern w:val="0"/>
          <w:sz w:val="24"/>
          <w:szCs w:val="24"/>
          <w:highlight w:val="none"/>
          <w:lang w:val="en-US" w:eastAsia="zh-CN" w:bidi="ar"/>
        </w:rPr>
        <w:t>t/</w:t>
      </w:r>
      <w:r>
        <w:rPr>
          <w:rFonts w:hint="eastAsia" w:cs="Times New Roman"/>
          <w:color w:val="auto"/>
          <w:kern w:val="0"/>
          <w:sz w:val="24"/>
          <w:szCs w:val="24"/>
          <w:highlight w:val="none"/>
          <w:lang w:val="en-US" w:eastAsia="zh-CN" w:bidi="ar"/>
        </w:rPr>
        <w:t>a</w:t>
      </w:r>
      <w:r>
        <w:rPr>
          <w:rFonts w:hint="default" w:ascii="Times New Roman" w:hAnsi="Times New Roman" w:eastAsia="宋体" w:cs="Times New Roman"/>
          <w:color w:val="auto"/>
          <w:kern w:val="0"/>
          <w:sz w:val="24"/>
          <w:szCs w:val="24"/>
          <w:highlight w:val="none"/>
          <w:lang w:val="en-US" w:eastAsia="zh-CN" w:bidi="ar"/>
        </w:rPr>
        <w:t>，产生速率为</w:t>
      </w:r>
      <w:r>
        <w:rPr>
          <w:rFonts w:hint="eastAsia" w:cs="Times New Roman"/>
          <w:color w:val="auto"/>
          <w:kern w:val="0"/>
          <w:sz w:val="24"/>
          <w:szCs w:val="24"/>
          <w:highlight w:val="none"/>
          <w:lang w:val="en-US" w:eastAsia="zh-CN" w:bidi="ar"/>
        </w:rPr>
        <w:t>0.0051</w:t>
      </w:r>
      <w:r>
        <w:rPr>
          <w:rFonts w:hint="default" w:ascii="Times New Roman" w:hAnsi="Times New Roman" w:eastAsia="宋体" w:cs="Times New Roman"/>
          <w:color w:val="auto"/>
          <w:kern w:val="0"/>
          <w:sz w:val="24"/>
          <w:szCs w:val="24"/>
          <w:highlight w:val="none"/>
          <w:lang w:val="en-US" w:eastAsia="zh-CN" w:bidi="ar"/>
        </w:rPr>
        <w:t>kg/h，采取</w:t>
      </w:r>
      <w:r>
        <w:rPr>
          <w:rFonts w:hint="default" w:ascii="Times New Roman" w:hAnsi="Times New Roman" w:cs="Times New Roman"/>
          <w:color w:val="auto"/>
          <w:highlight w:val="none"/>
          <w:lang w:val="en-US" w:eastAsia="zh-CN"/>
        </w:rPr>
        <w:t>一天一次干清粪，加强牛舍自然通风</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喷洒除臭剂</w:t>
      </w:r>
      <w:r>
        <w:rPr>
          <w:rFonts w:hint="default" w:ascii="Times New Roman" w:hAnsi="Times New Roman" w:eastAsia="宋体" w:cs="Times New Roman"/>
          <w:color w:val="auto"/>
          <w:kern w:val="0"/>
          <w:sz w:val="24"/>
          <w:szCs w:val="24"/>
          <w:highlight w:val="none"/>
          <w:lang w:val="en-US" w:eastAsia="zh-CN" w:bidi="ar"/>
        </w:rPr>
        <w:t>防治措施后排放量为</w:t>
      </w:r>
      <w:r>
        <w:rPr>
          <w:rFonts w:hint="eastAsia" w:cs="Times New Roman"/>
          <w:color w:val="auto"/>
          <w:sz w:val="24"/>
          <w:szCs w:val="24"/>
          <w:highlight w:val="none"/>
          <w:lang w:val="en-US" w:eastAsia="zh-CN"/>
        </w:rPr>
        <w:t>0.011</w:t>
      </w:r>
      <w:r>
        <w:rPr>
          <w:rFonts w:hint="default" w:ascii="Times New Roman" w:hAnsi="Times New Roman" w:eastAsia="宋体" w:cs="Times New Roman"/>
          <w:color w:val="auto"/>
          <w:kern w:val="0"/>
          <w:sz w:val="24"/>
          <w:szCs w:val="24"/>
          <w:highlight w:val="none"/>
          <w:lang w:val="en-US" w:eastAsia="zh-CN" w:bidi="ar"/>
        </w:rPr>
        <w:t>t/</w:t>
      </w:r>
      <w:r>
        <w:rPr>
          <w:rFonts w:hint="eastAsia" w:cs="Times New Roman"/>
          <w:color w:val="auto"/>
          <w:kern w:val="0"/>
          <w:sz w:val="24"/>
          <w:szCs w:val="24"/>
          <w:highlight w:val="none"/>
          <w:lang w:val="en-US" w:eastAsia="zh-CN" w:bidi="ar"/>
        </w:rPr>
        <w:t>a</w:t>
      </w:r>
      <w:r>
        <w:rPr>
          <w:rFonts w:hint="default" w:ascii="Times New Roman" w:hAnsi="Times New Roman" w:eastAsia="宋体" w:cs="Times New Roman"/>
          <w:color w:val="auto"/>
          <w:kern w:val="0"/>
          <w:sz w:val="24"/>
          <w:szCs w:val="24"/>
          <w:highlight w:val="none"/>
          <w:lang w:val="en-US" w:eastAsia="zh-CN" w:bidi="ar"/>
        </w:rPr>
        <w:t>，排放速率为</w:t>
      </w:r>
      <w:r>
        <w:rPr>
          <w:rFonts w:hint="eastAsia" w:cs="Times New Roman"/>
          <w:color w:val="auto"/>
          <w:kern w:val="0"/>
          <w:sz w:val="24"/>
          <w:szCs w:val="24"/>
          <w:highlight w:val="none"/>
          <w:lang w:val="en-US" w:eastAsia="zh-CN" w:bidi="ar"/>
        </w:rPr>
        <w:t>0.0013</w:t>
      </w:r>
      <w:r>
        <w:rPr>
          <w:rFonts w:hint="default" w:ascii="Times New Roman" w:hAnsi="Times New Roman" w:eastAsia="宋体" w:cs="Times New Roman"/>
          <w:color w:val="auto"/>
          <w:kern w:val="0"/>
          <w:sz w:val="24"/>
          <w:szCs w:val="24"/>
          <w:highlight w:val="none"/>
          <w:lang w:val="en-US" w:eastAsia="zh-CN" w:bidi="ar"/>
        </w:rPr>
        <w:t>kg/h。</w:t>
      </w:r>
    </w:p>
    <w:p>
      <w:pPr>
        <w:keepNext w:val="0"/>
        <w:keepLines w:val="0"/>
        <w:pageBreakBefore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堆粪场</w:t>
      </w:r>
      <w:r>
        <w:rPr>
          <w:rFonts w:hint="default" w:ascii="Times New Roman" w:hAnsi="Times New Roman" w:eastAsia="宋体" w:cs="Times New Roman"/>
          <w:color w:val="auto"/>
          <w:highlight w:val="none"/>
          <w:lang w:val="zh-CN" w:eastAsia="zh-CN"/>
        </w:rPr>
        <w:t>恶臭</w:t>
      </w:r>
    </w:p>
    <w:p>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类比疆内养殖类报告，NH</w:t>
      </w:r>
      <w:r>
        <w:rPr>
          <w:rFonts w:hint="eastAsia" w:ascii="Times New Roman" w:hAnsi="Times New Roman" w:eastAsia="宋体" w:cs="Times New Roman"/>
          <w:color w:val="auto"/>
          <w:kern w:val="0"/>
          <w:sz w:val="24"/>
          <w:szCs w:val="24"/>
          <w:highlight w:val="none"/>
          <w:vertAlign w:val="subscript"/>
          <w:lang w:val="en-US" w:eastAsia="zh-CN" w:bidi="ar"/>
        </w:rPr>
        <w:t xml:space="preserve">3 </w:t>
      </w:r>
      <w:r>
        <w:rPr>
          <w:rFonts w:hint="eastAsia" w:ascii="Times New Roman" w:hAnsi="Times New Roman" w:eastAsia="宋体" w:cs="Times New Roman"/>
          <w:color w:val="auto"/>
          <w:kern w:val="0"/>
          <w:sz w:val="24"/>
          <w:szCs w:val="24"/>
          <w:highlight w:val="none"/>
          <w:lang w:val="en-US" w:eastAsia="zh-CN" w:bidi="ar"/>
        </w:rPr>
        <w:t>的产生系数取0.00012mg/m</w:t>
      </w:r>
      <w:r>
        <w:rPr>
          <w:rFonts w:hint="eastAsia" w:ascii="Times New Roman" w:hAnsi="Times New Roman" w:eastAsia="宋体" w:cs="Times New Roman"/>
          <w:color w:val="auto"/>
          <w:kern w:val="0"/>
          <w:sz w:val="24"/>
          <w:szCs w:val="24"/>
          <w:highlight w:val="none"/>
          <w:vertAlign w:val="superscript"/>
          <w:lang w:val="en-US" w:eastAsia="zh-CN" w:bidi="ar"/>
        </w:rPr>
        <w:t>2</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s，H</w:t>
      </w:r>
      <w:r>
        <w:rPr>
          <w:rFonts w:hint="eastAsia" w:ascii="Times New Roman" w:hAnsi="Times New Roman" w:eastAsia="宋体" w:cs="Times New Roman"/>
          <w:color w:val="auto"/>
          <w:kern w:val="0"/>
          <w:sz w:val="24"/>
          <w:szCs w:val="24"/>
          <w:highlight w:val="none"/>
          <w:vertAlign w:val="subscript"/>
          <w:lang w:val="en-US" w:eastAsia="zh-CN" w:bidi="ar"/>
        </w:rPr>
        <w:t>2</w:t>
      </w:r>
      <w:r>
        <w:rPr>
          <w:rFonts w:hint="eastAsia" w:ascii="Times New Roman" w:hAnsi="Times New Roman" w:eastAsia="宋体" w:cs="Times New Roman"/>
          <w:color w:val="auto"/>
          <w:kern w:val="0"/>
          <w:sz w:val="24"/>
          <w:szCs w:val="24"/>
          <w:highlight w:val="none"/>
          <w:lang w:val="en-US" w:eastAsia="zh-CN" w:bidi="ar"/>
        </w:rPr>
        <w:t>S的产生系数取0.00001mg/m</w:t>
      </w:r>
      <w:r>
        <w:rPr>
          <w:rFonts w:hint="eastAsia" w:ascii="Times New Roman" w:hAnsi="Times New Roman" w:eastAsia="宋体" w:cs="Times New Roman"/>
          <w:color w:val="auto"/>
          <w:kern w:val="0"/>
          <w:sz w:val="24"/>
          <w:szCs w:val="24"/>
          <w:highlight w:val="none"/>
          <w:vertAlign w:val="superscript"/>
          <w:lang w:val="en-US" w:eastAsia="zh-CN" w:bidi="ar"/>
        </w:rPr>
        <w:t>2</w:t>
      </w:r>
      <w:r>
        <w:rPr>
          <w:rFonts w:hint="eastAsia" w:ascii="Times New Roman" w:hAnsi="Times New Roman" w:eastAsia="宋体" w:cs="Times New Roman"/>
          <w:color w:val="auto"/>
          <w:kern w:val="0"/>
          <w:sz w:val="24"/>
          <w:szCs w:val="24"/>
          <w:highlight w:val="none"/>
          <w:lang w:val="en-US" w:eastAsia="zh-CN" w:bidi="ar"/>
        </w:rPr>
        <w:t>▪s</w:t>
      </w:r>
      <w:r>
        <w:rPr>
          <w:rFonts w:hint="eastAsia" w:cs="Times New Roman"/>
          <w:color w:val="auto"/>
          <w:kern w:val="0"/>
          <w:sz w:val="24"/>
          <w:szCs w:val="24"/>
          <w:highlight w:val="none"/>
          <w:lang w:val="en-US" w:eastAsia="zh-CN" w:bidi="ar"/>
        </w:rPr>
        <w:t>。</w:t>
      </w:r>
    </w:p>
    <w:p>
      <w:pPr>
        <w:pStyle w:val="50"/>
        <w:pageBreakBefore w:val="0"/>
        <w:widowControl w:val="0"/>
        <w:kinsoku/>
        <w:wordWrap/>
        <w:overflowPunct/>
        <w:topLinePunct w:val="0"/>
        <w:autoSpaceDE/>
        <w:autoSpaceDN/>
        <w:bidi w:val="0"/>
        <w:adjustRightInd w:val="0"/>
        <w:snapToGrid w:val="0"/>
        <w:spacing w:afterLines="0"/>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表</w:t>
      </w:r>
      <w:r>
        <w:rPr>
          <w:rFonts w:hint="eastAsia" w:ascii="Times New Roman" w:hAnsi="Times New Roman" w:eastAsia="宋体" w:cs="Times New Roman"/>
          <w:color w:val="auto"/>
          <w:sz w:val="21"/>
          <w:szCs w:val="21"/>
          <w:highlight w:val="none"/>
          <w:lang w:val="en-US" w:eastAsia="zh-CN"/>
        </w:rPr>
        <w:t>3.3-</w:t>
      </w:r>
      <w:r>
        <w:rPr>
          <w:rFonts w:hint="eastAsia" w:ascii="Times New Roman" w:hAnsi="Times New Roman" w:cs="Times New Roman"/>
          <w:color w:val="auto"/>
          <w:sz w:val="21"/>
          <w:szCs w:val="21"/>
          <w:highlight w:val="none"/>
          <w:lang w:val="en-US" w:eastAsia="zh-CN"/>
        </w:rPr>
        <w:t xml:space="preserve">5    </w:t>
      </w:r>
      <w:r>
        <w:rPr>
          <w:rFonts w:hint="default" w:ascii="Times New Roman" w:hAnsi="Times New Roman" w:eastAsia="宋体" w:cs="Times New Roman"/>
          <w:color w:val="auto"/>
          <w:sz w:val="21"/>
          <w:szCs w:val="21"/>
          <w:highlight w:val="none"/>
          <w:lang w:val="en-US" w:eastAsia="zh-CN"/>
        </w:rPr>
        <w:tab/>
      </w:r>
      <w:r>
        <w:rPr>
          <w:rFonts w:hint="default" w:ascii="Times New Roman" w:hAnsi="Times New Roman" w:eastAsia="宋体" w:cs="Times New Roman"/>
          <w:color w:val="auto"/>
          <w:sz w:val="21"/>
          <w:szCs w:val="21"/>
          <w:highlight w:val="none"/>
          <w:lang w:val="en-US" w:eastAsia="zh-CN"/>
        </w:rPr>
        <w:t>项目粪污处理区恶臭气体源强类比条件情况表</w:t>
      </w:r>
    </w:p>
    <w:tbl>
      <w:tblPr>
        <w:tblStyle w:val="39"/>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autofit"/>
        <w:tblCellMar>
          <w:top w:w="0" w:type="dxa"/>
          <w:left w:w="10" w:type="dxa"/>
          <w:bottom w:w="0" w:type="dxa"/>
          <w:right w:w="10" w:type="dxa"/>
        </w:tblCellMar>
      </w:tblPr>
      <w:tblGrid>
        <w:gridCol w:w="1750"/>
        <w:gridCol w:w="5150"/>
        <w:gridCol w:w="169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trHeight w:val="312" w:hRule="atLeast"/>
          <w:jc w:val="center"/>
        </w:trPr>
        <w:tc>
          <w:tcPr>
            <w:tcW w:w="1018" w:type="pct"/>
            <w:vMerge w:val="restart"/>
            <w:tcBorders>
              <w:tl2br w:val="nil"/>
              <w:tr2bl w:val="nil"/>
            </w:tcBorders>
            <w:shd w:val="clear" w:color="auto" w:fill="auto"/>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报告</w:t>
            </w:r>
            <w:r>
              <w:rPr>
                <w:rFonts w:hint="default" w:ascii="Times New Roman" w:hAnsi="Times New Roman" w:eastAsia="宋体" w:cs="Times New Roman"/>
                <w:color w:val="auto"/>
                <w:sz w:val="21"/>
                <w:szCs w:val="21"/>
                <w:highlight w:val="none"/>
                <w:vertAlign w:val="baseline"/>
                <w:lang w:val="en-US" w:eastAsia="zh-CN"/>
              </w:rPr>
              <w:t>名称</w:t>
            </w:r>
          </w:p>
        </w:tc>
        <w:tc>
          <w:tcPr>
            <w:tcW w:w="2994" w:type="pct"/>
            <w:vMerge w:val="restart"/>
            <w:tcBorders>
              <w:tl2br w:val="nil"/>
              <w:tr2bl w:val="nil"/>
            </w:tcBorders>
            <w:shd w:val="clear" w:color="auto" w:fill="auto"/>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建设规模</w:t>
            </w:r>
          </w:p>
        </w:tc>
        <w:tc>
          <w:tcPr>
            <w:tcW w:w="987" w:type="pct"/>
            <w:vMerge w:val="restart"/>
            <w:tcBorders>
              <w:tl2br w:val="nil"/>
              <w:tr2bl w:val="nil"/>
            </w:tcBorders>
            <w:shd w:val="clear" w:color="auto" w:fill="auto"/>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粪污处理方式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trHeight w:val="312" w:hRule="exact"/>
          <w:jc w:val="center"/>
        </w:trPr>
        <w:tc>
          <w:tcPr>
            <w:tcW w:w="1018" w:type="pct"/>
            <w:vMerge w:val="continue"/>
            <w:tcBorders>
              <w:tl2br w:val="nil"/>
              <w:tr2bl w:val="nil"/>
            </w:tcBorders>
            <w:shd w:val="clear" w:color="auto" w:fill="auto"/>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2994" w:type="pct"/>
            <w:vMerge w:val="continue"/>
            <w:tcBorders>
              <w:tl2br w:val="nil"/>
              <w:tr2bl w:val="nil"/>
            </w:tcBorders>
            <w:shd w:val="clear" w:color="auto" w:fill="auto"/>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7" w:type="pct"/>
            <w:vMerge w:val="continue"/>
            <w:tcBorders>
              <w:tl2br w:val="nil"/>
              <w:tr2bl w:val="nil"/>
            </w:tcBorders>
            <w:shd w:val="clear" w:color="auto" w:fill="auto"/>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trHeight w:val="1427" w:hRule="exact"/>
          <w:jc w:val="center"/>
        </w:trPr>
        <w:tc>
          <w:tcPr>
            <w:tcW w:w="1018" w:type="pct"/>
            <w:tcBorders>
              <w:tl2br w:val="nil"/>
              <w:tr2bl w:val="nil"/>
            </w:tcBorders>
            <w:shd w:val="clear" w:color="auto" w:fill="auto"/>
            <w:noWrap w:val="0"/>
            <w:vAlign w:val="center"/>
          </w:tcPr>
          <w:p>
            <w:pPr>
              <w:keepNext w:val="0"/>
              <w:keepLines w:val="0"/>
              <w:widowControl/>
              <w:suppressLineNumbers w:val="0"/>
              <w:spacing w:line="240" w:lineRule="auto"/>
              <w:ind w:left="0" w:leftChars="0" w:firstLine="0" w:firstLineChars="0"/>
              <w:jc w:val="left"/>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bidi="ar-SA"/>
              </w:rPr>
              <w:t>第四师可克达拉市创锦牧业有限公司中国西门塔尔牛育</w:t>
            </w:r>
            <w:r>
              <w:rPr>
                <w:rFonts w:hint="default" w:ascii="Times New Roman" w:hAnsi="Times New Roman" w:eastAsia="宋体" w:cs="Times New Roman"/>
                <w:color w:val="auto"/>
                <w:sz w:val="21"/>
                <w:szCs w:val="21"/>
                <w:highlight w:val="none"/>
                <w:vertAlign w:val="baseline"/>
                <w:lang w:val="en-US" w:eastAsia="zh-CN"/>
              </w:rPr>
              <w:t>繁推一体化示范项目</w:t>
            </w:r>
            <w:r>
              <w:rPr>
                <w:rFonts w:hint="eastAsia" w:ascii="Times New Roman" w:hAnsi="Times New Roman" w:eastAsia="宋体" w:cs="Times New Roman"/>
                <w:color w:val="auto"/>
                <w:sz w:val="21"/>
                <w:szCs w:val="21"/>
                <w:highlight w:val="none"/>
                <w:vertAlign w:val="baseline"/>
                <w:lang w:val="en-US" w:eastAsia="zh-CN"/>
              </w:rPr>
              <w:t>环境影响报告书</w:t>
            </w:r>
          </w:p>
        </w:tc>
        <w:tc>
          <w:tcPr>
            <w:tcW w:w="2994" w:type="pct"/>
            <w:tcBorders>
              <w:tl2br w:val="nil"/>
              <w:tr2bl w:val="nil"/>
            </w:tcBorders>
            <w:shd w:val="clear" w:color="auto" w:fill="auto"/>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本项目年存栏</w:t>
            </w:r>
            <w:r>
              <w:rPr>
                <w:rFonts w:hint="default" w:ascii="Times New Roman" w:hAnsi="Times New Roman" w:eastAsia="宋体" w:cs="Times New Roman"/>
                <w:color w:val="auto"/>
                <w:sz w:val="21"/>
                <w:szCs w:val="21"/>
                <w:highlight w:val="none"/>
                <w:vertAlign w:val="baseline"/>
                <w:lang w:val="en-US" w:eastAsia="zh-CN"/>
              </w:rPr>
              <w:t>1500</w:t>
            </w:r>
            <w:r>
              <w:rPr>
                <w:rFonts w:hint="eastAsia" w:ascii="Times New Roman" w:hAnsi="Times New Roman" w:eastAsia="宋体" w:cs="Times New Roman"/>
                <w:color w:val="auto"/>
                <w:sz w:val="21"/>
                <w:szCs w:val="21"/>
                <w:highlight w:val="none"/>
                <w:vertAlign w:val="baseline"/>
                <w:lang w:val="en-US" w:eastAsia="zh-CN"/>
              </w:rPr>
              <w:t>头西门塔尔牛，其中基础母牛</w:t>
            </w:r>
            <w:r>
              <w:rPr>
                <w:rFonts w:hint="default" w:ascii="Times New Roman" w:hAnsi="Times New Roman" w:eastAsia="宋体" w:cs="Times New Roman"/>
                <w:color w:val="auto"/>
                <w:sz w:val="21"/>
                <w:szCs w:val="21"/>
                <w:highlight w:val="none"/>
                <w:vertAlign w:val="baseline"/>
                <w:lang w:val="en-US" w:eastAsia="zh-CN"/>
              </w:rPr>
              <w:t>750</w:t>
            </w:r>
            <w:r>
              <w:rPr>
                <w:rFonts w:hint="eastAsia" w:ascii="Times New Roman" w:hAnsi="Times New Roman" w:eastAsia="宋体" w:cs="Times New Roman"/>
                <w:color w:val="auto"/>
                <w:sz w:val="21"/>
                <w:szCs w:val="21"/>
                <w:highlight w:val="none"/>
                <w:vertAlign w:val="baseline"/>
                <w:lang w:val="en-US" w:eastAsia="zh-CN"/>
              </w:rPr>
              <w:t>头、后备母牛</w:t>
            </w:r>
            <w:r>
              <w:rPr>
                <w:rFonts w:hint="default" w:ascii="Times New Roman" w:hAnsi="Times New Roman" w:eastAsia="宋体" w:cs="Times New Roman"/>
                <w:color w:val="auto"/>
                <w:sz w:val="21"/>
                <w:szCs w:val="21"/>
                <w:highlight w:val="none"/>
                <w:vertAlign w:val="baseline"/>
                <w:lang w:val="en-US" w:eastAsia="zh-CN"/>
              </w:rPr>
              <w:t>190</w:t>
            </w:r>
            <w:r>
              <w:rPr>
                <w:rFonts w:hint="eastAsia" w:ascii="Times New Roman" w:hAnsi="Times New Roman" w:eastAsia="宋体" w:cs="Times New Roman"/>
                <w:color w:val="auto"/>
                <w:sz w:val="21"/>
                <w:szCs w:val="21"/>
                <w:highlight w:val="none"/>
                <w:vertAlign w:val="baseline"/>
                <w:lang w:val="en-US" w:eastAsia="zh-CN"/>
              </w:rPr>
              <w:t>头、育成母牛</w:t>
            </w:r>
            <w:r>
              <w:rPr>
                <w:rFonts w:hint="default" w:ascii="Times New Roman" w:hAnsi="Times New Roman" w:eastAsia="宋体" w:cs="Times New Roman"/>
                <w:color w:val="auto"/>
                <w:sz w:val="21"/>
                <w:szCs w:val="21"/>
                <w:highlight w:val="none"/>
                <w:vertAlign w:val="baseline"/>
                <w:lang w:val="en-US" w:eastAsia="zh-CN"/>
              </w:rPr>
              <w:t>190</w:t>
            </w:r>
            <w:r>
              <w:rPr>
                <w:rFonts w:hint="eastAsia" w:ascii="Times New Roman" w:hAnsi="Times New Roman" w:eastAsia="宋体" w:cs="Times New Roman"/>
                <w:color w:val="auto"/>
                <w:sz w:val="21"/>
                <w:szCs w:val="21"/>
                <w:highlight w:val="none"/>
                <w:vertAlign w:val="baseline"/>
                <w:lang w:val="en-US" w:eastAsia="zh-CN"/>
              </w:rPr>
              <w:t>头、犊牛</w:t>
            </w:r>
            <w:r>
              <w:rPr>
                <w:rFonts w:hint="default" w:ascii="Times New Roman" w:hAnsi="Times New Roman" w:eastAsia="宋体" w:cs="Times New Roman"/>
                <w:color w:val="auto"/>
                <w:sz w:val="21"/>
                <w:szCs w:val="21"/>
                <w:highlight w:val="none"/>
                <w:vertAlign w:val="baseline"/>
                <w:lang w:val="en-US" w:eastAsia="zh-CN"/>
              </w:rPr>
              <w:t>370</w:t>
            </w:r>
            <w:r>
              <w:rPr>
                <w:rFonts w:hint="eastAsia" w:ascii="Times New Roman" w:hAnsi="Times New Roman" w:eastAsia="宋体" w:cs="Times New Roman"/>
                <w:color w:val="auto"/>
                <w:sz w:val="21"/>
                <w:szCs w:val="21"/>
                <w:highlight w:val="none"/>
                <w:vertAlign w:val="baseline"/>
                <w:lang w:val="en-US" w:eastAsia="zh-CN"/>
              </w:rPr>
              <w:t>头。年出栏量为</w:t>
            </w:r>
            <w:r>
              <w:rPr>
                <w:rFonts w:hint="default" w:ascii="Times New Roman" w:hAnsi="Times New Roman" w:eastAsia="宋体" w:cs="Times New Roman"/>
                <w:color w:val="auto"/>
                <w:sz w:val="21"/>
                <w:szCs w:val="21"/>
                <w:highlight w:val="none"/>
                <w:vertAlign w:val="baseline"/>
                <w:lang w:val="en-US" w:eastAsia="zh-CN"/>
              </w:rPr>
              <w:t>250</w:t>
            </w:r>
            <w:r>
              <w:rPr>
                <w:rFonts w:hint="eastAsia" w:ascii="Times New Roman" w:hAnsi="Times New Roman" w:eastAsia="宋体" w:cs="Times New Roman"/>
                <w:color w:val="auto"/>
                <w:sz w:val="21"/>
                <w:szCs w:val="21"/>
                <w:highlight w:val="none"/>
                <w:vertAlign w:val="baseline"/>
                <w:lang w:val="en-US" w:eastAsia="zh-CN"/>
              </w:rPr>
              <w:t xml:space="preserve">头牛犊，平均每天有 </w:t>
            </w:r>
            <w:r>
              <w:rPr>
                <w:rFonts w:hint="default" w:ascii="Times New Roman" w:hAnsi="Times New Roman" w:eastAsia="宋体" w:cs="Times New Roman"/>
                <w:color w:val="auto"/>
                <w:sz w:val="21"/>
                <w:szCs w:val="21"/>
                <w:highlight w:val="none"/>
                <w:vertAlign w:val="baseline"/>
                <w:lang w:val="en-US" w:eastAsia="zh-CN"/>
              </w:rPr>
              <w:t xml:space="preserve">300 </w:t>
            </w:r>
            <w:r>
              <w:rPr>
                <w:rFonts w:hint="eastAsia" w:ascii="Times New Roman" w:hAnsi="Times New Roman" w:eastAsia="宋体" w:cs="Times New Roman"/>
                <w:color w:val="auto"/>
                <w:sz w:val="21"/>
                <w:szCs w:val="21"/>
                <w:highlight w:val="none"/>
                <w:vertAlign w:val="baseline"/>
                <w:lang w:val="en-US" w:eastAsia="zh-CN"/>
              </w:rPr>
              <w:t>头母牛进行产奶工作，每头母牛每日产奶量为</w:t>
            </w:r>
            <w:r>
              <w:rPr>
                <w:rFonts w:hint="default" w:ascii="Times New Roman" w:hAnsi="Times New Roman" w:eastAsia="宋体" w:cs="Times New Roman"/>
                <w:color w:val="auto"/>
                <w:sz w:val="21"/>
                <w:szCs w:val="21"/>
                <w:highlight w:val="none"/>
                <w:vertAlign w:val="baseline"/>
                <w:lang w:val="en-US" w:eastAsia="zh-CN"/>
              </w:rPr>
              <w:t>15</w:t>
            </w:r>
            <w:r>
              <w:rPr>
                <w:rFonts w:hint="eastAsia"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17kg</w:t>
            </w:r>
            <w:r>
              <w:rPr>
                <w:rFonts w:hint="eastAsia" w:ascii="Times New Roman" w:hAnsi="Times New Roman" w:eastAsia="宋体" w:cs="Times New Roman"/>
                <w:color w:val="auto"/>
                <w:sz w:val="21"/>
                <w:szCs w:val="21"/>
                <w:highlight w:val="none"/>
                <w:vertAlign w:val="baseline"/>
                <w:lang w:val="en-US" w:eastAsia="zh-CN"/>
              </w:rPr>
              <w:t>，年产奶量约</w:t>
            </w:r>
            <w:r>
              <w:rPr>
                <w:rFonts w:hint="default" w:ascii="Times New Roman" w:hAnsi="Times New Roman" w:eastAsia="宋体" w:cs="Times New Roman"/>
                <w:color w:val="auto"/>
                <w:sz w:val="21"/>
                <w:szCs w:val="21"/>
                <w:highlight w:val="none"/>
                <w:vertAlign w:val="baseline"/>
                <w:lang w:val="en-US" w:eastAsia="zh-CN"/>
              </w:rPr>
              <w:t>1752t</w:t>
            </w:r>
            <w:r>
              <w:rPr>
                <w:rFonts w:hint="eastAsia" w:ascii="Times New Roman" w:hAnsi="Times New Roman" w:eastAsia="宋体" w:cs="Times New Roman"/>
                <w:color w:val="auto"/>
                <w:sz w:val="21"/>
                <w:szCs w:val="21"/>
                <w:highlight w:val="none"/>
                <w:vertAlign w:val="baseline"/>
                <w:lang w:val="en-US" w:eastAsia="zh-CN"/>
              </w:rPr>
              <w:t>。</w:t>
            </w:r>
          </w:p>
        </w:tc>
        <w:tc>
          <w:tcPr>
            <w:tcW w:w="987" w:type="pct"/>
            <w:tcBorders>
              <w:tl2br w:val="nil"/>
              <w:tr2bl w:val="nil"/>
            </w:tcBorders>
            <w:shd w:val="clear" w:color="auto" w:fill="auto"/>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在堆粪池好氧发酵成有机肥后还田</w:t>
            </w:r>
          </w:p>
        </w:tc>
      </w:tr>
    </w:tbl>
    <w:p>
      <w:pPr>
        <w:keepNext w:val="0"/>
        <w:keepLines w:val="0"/>
        <w:widowControl/>
        <w:suppressLineNumbers w:val="0"/>
        <w:jc w:val="both"/>
        <w:rPr>
          <w:rFonts w:hint="default" w:ascii="Times New Roman" w:hAnsi="Times New Roman" w:eastAsia="宋体" w:cs="Times New Roman"/>
          <w:color w:val="auto"/>
          <w:highlight w:val="none"/>
        </w:rPr>
      </w:pPr>
      <w:r>
        <w:rPr>
          <w:rFonts w:hint="eastAsia" w:ascii="Times New Roman" w:hAnsi="Times New Roman" w:eastAsia="宋体" w:cs="Times New Roman"/>
          <w:color w:val="auto"/>
          <w:kern w:val="0"/>
          <w:sz w:val="24"/>
          <w:szCs w:val="24"/>
          <w:highlight w:val="none"/>
          <w:lang w:val="en-US" w:eastAsia="zh-CN" w:bidi="ar"/>
        </w:rPr>
        <w:t>本项目堆粪池面积为</w:t>
      </w:r>
      <w:r>
        <w:rPr>
          <w:rFonts w:hint="default" w:ascii="Times New Roman" w:hAnsi="Times New Roman" w:eastAsia="宋体" w:cs="Times New Roman"/>
          <w:color w:val="auto"/>
          <w:kern w:val="0"/>
          <w:sz w:val="24"/>
          <w:szCs w:val="24"/>
          <w:highlight w:val="none"/>
          <w:lang w:val="en-US" w:eastAsia="zh-CN" w:bidi="ar"/>
        </w:rPr>
        <w:t>3000m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eastAsia" w:ascii="Times New Roman" w:hAnsi="Times New Roman" w:eastAsia="宋体" w:cs="Times New Roman"/>
          <w:color w:val="auto"/>
          <w:kern w:val="0"/>
          <w:sz w:val="24"/>
          <w:szCs w:val="24"/>
          <w:highlight w:val="none"/>
          <w:lang w:val="en-US" w:eastAsia="zh-CN" w:bidi="ar"/>
        </w:rPr>
        <w:t>。经计算，</w:t>
      </w:r>
      <w:r>
        <w:rPr>
          <w:rFonts w:hint="default" w:ascii="Times New Roman" w:hAnsi="Times New Roman" w:eastAsia="宋体" w:cs="Times New Roman"/>
          <w:color w:val="auto"/>
          <w:highlight w:val="none"/>
        </w:rPr>
        <w:t>本项目</w:t>
      </w:r>
      <w:r>
        <w:rPr>
          <w:rFonts w:hint="default" w:ascii="Times New Roman" w:hAnsi="Times New Roman" w:cs="Times New Roman"/>
          <w:color w:val="auto"/>
          <w:highlight w:val="none"/>
          <w:lang w:val="en-US" w:eastAsia="zh-CN"/>
        </w:rPr>
        <w:t>堆粪场</w:t>
      </w:r>
      <w:r>
        <w:rPr>
          <w:rFonts w:hint="default" w:ascii="Times New Roman" w:hAnsi="Times New Roman" w:eastAsia="宋体" w:cs="Times New Roman"/>
          <w:color w:val="auto"/>
          <w:highlight w:val="none"/>
        </w:rPr>
        <w:t>NH</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rPr>
        <w:t>产生量</w:t>
      </w:r>
      <w:r>
        <w:rPr>
          <w:rFonts w:hint="eastAsia" w:ascii="Times New Roman" w:hAnsi="Times New Roman" w:eastAsia="宋体" w:cs="Times New Roman"/>
          <w:color w:val="auto"/>
          <w:highlight w:val="none"/>
          <w:lang w:val="en-US" w:eastAsia="zh-CN"/>
        </w:rPr>
        <w:t>0.001</w:t>
      </w:r>
      <w:r>
        <w:rPr>
          <w:rFonts w:hint="eastAsia" w:cs="Times New Roman"/>
          <w:color w:val="auto"/>
          <w:highlight w:val="none"/>
          <w:lang w:val="en-US" w:eastAsia="zh-CN"/>
        </w:rPr>
        <w:t>3</w:t>
      </w:r>
      <w:r>
        <w:rPr>
          <w:rFonts w:hint="eastAsia" w:ascii="Times New Roman" w:hAnsi="Times New Roman" w:eastAsia="宋体" w:cs="Times New Roman"/>
          <w:color w:val="auto"/>
          <w:highlight w:val="none"/>
          <w:lang w:val="en-US" w:eastAsia="zh-CN"/>
        </w:rPr>
        <w:t>kg/h(0.0</w:t>
      </w:r>
      <w:r>
        <w:rPr>
          <w:rFonts w:hint="eastAsia" w:cs="Times New Roman"/>
          <w:color w:val="auto"/>
          <w:highlight w:val="none"/>
          <w:lang w:val="en-US" w:eastAsia="zh-CN"/>
        </w:rPr>
        <w:t>11</w:t>
      </w:r>
      <w:r>
        <w:rPr>
          <w:rFonts w:hint="eastAsia" w:ascii="Times New Roman" w:hAnsi="Times New Roman" w:eastAsia="宋体" w:cs="Times New Roman"/>
          <w:color w:val="auto"/>
          <w:highlight w:val="none"/>
          <w:lang w:val="en-US" w:eastAsia="zh-CN"/>
        </w:rPr>
        <w:t>t/a)</w:t>
      </w: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0.0001kg/h(0.000</w:t>
      </w:r>
      <w:r>
        <w:rPr>
          <w:rFonts w:hint="eastAsia" w:cs="Times New Roman"/>
          <w:color w:val="auto"/>
          <w:highlight w:val="none"/>
          <w:lang w:val="en-US" w:eastAsia="zh-CN"/>
        </w:rPr>
        <w:t>88</w:t>
      </w:r>
      <w:r>
        <w:rPr>
          <w:rFonts w:hint="eastAsia" w:ascii="Times New Roman" w:hAnsi="Times New Roman" w:eastAsia="宋体" w:cs="Times New Roman"/>
          <w:color w:val="auto"/>
          <w:highlight w:val="none"/>
          <w:lang w:val="en-US" w:eastAsia="zh-CN"/>
        </w:rPr>
        <w:t>t/a)</w:t>
      </w:r>
      <w:r>
        <w:rPr>
          <w:rFonts w:hint="default" w:ascii="Times New Roman" w:hAnsi="Times New Roman" w:eastAsia="宋体" w:cs="Times New Roman"/>
          <w:color w:val="auto"/>
          <w:highlight w:val="none"/>
        </w:rPr>
        <w:t>。</w:t>
      </w:r>
    </w:p>
    <w:p>
      <w:pPr>
        <w:pageBreakBefore w:val="0"/>
        <w:wordWrap/>
        <w:bidi w:val="0"/>
        <w:adjustRightInd w:val="0"/>
        <w:ind w:left="0" w:leftChars="0" w:right="0" w:rightChars="0"/>
        <w:rPr>
          <w:rFonts w:hint="default" w:ascii="Times New Roman" w:hAnsi="Times New Roman" w:cs="Times New Roman"/>
          <w:color w:val="auto"/>
          <w:highlight w:val="yellow"/>
          <w:shd w:val="clear" w:color="auto" w:fill="auto"/>
          <w:lang w:eastAsia="zh-CN"/>
        </w:rPr>
      </w:pPr>
      <w:r>
        <w:rPr>
          <w:rFonts w:hint="default" w:ascii="Times New Roman" w:hAnsi="Times New Roman" w:cs="Times New Roman"/>
          <w:color w:val="auto"/>
          <w:highlight w:val="none"/>
          <w:shd w:val="clear" w:color="auto" w:fill="auto"/>
          <w:lang w:eastAsia="zh-CN"/>
        </w:rPr>
        <w:t>为减少项目</w:t>
      </w:r>
      <w:r>
        <w:rPr>
          <w:rFonts w:hint="default" w:ascii="Times New Roman" w:hAnsi="Times New Roman" w:cs="Times New Roman"/>
          <w:color w:val="auto"/>
          <w:highlight w:val="none"/>
          <w:shd w:val="clear" w:color="auto" w:fill="auto"/>
          <w:lang w:val="en-US" w:eastAsia="zh-CN"/>
        </w:rPr>
        <w:t>堆粪场</w:t>
      </w:r>
      <w:r>
        <w:rPr>
          <w:rFonts w:hint="default" w:ascii="Times New Roman" w:hAnsi="Times New Roman" w:cs="Times New Roman"/>
          <w:color w:val="auto"/>
          <w:highlight w:val="none"/>
          <w:shd w:val="clear" w:color="auto" w:fill="auto"/>
          <w:lang w:eastAsia="zh-CN"/>
        </w:rPr>
        <w:t>恶臭对周边环境的影响，</w:t>
      </w:r>
      <w:r>
        <w:rPr>
          <w:rFonts w:hint="default" w:ascii="Times New Roman" w:hAnsi="Times New Roman" w:cs="Times New Roman"/>
          <w:color w:val="auto"/>
          <w:highlight w:val="none"/>
          <w:shd w:val="clear" w:color="auto" w:fill="auto"/>
          <w:lang w:val="en-US" w:eastAsia="zh-CN"/>
        </w:rPr>
        <w:t>本项目</w:t>
      </w:r>
      <w:r>
        <w:rPr>
          <w:rFonts w:hint="default" w:ascii="Times New Roman" w:hAnsi="Times New Roman" w:cs="Times New Roman"/>
          <w:color w:val="auto"/>
          <w:highlight w:val="none"/>
          <w:shd w:val="clear" w:color="auto" w:fill="auto"/>
          <w:lang w:eastAsia="zh-CN"/>
        </w:rPr>
        <w:t>定期喷洒除臭剂，采用好氧堆肥工艺，恶臭去除效率可达到</w:t>
      </w:r>
      <w:r>
        <w:rPr>
          <w:rFonts w:hint="default" w:ascii="Times New Roman" w:hAnsi="Times New Roman" w:cs="Times New Roman"/>
          <w:color w:val="auto"/>
          <w:highlight w:val="none"/>
          <w:shd w:val="clear" w:color="auto" w:fill="auto"/>
          <w:lang w:val="en-US" w:eastAsia="zh-CN"/>
        </w:rPr>
        <w:t>75</w:t>
      </w:r>
      <w:r>
        <w:rPr>
          <w:rFonts w:hint="default" w:ascii="Times New Roman" w:hAnsi="Times New Roman" w:cs="Times New Roman"/>
          <w:color w:val="auto"/>
          <w:highlight w:val="none"/>
          <w:shd w:val="clear" w:color="auto" w:fill="auto"/>
          <w:lang w:eastAsia="zh-CN"/>
        </w:rPr>
        <w:t>%，NH</w:t>
      </w:r>
      <w:r>
        <w:rPr>
          <w:rFonts w:hint="default" w:ascii="Times New Roman" w:hAnsi="Times New Roman" w:cs="Times New Roman"/>
          <w:color w:val="auto"/>
          <w:highlight w:val="none"/>
          <w:shd w:val="clear" w:color="auto" w:fill="auto"/>
          <w:vertAlign w:val="subscript"/>
          <w:lang w:eastAsia="zh-CN"/>
        </w:rPr>
        <w:t>3</w:t>
      </w:r>
      <w:r>
        <w:rPr>
          <w:rFonts w:hint="default" w:ascii="Times New Roman" w:hAnsi="Times New Roman" w:cs="Times New Roman"/>
          <w:color w:val="auto"/>
          <w:highlight w:val="none"/>
          <w:shd w:val="clear" w:color="auto" w:fill="auto"/>
          <w:lang w:eastAsia="zh-CN"/>
        </w:rPr>
        <w:t>的排放量为</w:t>
      </w:r>
      <w:r>
        <w:rPr>
          <w:rFonts w:hint="eastAsia" w:cs="Times New Roman"/>
          <w:color w:val="auto"/>
          <w:highlight w:val="none"/>
          <w:shd w:val="clear" w:color="auto" w:fill="auto"/>
          <w:lang w:val="en-US" w:eastAsia="zh-CN"/>
        </w:rPr>
        <w:t>0.0028</w:t>
      </w:r>
      <w:r>
        <w:rPr>
          <w:rFonts w:hint="default" w:ascii="Times New Roman" w:hAnsi="Times New Roman" w:cs="Times New Roman"/>
          <w:color w:val="auto"/>
          <w:highlight w:val="none"/>
          <w:shd w:val="clear" w:color="auto" w:fill="auto"/>
          <w:lang w:eastAsia="zh-CN"/>
        </w:rPr>
        <w:t>t/a，H</w:t>
      </w:r>
      <w:r>
        <w:rPr>
          <w:rFonts w:hint="default" w:ascii="Times New Roman" w:hAnsi="Times New Roman" w:cs="Times New Roman"/>
          <w:color w:val="auto"/>
          <w:highlight w:val="none"/>
          <w:shd w:val="clear" w:color="auto" w:fill="auto"/>
          <w:vertAlign w:val="subscript"/>
          <w:lang w:eastAsia="zh-CN"/>
        </w:rPr>
        <w:t>2</w:t>
      </w:r>
      <w:r>
        <w:rPr>
          <w:rFonts w:hint="default" w:ascii="Times New Roman" w:hAnsi="Times New Roman" w:cs="Times New Roman"/>
          <w:color w:val="auto"/>
          <w:highlight w:val="none"/>
          <w:shd w:val="clear" w:color="auto" w:fill="auto"/>
          <w:lang w:eastAsia="zh-CN"/>
        </w:rPr>
        <w:t>S的排放量为</w:t>
      </w:r>
      <w:r>
        <w:rPr>
          <w:rFonts w:hint="eastAsia" w:cs="Times New Roman"/>
          <w:color w:val="auto"/>
          <w:highlight w:val="none"/>
          <w:shd w:val="clear" w:color="auto" w:fill="auto"/>
          <w:lang w:val="en-US" w:eastAsia="zh-CN"/>
        </w:rPr>
        <w:t>0.00022</w:t>
      </w:r>
      <w:r>
        <w:rPr>
          <w:rFonts w:hint="default" w:ascii="Times New Roman" w:hAnsi="Times New Roman" w:cs="Times New Roman"/>
          <w:color w:val="auto"/>
          <w:highlight w:val="none"/>
          <w:shd w:val="clear" w:color="auto" w:fill="auto"/>
          <w:lang w:eastAsia="zh-CN"/>
        </w:rPr>
        <w:t>t/a。</w:t>
      </w:r>
    </w:p>
    <w:p>
      <w:pPr>
        <w:pageBreakBefore w:val="0"/>
        <w:wordWrap/>
        <w:bidi w:val="0"/>
        <w:adjustRightInd w:val="0"/>
        <w:ind w:left="0" w:leftChars="0" w:right="0" w:right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饲料加工粉尘</w:t>
      </w:r>
    </w:p>
    <w:p>
      <w:pPr>
        <w:pageBreakBefore w:val="0"/>
        <w:wordWrap/>
        <w:bidi w:val="0"/>
        <w:adjustRightInd w:val="0"/>
        <w:ind w:left="0" w:leftChars="0" w:right="0" w:rightChars="0"/>
        <w:rPr>
          <w:rFonts w:hint="default" w:ascii="Times New Roman" w:hAnsi="Times New Roman" w:cs="Times New Roman"/>
          <w:color w:val="auto"/>
          <w:highlight w:val="yellow"/>
        </w:rPr>
      </w:pPr>
      <w:r>
        <w:rPr>
          <w:rFonts w:hint="default" w:ascii="Times New Roman" w:hAnsi="Times New Roman" w:eastAsia="宋体" w:cs="Times New Roman"/>
          <w:color w:val="auto"/>
          <w:highlight w:val="none"/>
        </w:rPr>
        <w:t>本项目饲料加工使用自动饲料搅拌机</w:t>
      </w:r>
      <w:r>
        <w:rPr>
          <w:rFonts w:hint="default" w:ascii="Times New Roman" w:hAnsi="Times New Roman" w:eastAsia="宋体" w:cs="Times New Roman"/>
          <w:color w:val="auto"/>
          <w:highlight w:val="none"/>
          <w:lang w:val="en-US" w:eastAsia="zh-CN"/>
        </w:rPr>
        <w:t>及</w:t>
      </w:r>
      <w:r>
        <w:rPr>
          <w:rFonts w:hint="default" w:ascii="Times New Roman" w:hAnsi="Times New Roman" w:eastAsia="宋体" w:cs="Times New Roman"/>
          <w:color w:val="auto"/>
          <w:highlight w:val="none"/>
        </w:rPr>
        <w:t>饲料粉碎机</w:t>
      </w:r>
      <w:r>
        <w:rPr>
          <w:rFonts w:hint="default" w:ascii="Times New Roman" w:hAnsi="Times New Roman" w:eastAsia="宋体" w:cs="Times New Roman"/>
          <w:color w:val="auto"/>
          <w:highlight w:val="none"/>
          <w:lang w:val="en-US" w:eastAsia="zh-CN"/>
        </w:rPr>
        <w:t>。项目产污系数参考《排放源统计调查产排污核算方法和系数手册》（生态环境部公告2021年第24号）-工业源产排污核算方法和系数手册</w:t>
      </w:r>
      <w:r>
        <w:rPr>
          <w:rFonts w:hint="default" w:ascii="Times New Roman" w:hAnsi="Times New Roman" w:eastAsia="宋体" w:cs="Times New Roman"/>
          <w:color w:val="auto"/>
          <w:highlight w:val="none"/>
        </w:rPr>
        <w:t>中“</w:t>
      </w:r>
      <w:r>
        <w:rPr>
          <w:rFonts w:hint="default" w:ascii="Times New Roman" w:hAnsi="Times New Roman" w:eastAsia="宋体" w:cs="Times New Roman"/>
          <w:color w:val="auto"/>
          <w:highlight w:val="none"/>
          <w:lang w:val="en-US" w:eastAsia="zh-CN"/>
        </w:rPr>
        <w:t>132饲料加工</w:t>
      </w:r>
      <w:r>
        <w:rPr>
          <w:rFonts w:hint="default" w:ascii="Times New Roman" w:hAnsi="Times New Roman" w:eastAsia="宋体" w:cs="Times New Roman"/>
          <w:color w:val="auto"/>
          <w:highlight w:val="none"/>
          <w:lang w:eastAsia="zh-CN"/>
        </w:rPr>
        <w:t>行业</w:t>
      </w:r>
      <w:r>
        <w:rPr>
          <w:rFonts w:hint="default" w:ascii="Times New Roman" w:hAnsi="Times New Roman" w:eastAsia="宋体" w:cs="Times New Roman"/>
          <w:color w:val="auto"/>
          <w:highlight w:val="none"/>
        </w:rPr>
        <w:t>系数手册”</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配合饲料</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粉碎、混合过程中颗粒物</w:t>
      </w:r>
      <w:r>
        <w:rPr>
          <w:rFonts w:hint="default" w:ascii="Times New Roman" w:hAnsi="Times New Roman" w:eastAsia="宋体" w:cs="Times New Roman"/>
          <w:color w:val="auto"/>
          <w:highlight w:val="none"/>
          <w:lang w:eastAsia="zh-CN"/>
        </w:rPr>
        <w:t>产污系数为</w:t>
      </w:r>
      <w:r>
        <w:rPr>
          <w:rFonts w:hint="default" w:ascii="Times New Roman" w:hAnsi="Times New Roman" w:eastAsia="宋体" w:cs="Times New Roman"/>
          <w:color w:val="auto"/>
          <w:highlight w:val="none"/>
          <w:lang w:val="en-US" w:eastAsia="zh-CN"/>
        </w:rPr>
        <w:t>0.043kg/t产品</w:t>
      </w:r>
      <w:r>
        <w:rPr>
          <w:rFonts w:hint="default" w:ascii="Times New Roman" w:hAnsi="Times New Roman" w:cs="Times New Roman"/>
          <w:color w:val="auto"/>
          <w:highlight w:val="none"/>
        </w:rPr>
        <w:t>，粉尘</w:t>
      </w:r>
      <w:r>
        <w:rPr>
          <w:rFonts w:hint="default" w:ascii="Times New Roman" w:hAnsi="Times New Roman" w:cs="Times New Roman"/>
          <w:color w:val="auto"/>
          <w:highlight w:val="none"/>
          <w:lang w:val="en-US" w:eastAsia="zh-CN"/>
        </w:rPr>
        <w:t>产生量</w:t>
      </w:r>
      <w:r>
        <w:rPr>
          <w:rFonts w:hint="default" w:ascii="Times New Roman" w:hAnsi="Times New Roman" w:cs="Times New Roman"/>
          <w:color w:val="auto"/>
          <w:highlight w:val="none"/>
        </w:rPr>
        <w:t>约</w:t>
      </w:r>
      <w:r>
        <w:rPr>
          <w:rFonts w:hint="eastAsia" w:cs="Times New Roman"/>
          <w:color w:val="auto"/>
          <w:highlight w:val="none"/>
          <w:lang w:val="en-US" w:eastAsia="zh-CN"/>
        </w:rPr>
        <w:t>1.2</w:t>
      </w:r>
      <w:r>
        <w:rPr>
          <w:rFonts w:hint="default" w:ascii="Times New Roman" w:hAnsi="Times New Roman" w:cs="Times New Roman"/>
          <w:color w:val="auto"/>
          <w:highlight w:val="none"/>
        </w:rPr>
        <w:t>t/a</w:t>
      </w:r>
      <w:r>
        <w:rPr>
          <w:rFonts w:hint="default" w:ascii="Times New Roman" w:hAnsi="Times New Roman" w:eastAsia="宋体" w:cs="Times New Roman"/>
          <w:color w:val="auto"/>
          <w:highlight w:val="none"/>
          <w:lang w:val="en-US" w:eastAsia="zh-CN"/>
        </w:rPr>
        <w:t>。</w:t>
      </w:r>
    </w:p>
    <w:p>
      <w:pPr>
        <w:pageBreakBefore w:val="0"/>
        <w:wordWrap/>
        <w:bidi w:val="0"/>
        <w:adjustRightInd w:val="0"/>
        <w:ind w:left="0" w:leftChars="0" w:right="0" w:rightChars="0"/>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highlight w:val="none"/>
          <w:lang w:val="en-US" w:eastAsia="zh-CN"/>
        </w:rPr>
        <w:t>饲料搅拌密闭，几乎不产生外排废气，不进行核算。饲料</w:t>
      </w:r>
      <w:r>
        <w:rPr>
          <w:rFonts w:hint="default" w:ascii="Times New Roman" w:hAnsi="Times New Roman" w:cs="Times New Roman"/>
          <w:color w:val="auto"/>
          <w:highlight w:val="none"/>
          <w:lang w:val="en-US" w:eastAsia="zh-CN"/>
        </w:rPr>
        <w:t>加工粉碎废气（上料口及出料口）经集气罩收集后采用布袋除尘处理，</w:t>
      </w:r>
      <w:r>
        <w:rPr>
          <w:rFonts w:hint="default" w:ascii="Times New Roman" w:hAnsi="Times New Roman" w:eastAsia="宋体" w:cs="Times New Roman"/>
          <w:color w:val="auto"/>
          <w:highlight w:val="none"/>
          <w:lang w:val="en-US" w:eastAsia="zh-CN"/>
        </w:rPr>
        <w:t>收集效率90%，除尘效率99%</w:t>
      </w:r>
      <w:r>
        <w:rPr>
          <w:rFonts w:hint="default" w:ascii="Times New Roman" w:hAnsi="Times New Roman" w:cs="Times New Roman"/>
          <w:color w:val="auto"/>
          <w:highlight w:val="none"/>
          <w:lang w:val="en-US" w:eastAsia="zh-CN"/>
        </w:rPr>
        <w:t>，饲料加工时长约为2h/d。本项目</w:t>
      </w:r>
      <w:r>
        <w:rPr>
          <w:rFonts w:hint="default" w:ascii="Times New Roman" w:hAnsi="Times New Roman" w:eastAsia="宋体" w:cs="Times New Roman"/>
          <w:color w:val="auto"/>
          <w:highlight w:val="none"/>
          <w:lang w:eastAsia="zh-CN"/>
        </w:rPr>
        <w:t>饲料加工粉尘</w:t>
      </w:r>
      <w:r>
        <w:rPr>
          <w:rFonts w:hint="default" w:ascii="Times New Roman" w:hAnsi="Times New Roman" w:eastAsia="宋体" w:cs="Times New Roman"/>
          <w:color w:val="auto"/>
          <w:highlight w:val="none"/>
          <w:lang w:val="en-US" w:eastAsia="zh-CN"/>
        </w:rPr>
        <w:t>源强核算见表3.3-</w:t>
      </w:r>
      <w:r>
        <w:rPr>
          <w:rFonts w:hint="default" w:ascii="Times New Roman" w:hAnsi="Times New Roman" w:cs="Times New Roman"/>
          <w:color w:val="auto"/>
          <w:highlight w:val="none"/>
          <w:lang w:val="en-US" w:eastAsia="zh-CN"/>
        </w:rPr>
        <w:t>6</w:t>
      </w:r>
      <w:r>
        <w:rPr>
          <w:rFonts w:hint="default" w:ascii="Times New Roman" w:hAnsi="Times New Roman" w:eastAsia="宋体" w:cs="Times New Roman"/>
          <w:color w:val="auto"/>
          <w:highlight w:val="none"/>
          <w:lang w:val="en-US" w:eastAsia="zh-CN"/>
        </w:rPr>
        <w:t>。</w:t>
      </w:r>
    </w:p>
    <w:p>
      <w:pPr>
        <w:pStyle w:val="50"/>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表3.3-</w:t>
      </w:r>
      <w:r>
        <w:rPr>
          <w:rFonts w:hint="default" w:ascii="Times New Roman" w:hAnsi="Times New Roman"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eastAsia="zh-CN"/>
        </w:rPr>
        <w:t>饲料加工粉尘</w:t>
      </w:r>
      <w:r>
        <w:rPr>
          <w:rFonts w:hint="default" w:ascii="Times New Roman" w:hAnsi="Times New Roman" w:eastAsia="宋体" w:cs="Times New Roman"/>
          <w:color w:val="auto"/>
          <w:sz w:val="21"/>
          <w:szCs w:val="21"/>
          <w:highlight w:val="none"/>
          <w:lang w:val="en-US" w:eastAsia="zh-CN"/>
        </w:rPr>
        <w:t>源强核算结果及相关参数一览表</w:t>
      </w:r>
    </w:p>
    <w:tbl>
      <w:tblPr>
        <w:tblStyle w:val="40"/>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91"/>
        <w:gridCol w:w="544"/>
        <w:gridCol w:w="418"/>
        <w:gridCol w:w="1004"/>
        <w:gridCol w:w="645"/>
        <w:gridCol w:w="484"/>
        <w:gridCol w:w="796"/>
        <w:gridCol w:w="760"/>
        <w:gridCol w:w="983"/>
        <w:gridCol w:w="1090"/>
        <w:gridCol w:w="817"/>
        <w:gridCol w:w="8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3" w:hRule="atLeast"/>
        </w:trPr>
        <w:tc>
          <w:tcPr>
            <w:tcW w:w="483" w:type="pct"/>
            <w:gridSpan w:val="2"/>
            <w:vMerge w:val="restar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污染源</w:t>
            </w:r>
          </w:p>
        </w:tc>
        <w:tc>
          <w:tcPr>
            <w:tcW w:w="242" w:type="pct"/>
            <w:vMerge w:val="restar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污染物</w:t>
            </w:r>
          </w:p>
        </w:tc>
        <w:tc>
          <w:tcPr>
            <w:tcW w:w="955" w:type="pct"/>
            <w:gridSpan w:val="2"/>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污染物产生</w:t>
            </w:r>
          </w:p>
        </w:tc>
        <w:tc>
          <w:tcPr>
            <w:tcW w:w="1181" w:type="pct"/>
            <w:gridSpan w:val="3"/>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治理措施</w:t>
            </w:r>
          </w:p>
        </w:tc>
        <w:tc>
          <w:tcPr>
            <w:tcW w:w="2137" w:type="pct"/>
            <w:gridSpan w:val="4"/>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污染物排放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57" w:hRule="atLeast"/>
        </w:trPr>
        <w:tc>
          <w:tcPr>
            <w:tcW w:w="483" w:type="pct"/>
            <w:gridSpan w:val="2"/>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p>
        </w:tc>
        <w:tc>
          <w:tcPr>
            <w:tcW w:w="242"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p>
        </w:tc>
        <w:tc>
          <w:tcPr>
            <w:tcW w:w="581"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产生浓度</w:t>
            </w:r>
          </w:p>
          <w:p>
            <w:pPr>
              <w:pStyle w:val="55"/>
              <w:pageBreakBefore w:val="0"/>
              <w:wordWrap/>
              <w:bidi w:val="0"/>
              <w:adjustRightInd w:val="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（mg/m³）</w:t>
            </w:r>
          </w:p>
        </w:tc>
        <w:tc>
          <w:tcPr>
            <w:tcW w:w="373"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产生量</w:t>
            </w:r>
          </w:p>
          <w:p>
            <w:pPr>
              <w:pStyle w:val="55"/>
              <w:pageBreakBefore w:val="0"/>
              <w:wordWrap/>
              <w:bidi w:val="0"/>
              <w:adjustRightInd w:val="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（t/a）</w:t>
            </w:r>
          </w:p>
        </w:tc>
        <w:tc>
          <w:tcPr>
            <w:tcW w:w="280"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工艺</w:t>
            </w:r>
          </w:p>
        </w:tc>
        <w:tc>
          <w:tcPr>
            <w:tcW w:w="461"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效率%</w:t>
            </w:r>
          </w:p>
        </w:tc>
        <w:tc>
          <w:tcPr>
            <w:tcW w:w="440"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是否为可行技术</w:t>
            </w:r>
          </w:p>
        </w:tc>
        <w:tc>
          <w:tcPr>
            <w:tcW w:w="569"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废气量（m³/h）</w:t>
            </w:r>
          </w:p>
        </w:tc>
        <w:tc>
          <w:tcPr>
            <w:tcW w:w="631"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排放浓度</w:t>
            </w:r>
          </w:p>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（mg/m³）</w:t>
            </w:r>
          </w:p>
        </w:tc>
        <w:tc>
          <w:tcPr>
            <w:tcW w:w="473"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排放</w:t>
            </w:r>
          </w:p>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速率（kg/h）</w:t>
            </w:r>
          </w:p>
        </w:tc>
        <w:tc>
          <w:tcPr>
            <w:tcW w:w="463"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9" w:hRule="atLeast"/>
        </w:trPr>
        <w:tc>
          <w:tcPr>
            <w:tcW w:w="168" w:type="pct"/>
            <w:vMerge w:val="restar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饲料加工</w:t>
            </w:r>
          </w:p>
        </w:tc>
        <w:tc>
          <w:tcPr>
            <w:tcW w:w="315"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有组织</w:t>
            </w:r>
          </w:p>
        </w:tc>
        <w:tc>
          <w:tcPr>
            <w:tcW w:w="242"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581" w:type="pct"/>
            <w:tcBorders>
              <w:tl2br w:val="nil"/>
              <w:tr2bl w:val="nil"/>
            </w:tcBorders>
            <w:noWrap w:val="0"/>
            <w:vAlign w:val="center"/>
          </w:tcPr>
          <w:p>
            <w:pPr>
              <w:pStyle w:val="55"/>
              <w:pageBreakBefore w:val="0"/>
              <w:wordWrap/>
              <w:bidi w:val="0"/>
              <w:adjustRightInd w:val="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7</w:t>
            </w:r>
            <w:r>
              <w:rPr>
                <w:rFonts w:hint="eastAsia" w:cs="Times New Roman"/>
                <w:color w:val="auto"/>
                <w:sz w:val="21"/>
                <w:szCs w:val="21"/>
                <w:highlight w:val="none"/>
                <w:lang w:val="en-US" w:eastAsia="zh-CN"/>
              </w:rPr>
              <w:t>53</w:t>
            </w:r>
          </w:p>
        </w:tc>
        <w:tc>
          <w:tcPr>
            <w:tcW w:w="373" w:type="pct"/>
            <w:tcBorders>
              <w:tl2br w:val="nil"/>
              <w:tr2bl w:val="nil"/>
            </w:tcBorders>
            <w:noWrap w:val="0"/>
            <w:vAlign w:val="center"/>
          </w:tcPr>
          <w:p>
            <w:pPr>
              <w:pStyle w:val="55"/>
              <w:pageBreakBefore w:val="0"/>
              <w:wordWrap/>
              <w:bidi w:val="0"/>
              <w:adjustRightInd w:val="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1.1</w:t>
            </w:r>
          </w:p>
        </w:tc>
        <w:tc>
          <w:tcPr>
            <w:tcW w:w="280"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布袋除尘</w:t>
            </w:r>
          </w:p>
        </w:tc>
        <w:tc>
          <w:tcPr>
            <w:tcW w:w="461"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除尘效率99%</w:t>
            </w:r>
          </w:p>
        </w:tc>
        <w:tc>
          <w:tcPr>
            <w:tcW w:w="440"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是</w:t>
            </w:r>
          </w:p>
        </w:tc>
        <w:tc>
          <w:tcPr>
            <w:tcW w:w="569"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2000</w:t>
            </w:r>
          </w:p>
        </w:tc>
        <w:tc>
          <w:tcPr>
            <w:tcW w:w="631"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473"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0.015</w:t>
            </w:r>
          </w:p>
        </w:tc>
        <w:tc>
          <w:tcPr>
            <w:tcW w:w="463"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168"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p>
        </w:tc>
        <w:tc>
          <w:tcPr>
            <w:tcW w:w="315"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无组织</w:t>
            </w:r>
          </w:p>
        </w:tc>
        <w:tc>
          <w:tcPr>
            <w:tcW w:w="242"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581" w:type="pct"/>
            <w:tcBorders>
              <w:tl2br w:val="nil"/>
              <w:tr2bl w:val="nil"/>
            </w:tcBorders>
            <w:noWrap w:val="0"/>
            <w:vAlign w:val="center"/>
          </w:tcPr>
          <w:p>
            <w:pPr>
              <w:pStyle w:val="55"/>
              <w:pageBreakBefore w:val="0"/>
              <w:wordWrap/>
              <w:bidi w:val="0"/>
              <w:adjustRightInd w:val="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373" w:type="pct"/>
            <w:tcBorders>
              <w:tl2br w:val="nil"/>
              <w:tr2bl w:val="nil"/>
            </w:tcBorders>
            <w:noWrap w:val="0"/>
            <w:vAlign w:val="center"/>
          </w:tcPr>
          <w:p>
            <w:pPr>
              <w:pStyle w:val="55"/>
              <w:pageBreakBefore w:val="0"/>
              <w:wordWrap/>
              <w:bidi w:val="0"/>
              <w:adjustRightInd w:val="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0.1</w:t>
            </w:r>
          </w:p>
        </w:tc>
        <w:tc>
          <w:tcPr>
            <w:tcW w:w="280"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洒水</w:t>
            </w:r>
          </w:p>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降尘</w:t>
            </w:r>
          </w:p>
        </w:tc>
        <w:tc>
          <w:tcPr>
            <w:tcW w:w="461"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40"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是</w:t>
            </w:r>
          </w:p>
        </w:tc>
        <w:tc>
          <w:tcPr>
            <w:tcW w:w="569"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31"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73"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63"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w:t>
            </w:r>
          </w:p>
        </w:tc>
      </w:tr>
    </w:tbl>
    <w:p>
      <w:pPr>
        <w:pStyle w:val="6"/>
        <w:keepNext/>
        <w:keepLines/>
        <w:pageBreakBefore w:val="0"/>
        <w:widowControl w:val="0"/>
        <w:kinsoku/>
        <w:wordWrap/>
        <w:overflowPunct/>
        <w:topLinePunct w:val="0"/>
        <w:autoSpaceDE/>
        <w:autoSpaceDN/>
        <w:bidi w:val="0"/>
        <w:adjustRightInd w:val="0"/>
        <w:snapToGrid w:val="0"/>
        <w:spacing w:before="157" w:beforeLines="50"/>
        <w:ind w:left="0" w:leftChars="0" w:right="0" w:rightChars="0" w:firstLine="0" w:firstLineChars="0"/>
        <w:textAlignment w:val="auto"/>
        <w:rPr>
          <w:rFonts w:hint="default" w:ascii="Times New Roman" w:hAnsi="Times New Roman" w:eastAsia="宋体" w:cs="Times New Roman"/>
          <w:color w:val="auto"/>
          <w:highlight w:val="none"/>
          <w:lang w:val="en-US" w:eastAsia="zh-CN"/>
        </w:rPr>
      </w:pPr>
      <w:bookmarkStart w:id="158" w:name="_Toc9484"/>
      <w:r>
        <w:rPr>
          <w:rFonts w:hint="default" w:ascii="Times New Roman" w:hAnsi="Times New Roman" w:eastAsia="宋体" w:cs="Times New Roman"/>
          <w:color w:val="auto"/>
          <w:highlight w:val="none"/>
          <w:lang w:val="en-US" w:eastAsia="zh-CN"/>
        </w:rPr>
        <w:t>废水</w:t>
      </w:r>
      <w:bookmarkEnd w:id="158"/>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textAlignment w:val="auto"/>
        <w:rPr>
          <w:rFonts w:hint="eastAsia" w:ascii="宋体" w:hAnsi="宋体" w:eastAsia="宋体" w:cs="宋体"/>
          <w:color w:val="auto"/>
          <w:kern w:val="0"/>
          <w:sz w:val="24"/>
          <w:szCs w:val="24"/>
          <w:lang w:val="en-US" w:eastAsia="zh-CN" w:bidi="ar"/>
        </w:rPr>
      </w:pPr>
      <w:r>
        <w:rPr>
          <w:rFonts w:hint="eastAsia" w:cs="Times New Roman"/>
          <w:color w:val="auto"/>
          <w:spacing w:val="0"/>
          <w:kern w:val="21"/>
          <w:position w:val="0"/>
          <w:sz w:val="24"/>
          <w:szCs w:val="24"/>
          <w:highlight w:val="none"/>
          <w:lang w:val="en-US" w:eastAsia="zh-CN"/>
        </w:rPr>
        <w:t>本项目</w:t>
      </w:r>
      <w:r>
        <w:rPr>
          <w:rFonts w:hint="default" w:ascii="Times New Roman" w:hAnsi="Times New Roman" w:cs="Times New Roman"/>
          <w:color w:val="auto"/>
          <w:spacing w:val="0"/>
          <w:kern w:val="21"/>
          <w:position w:val="0"/>
          <w:sz w:val="24"/>
          <w:szCs w:val="24"/>
          <w:highlight w:val="none"/>
        </w:rPr>
        <w:t>运营期废水主要为牛尿液、</w:t>
      </w:r>
      <w:r>
        <w:rPr>
          <w:rFonts w:hint="eastAsia" w:cs="Times New Roman"/>
          <w:color w:val="auto"/>
          <w:spacing w:val="0"/>
          <w:kern w:val="21"/>
          <w:position w:val="0"/>
          <w:sz w:val="24"/>
          <w:szCs w:val="24"/>
          <w:highlight w:val="none"/>
          <w:lang w:eastAsia="zh-CN"/>
        </w:rPr>
        <w:t>挤奶厅设备和地面清洗废水</w:t>
      </w:r>
      <w:r>
        <w:rPr>
          <w:rFonts w:hint="default" w:ascii="Times New Roman" w:hAnsi="Times New Roman" w:cs="Times New Roman"/>
          <w:color w:val="auto"/>
          <w:spacing w:val="0"/>
          <w:kern w:val="21"/>
          <w:position w:val="0"/>
          <w:sz w:val="24"/>
          <w:szCs w:val="24"/>
          <w:highlight w:val="none"/>
          <w:lang w:eastAsia="zh-CN"/>
        </w:rPr>
        <w:t>及</w:t>
      </w:r>
      <w:r>
        <w:rPr>
          <w:rFonts w:hint="default" w:ascii="Times New Roman" w:hAnsi="Times New Roman" w:cs="Times New Roman"/>
          <w:color w:val="auto"/>
          <w:spacing w:val="0"/>
          <w:kern w:val="21"/>
          <w:position w:val="0"/>
          <w:sz w:val="24"/>
          <w:szCs w:val="24"/>
          <w:highlight w:val="none"/>
        </w:rPr>
        <w:t>职工生活污水。</w:t>
      </w:r>
    </w:p>
    <w:p>
      <w:pPr>
        <w:keepNext w:val="0"/>
        <w:keepLines w:val="0"/>
        <w:pageBreakBefore w:val="0"/>
        <w:widowControl/>
        <w:suppressLineNumbers w:val="0"/>
        <w:wordWrap/>
        <w:bidi w:val="0"/>
        <w:adjustRightInd w:val="0"/>
        <w:ind w:left="0" w:leftChars="0" w:right="0" w:rightChars="0"/>
        <w:jc w:val="left"/>
        <w:rPr>
          <w:rFonts w:hint="default" w:ascii="Times New Roman" w:hAnsi="Times New Roman" w:cs="Times New Roman"/>
          <w:color w:val="auto"/>
          <w:highlight w:val="none"/>
        </w:rPr>
      </w:pPr>
      <w:r>
        <w:rPr>
          <w:rFonts w:hint="eastAsia" w:cs="Times New Roman"/>
          <w:color w:val="auto"/>
          <w:kern w:val="0"/>
          <w:sz w:val="24"/>
          <w:szCs w:val="24"/>
          <w:highlight w:val="none"/>
          <w:lang w:val="en-US" w:eastAsia="zh-CN" w:bidi="ar"/>
        </w:rPr>
        <w:t>（1）牛尿液：</w:t>
      </w:r>
      <w:r>
        <w:rPr>
          <w:rFonts w:hint="default" w:ascii="Times New Roman" w:hAnsi="Times New Roman" w:eastAsia="宋体" w:cs="Times New Roman"/>
          <w:color w:val="auto"/>
          <w:kern w:val="0"/>
          <w:sz w:val="24"/>
          <w:szCs w:val="24"/>
          <w:highlight w:val="none"/>
          <w:lang w:val="en-US" w:eastAsia="zh-CN" w:bidi="ar"/>
        </w:rPr>
        <w:t>根据《畜禽养殖业污染治理工程技术规范》（HJ497</w:t>
      </w:r>
      <w:r>
        <w:rPr>
          <w:rFonts w:hint="default" w:ascii="Times New Roman" w:hAnsi="Times New Roman"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2009）中“畜禽粪尿排泄系数”，每头牛排</w:t>
      </w:r>
      <w:r>
        <w:rPr>
          <w:rFonts w:hint="default" w:ascii="Times New Roman" w:hAnsi="Times New Roman" w:cs="Times New Roman"/>
          <w:color w:val="auto"/>
          <w:kern w:val="0"/>
          <w:sz w:val="24"/>
          <w:szCs w:val="24"/>
          <w:highlight w:val="none"/>
          <w:lang w:val="en-US" w:eastAsia="zh-CN" w:bidi="ar"/>
        </w:rPr>
        <w:t>0.01m</w:t>
      </w:r>
      <w:r>
        <w:rPr>
          <w:rFonts w:hint="default" w:ascii="Times New Roman" w:hAnsi="Times New Roman"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只·</w:t>
      </w:r>
      <w:r>
        <w:rPr>
          <w:rFonts w:hint="default" w:ascii="Times New Roman" w:hAnsi="Times New Roman" w:eastAsia="宋体" w:cs="Times New Roman"/>
          <w:color w:val="auto"/>
          <w:kern w:val="0"/>
          <w:sz w:val="24"/>
          <w:szCs w:val="24"/>
          <w:highlight w:val="none"/>
          <w:lang w:val="en-US" w:eastAsia="zh-CN" w:bidi="ar"/>
        </w:rPr>
        <w:t>d，本项目</w:t>
      </w:r>
      <w:r>
        <w:rPr>
          <w:rFonts w:hint="eastAsia" w:cs="Times New Roman"/>
          <w:color w:val="auto"/>
          <w:kern w:val="0"/>
          <w:sz w:val="24"/>
          <w:szCs w:val="24"/>
          <w:highlight w:val="none"/>
          <w:lang w:val="en-US" w:eastAsia="zh-CN" w:bidi="ar"/>
        </w:rPr>
        <w:t>奶牛</w:t>
      </w:r>
      <w:r>
        <w:rPr>
          <w:rFonts w:hint="default" w:ascii="Times New Roman" w:hAnsi="Times New Roman" w:eastAsia="宋体" w:cs="Times New Roman"/>
          <w:color w:val="auto"/>
          <w:kern w:val="0"/>
          <w:sz w:val="24"/>
          <w:szCs w:val="24"/>
          <w:highlight w:val="none"/>
          <w:lang w:val="en-US" w:eastAsia="zh-CN" w:bidi="ar"/>
        </w:rPr>
        <w:t>存栏量</w:t>
      </w:r>
      <w:r>
        <w:rPr>
          <w:rFonts w:hint="default" w:ascii="Times New Roman" w:hAnsi="Times New Roman" w:cs="Times New Roman"/>
          <w:color w:val="auto"/>
          <w:kern w:val="0"/>
          <w:sz w:val="24"/>
          <w:szCs w:val="24"/>
          <w:highlight w:val="none"/>
          <w:lang w:val="en-US" w:eastAsia="zh-CN" w:bidi="ar"/>
        </w:rPr>
        <w:t>3000</w:t>
      </w:r>
      <w:r>
        <w:rPr>
          <w:rFonts w:hint="default" w:ascii="Times New Roman" w:hAnsi="Times New Roman" w:eastAsia="宋体" w:cs="Times New Roman"/>
          <w:color w:val="auto"/>
          <w:kern w:val="0"/>
          <w:sz w:val="24"/>
          <w:szCs w:val="24"/>
          <w:highlight w:val="none"/>
          <w:lang w:val="en-US" w:eastAsia="zh-CN" w:bidi="ar"/>
        </w:rPr>
        <w:t>头，则产生尿液量为</w:t>
      </w:r>
      <w:r>
        <w:rPr>
          <w:rFonts w:hint="default" w:ascii="Times New Roman" w:hAnsi="Times New Roman" w:cs="Times New Roman"/>
          <w:color w:val="auto"/>
          <w:kern w:val="0"/>
          <w:sz w:val="24"/>
          <w:szCs w:val="24"/>
          <w:highlight w:val="none"/>
          <w:lang w:val="en-US" w:eastAsia="zh-CN" w:bidi="ar"/>
        </w:rPr>
        <w:t>30</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/d，</w:t>
      </w:r>
      <w:r>
        <w:rPr>
          <w:rFonts w:hint="default" w:ascii="Times New Roman" w:hAnsi="Times New Roman" w:cs="Times New Roman"/>
          <w:color w:val="auto"/>
          <w:kern w:val="0"/>
          <w:sz w:val="24"/>
          <w:szCs w:val="24"/>
          <w:highlight w:val="none"/>
          <w:lang w:val="en-US" w:eastAsia="zh-CN" w:bidi="ar"/>
        </w:rPr>
        <w:t>10950</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/a。按照《国务院办公厅关于加快推进畜禽养殖废弃物资源化利用的意见》中要求</w:t>
      </w:r>
      <w:r>
        <w:rPr>
          <w:rFonts w:hint="default" w:ascii="Times New Roman" w:hAnsi="Times New Roman"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本项目采用干清粪养殖工艺，每日及时进行圈舍粪便清除。</w:t>
      </w:r>
      <w:r>
        <w:rPr>
          <w:rFonts w:hint="eastAsia" w:cs="Times New Roman"/>
          <w:color w:val="auto"/>
          <w:kern w:val="0"/>
          <w:sz w:val="24"/>
          <w:szCs w:val="24"/>
          <w:highlight w:val="none"/>
          <w:lang w:val="en-US" w:eastAsia="zh-CN" w:bidi="ar"/>
        </w:rPr>
        <w:t>牛尿进入垫料中，</w:t>
      </w:r>
      <w:r>
        <w:rPr>
          <w:rFonts w:hint="default" w:ascii="Times New Roman" w:hAnsi="Times New Roman" w:eastAsia="宋体" w:cs="Times New Roman"/>
          <w:color w:val="auto"/>
          <w:kern w:val="0"/>
          <w:sz w:val="24"/>
          <w:szCs w:val="24"/>
          <w:highlight w:val="none"/>
          <w:lang w:val="en-US" w:eastAsia="zh-CN" w:bidi="ar"/>
        </w:rPr>
        <w:t>部分自然蒸发，剩余</w:t>
      </w:r>
      <w:r>
        <w:rPr>
          <w:rFonts w:hint="eastAsia" w:cs="Times New Roman"/>
          <w:color w:val="auto"/>
          <w:kern w:val="0"/>
          <w:sz w:val="24"/>
          <w:szCs w:val="24"/>
          <w:highlight w:val="none"/>
          <w:lang w:val="en-US" w:eastAsia="zh-CN" w:bidi="ar"/>
        </w:rPr>
        <w:t>部分与垫料</w:t>
      </w:r>
      <w:r>
        <w:rPr>
          <w:rFonts w:hint="default" w:ascii="Times New Roman" w:hAnsi="Times New Roman" w:eastAsia="宋体" w:cs="Times New Roman"/>
          <w:color w:val="auto"/>
          <w:kern w:val="0"/>
          <w:sz w:val="24"/>
          <w:szCs w:val="24"/>
          <w:highlight w:val="none"/>
          <w:lang w:val="en-US" w:eastAsia="zh-CN" w:bidi="ar"/>
        </w:rPr>
        <w:t>一起进入</w:t>
      </w:r>
      <w:r>
        <w:rPr>
          <w:rFonts w:hint="default" w:ascii="Times New Roman" w:hAnsi="Times New Roman" w:cs="Times New Roman"/>
          <w:color w:val="auto"/>
          <w:kern w:val="0"/>
          <w:sz w:val="24"/>
          <w:szCs w:val="24"/>
          <w:highlight w:val="none"/>
          <w:lang w:val="en-US" w:eastAsia="zh-CN" w:bidi="ar"/>
        </w:rPr>
        <w:t>堆粪场</w:t>
      </w:r>
      <w:r>
        <w:rPr>
          <w:rFonts w:hint="default" w:ascii="Times New Roman" w:hAnsi="Times New Roman" w:eastAsia="宋体" w:cs="Times New Roman"/>
          <w:color w:val="auto"/>
          <w:kern w:val="0"/>
          <w:sz w:val="24"/>
          <w:szCs w:val="24"/>
          <w:highlight w:val="none"/>
          <w:lang w:val="en-US" w:eastAsia="zh-CN" w:bidi="ar"/>
        </w:rPr>
        <w:t>，不外排。</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textAlignment w:val="auto"/>
        <w:rPr>
          <w:rFonts w:hint="eastAsia" w:ascii="宋体" w:hAnsi="宋体" w:eastAsia="宋体" w:cs="宋体"/>
          <w:color w:val="auto"/>
          <w:kern w:val="0"/>
          <w:sz w:val="24"/>
          <w:szCs w:val="24"/>
          <w:lang w:val="en-US" w:eastAsia="zh-CN" w:bidi="ar"/>
        </w:rPr>
      </w:pPr>
      <w:r>
        <w:rPr>
          <w:rFonts w:hint="eastAsia" w:cs="Times New Roman"/>
          <w:color w:val="auto"/>
          <w:spacing w:val="0"/>
          <w:kern w:val="21"/>
          <w:position w:val="0"/>
          <w:sz w:val="24"/>
          <w:szCs w:val="24"/>
          <w:highlight w:val="none"/>
          <w:lang w:eastAsia="zh-CN"/>
        </w:rPr>
        <w:t>（</w:t>
      </w:r>
      <w:r>
        <w:rPr>
          <w:rFonts w:hint="eastAsia" w:cs="Times New Roman"/>
          <w:color w:val="auto"/>
          <w:spacing w:val="0"/>
          <w:kern w:val="21"/>
          <w:position w:val="0"/>
          <w:sz w:val="24"/>
          <w:szCs w:val="24"/>
          <w:highlight w:val="none"/>
          <w:lang w:val="en-US" w:eastAsia="zh-CN"/>
        </w:rPr>
        <w:t>2）</w:t>
      </w:r>
      <w:r>
        <w:rPr>
          <w:rFonts w:hint="eastAsia" w:cs="Times New Roman"/>
          <w:color w:val="auto"/>
          <w:spacing w:val="0"/>
          <w:kern w:val="21"/>
          <w:position w:val="0"/>
          <w:sz w:val="24"/>
          <w:szCs w:val="24"/>
          <w:highlight w:val="none"/>
          <w:lang w:eastAsia="zh-CN"/>
        </w:rPr>
        <w:t>挤奶厅设备和地面清洗废水</w:t>
      </w:r>
      <w:r>
        <w:rPr>
          <w:rFonts w:hint="default" w:ascii="Times New Roman" w:hAnsi="Times New Roman" w:eastAsia="宋体" w:cs="Times New Roman"/>
          <w:color w:val="auto"/>
          <w:spacing w:val="0"/>
          <w:kern w:val="21"/>
          <w:position w:val="0"/>
          <w:sz w:val="24"/>
          <w:szCs w:val="24"/>
          <w:highlight w:val="none"/>
        </w:rPr>
        <w:t>排放量为876m</w:t>
      </w:r>
      <w:r>
        <w:rPr>
          <w:rFonts w:hint="default" w:ascii="Times New Roman" w:hAnsi="Times New Roman" w:eastAsia="宋体" w:cs="Times New Roman"/>
          <w:color w:val="auto"/>
          <w:spacing w:val="0"/>
          <w:kern w:val="21"/>
          <w:position w:val="0"/>
          <w:sz w:val="24"/>
          <w:szCs w:val="24"/>
          <w:highlight w:val="none"/>
          <w:vertAlign w:val="superscript"/>
        </w:rPr>
        <w:t>3</w:t>
      </w:r>
      <w:r>
        <w:rPr>
          <w:rFonts w:hint="default" w:ascii="Times New Roman" w:hAnsi="Times New Roman" w:eastAsia="宋体" w:cs="Times New Roman"/>
          <w:color w:val="auto"/>
          <w:spacing w:val="0"/>
          <w:kern w:val="21"/>
          <w:position w:val="0"/>
          <w:sz w:val="24"/>
          <w:szCs w:val="24"/>
          <w:highlight w:val="none"/>
        </w:rPr>
        <w:t>/a，排入</w:t>
      </w:r>
      <w:r>
        <w:rPr>
          <w:rFonts w:hint="default" w:ascii="Times New Roman" w:hAnsi="Times New Roman" w:cs="Times New Roman"/>
          <w:color w:val="auto"/>
          <w:spacing w:val="0"/>
          <w:kern w:val="21"/>
          <w:position w:val="0"/>
          <w:sz w:val="24"/>
          <w:szCs w:val="24"/>
          <w:highlight w:val="none"/>
          <w:lang w:eastAsia="zh-CN"/>
        </w:rPr>
        <w:t>集污池</w:t>
      </w:r>
      <w:r>
        <w:rPr>
          <w:rFonts w:hint="default" w:ascii="Times New Roman" w:hAnsi="Times New Roman" w:eastAsia="宋体" w:cs="Times New Roman"/>
          <w:color w:val="auto"/>
          <w:spacing w:val="0"/>
          <w:kern w:val="21"/>
          <w:position w:val="0"/>
          <w:sz w:val="24"/>
          <w:szCs w:val="24"/>
          <w:highlight w:val="none"/>
          <w:lang w:eastAsia="zh-CN"/>
        </w:rPr>
        <w:t>后定期清掏</w:t>
      </w:r>
      <w:r>
        <w:rPr>
          <w:rFonts w:hint="default" w:ascii="Times New Roman" w:hAnsi="Times New Roman" w:eastAsia="宋体" w:cs="Times New Roman"/>
          <w:color w:val="auto"/>
          <w:spacing w:val="0"/>
          <w:kern w:val="21"/>
          <w:position w:val="0"/>
          <w:sz w:val="24"/>
          <w:szCs w:val="24"/>
          <w:highlight w:val="none"/>
        </w:rPr>
        <w:t>。</w:t>
      </w:r>
    </w:p>
    <w:p>
      <w:pPr>
        <w:pStyle w:val="17"/>
        <w:pageBreakBefore w:val="0"/>
        <w:wordWrap/>
        <w:bidi w:val="0"/>
        <w:adjustRightInd w:val="0"/>
        <w:snapToGrid w:val="0"/>
        <w:spacing w:after="0" w:line="360" w:lineRule="auto"/>
        <w:ind w:left="0" w:leftChars="0" w:right="0" w:rightChars="0"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）生活污</w:t>
      </w:r>
      <w:r>
        <w:rPr>
          <w:rFonts w:hint="default" w:ascii="Times New Roman" w:hAnsi="Times New Roman" w:cs="Times New Roman"/>
          <w:color w:val="auto"/>
          <w:sz w:val="24"/>
          <w:szCs w:val="24"/>
          <w:highlight w:val="none"/>
        </w:rPr>
        <w:t>水：主要来源于办公区，本项目场内职工</w:t>
      </w:r>
      <w:r>
        <w:rPr>
          <w:rFonts w:hint="default" w:ascii="Times New Roman" w:hAnsi="Times New Roman" w:cs="Times New Roman"/>
          <w:color w:val="auto"/>
          <w:sz w:val="24"/>
          <w:szCs w:val="24"/>
          <w:highlight w:val="none"/>
          <w:lang w:val="en-US" w:eastAsia="zh-CN"/>
        </w:rPr>
        <w:t>50</w:t>
      </w:r>
      <w:r>
        <w:rPr>
          <w:rFonts w:hint="default" w:ascii="Times New Roman" w:hAnsi="Times New Roman" w:cs="Times New Roman"/>
          <w:color w:val="auto"/>
          <w:sz w:val="24"/>
          <w:szCs w:val="24"/>
          <w:highlight w:val="none"/>
        </w:rPr>
        <w:t>人，生活污水产生量约为</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kern w:val="0"/>
          <w:sz w:val="24"/>
          <w:szCs w:val="24"/>
          <w:highlight w:val="none"/>
          <w:lang w:val="en-US" w:eastAsia="zh-CN"/>
        </w:rPr>
        <w:t>1460</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/a</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highlight w:val="none"/>
          <w:lang w:eastAsia="zh-CN"/>
        </w:rPr>
        <w:t>生活污水进入集污池后</w:t>
      </w:r>
      <w:r>
        <w:rPr>
          <w:rFonts w:hint="default" w:ascii="Times New Roman" w:hAnsi="Times New Roman" w:cs="Times New Roman"/>
          <w:color w:val="auto"/>
          <w:highlight w:val="none"/>
          <w:lang w:val="en-US" w:eastAsia="zh-CN"/>
        </w:rPr>
        <w:t>定期清掏拉运</w:t>
      </w:r>
      <w:r>
        <w:rPr>
          <w:rFonts w:hint="eastAsia" w:cs="Times New Roman"/>
          <w:color w:val="auto"/>
          <w:highlight w:val="none"/>
          <w:lang w:val="en-US" w:eastAsia="zh-CN"/>
        </w:rPr>
        <w:t>至塔城市污水厂</w:t>
      </w:r>
      <w:r>
        <w:rPr>
          <w:rFonts w:hint="default" w:ascii="Times New Roman" w:hAnsi="Times New Roman"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textAlignment w:val="auto"/>
        <w:rPr>
          <w:rFonts w:hint="default" w:ascii="Times New Roman" w:hAnsi="Times New Roman" w:cs="Times New Roman"/>
          <w:color w:val="auto"/>
          <w:kern w:val="0"/>
          <w:highlight w:val="none"/>
        </w:rPr>
      </w:pPr>
      <w:r>
        <w:rPr>
          <w:rFonts w:hint="eastAsia" w:ascii="宋体" w:hAnsi="宋体" w:eastAsia="宋体" w:cs="宋体"/>
          <w:color w:val="auto"/>
          <w:kern w:val="0"/>
          <w:sz w:val="24"/>
          <w:szCs w:val="24"/>
          <w:lang w:val="en-US" w:eastAsia="zh-CN" w:bidi="ar"/>
        </w:rPr>
        <w:t>参考《畜禽养殖业污染治理工程技术规范》（</w:t>
      </w:r>
      <w:r>
        <w:rPr>
          <w:rFonts w:hint="default" w:ascii="Times New Roman" w:hAnsi="Times New Roman" w:eastAsia="宋体" w:cs="Times New Roman"/>
          <w:color w:val="auto"/>
          <w:kern w:val="0"/>
          <w:sz w:val="24"/>
          <w:szCs w:val="24"/>
          <w:lang w:val="en-US" w:eastAsia="zh-CN" w:bidi="ar"/>
        </w:rPr>
        <w:t>HJ</w:t>
      </w:r>
      <w:r>
        <w:rPr>
          <w:rFonts w:hint="eastAsia" w:ascii="Times New Roman" w:hAnsi="Times New Roman" w:eastAsia="宋体" w:cs="Times New Roman"/>
          <w:color w:val="auto"/>
          <w:kern w:val="0"/>
          <w:sz w:val="24"/>
          <w:szCs w:val="24"/>
          <w:lang w:val="en-US" w:eastAsia="zh-CN" w:bidi="ar"/>
        </w:rPr>
        <w:t xml:space="preserve"> 4</w:t>
      </w:r>
      <w:r>
        <w:rPr>
          <w:rFonts w:hint="default" w:ascii="Times New Roman" w:hAnsi="Times New Roman" w:eastAsia="宋体" w:cs="Times New Roman"/>
          <w:color w:val="auto"/>
          <w:kern w:val="0"/>
          <w:sz w:val="24"/>
          <w:szCs w:val="24"/>
          <w:lang w:val="en-US" w:eastAsia="zh-CN" w:bidi="ar"/>
        </w:rPr>
        <w:t>97-2009</w:t>
      </w:r>
      <w:r>
        <w:rPr>
          <w:rFonts w:hint="eastAsia" w:ascii="宋体" w:hAnsi="宋体" w:eastAsia="宋体" w:cs="宋体"/>
          <w:color w:val="auto"/>
          <w:kern w:val="0"/>
          <w:sz w:val="24"/>
          <w:szCs w:val="24"/>
          <w:lang w:val="en-US" w:eastAsia="zh-CN" w:bidi="ar"/>
        </w:rPr>
        <w:t>）附录</w:t>
      </w:r>
      <w:r>
        <w:rPr>
          <w:rFonts w:hint="default" w:ascii="Times New Roman" w:hAnsi="Times New Roman" w:eastAsia="宋体" w:cs="Times New Roman"/>
          <w:color w:val="auto"/>
          <w:kern w:val="0"/>
          <w:sz w:val="24"/>
          <w:szCs w:val="24"/>
          <w:lang w:val="en-US" w:eastAsia="zh-CN" w:bidi="ar"/>
        </w:rPr>
        <w:t>A</w:t>
      </w:r>
      <w:r>
        <w:rPr>
          <w:rFonts w:hint="eastAsia" w:ascii="宋体" w:hAnsi="宋体" w:eastAsia="宋体" w:cs="宋体"/>
          <w:color w:val="auto"/>
          <w:kern w:val="0"/>
          <w:sz w:val="24"/>
          <w:szCs w:val="24"/>
          <w:lang w:val="en-US" w:eastAsia="zh-CN" w:bidi="ar"/>
        </w:rPr>
        <w:t>中畜禽养殖场废水中的污染物质量浓度，畜禽养殖废水是指由畜禽养殖场产生的尿液、全部粪便或残余粪便及饲料残渣、冲洗水及工人生活、生产过程中产生的废水的总和。</w:t>
      </w:r>
      <w:r>
        <w:rPr>
          <w:rFonts w:hint="eastAsia" w:ascii="宋体" w:hAnsi="宋体" w:cs="宋体"/>
          <w:color w:val="auto"/>
          <w:kern w:val="0"/>
          <w:sz w:val="24"/>
          <w:szCs w:val="24"/>
          <w:lang w:val="en-US" w:eastAsia="zh-CN" w:bidi="ar"/>
        </w:rPr>
        <w:t>本项目进入集污池的废水仅为</w:t>
      </w:r>
      <w:r>
        <w:rPr>
          <w:rFonts w:hint="eastAsia" w:cs="Times New Roman"/>
          <w:color w:val="auto"/>
          <w:spacing w:val="0"/>
          <w:kern w:val="21"/>
          <w:position w:val="0"/>
          <w:sz w:val="24"/>
          <w:szCs w:val="24"/>
          <w:highlight w:val="none"/>
          <w:lang w:eastAsia="zh-CN"/>
        </w:rPr>
        <w:t>挤奶厅设备和地面清洗废水</w:t>
      </w:r>
      <w:r>
        <w:rPr>
          <w:rFonts w:hint="default" w:ascii="Times New Roman" w:hAnsi="Times New Roman" w:cs="Times New Roman"/>
          <w:color w:val="auto"/>
          <w:spacing w:val="0"/>
          <w:kern w:val="21"/>
          <w:position w:val="0"/>
          <w:sz w:val="24"/>
          <w:szCs w:val="24"/>
          <w:highlight w:val="none"/>
          <w:lang w:eastAsia="zh-CN"/>
        </w:rPr>
        <w:t>及</w:t>
      </w:r>
      <w:r>
        <w:rPr>
          <w:rFonts w:hint="default" w:ascii="Times New Roman" w:hAnsi="Times New Roman" w:cs="Times New Roman"/>
          <w:color w:val="auto"/>
          <w:spacing w:val="0"/>
          <w:kern w:val="21"/>
          <w:position w:val="0"/>
          <w:sz w:val="24"/>
          <w:szCs w:val="24"/>
          <w:highlight w:val="none"/>
        </w:rPr>
        <w:t>生活污水</w:t>
      </w:r>
      <w:r>
        <w:rPr>
          <w:rFonts w:hint="eastAsia" w:ascii="Times New Roman" w:hAnsi="Times New Roman" w:cs="Times New Roman"/>
          <w:color w:val="auto"/>
          <w:spacing w:val="0"/>
          <w:kern w:val="21"/>
          <w:position w:val="0"/>
          <w:sz w:val="24"/>
          <w:szCs w:val="24"/>
          <w:highlight w:val="none"/>
          <w:lang w:eastAsia="zh-CN"/>
        </w:rPr>
        <w:t>，</w:t>
      </w:r>
      <w:r>
        <w:rPr>
          <w:rFonts w:hint="eastAsia" w:ascii="Times New Roman" w:hAnsi="Times New Roman" w:cs="Times New Roman"/>
          <w:color w:val="auto"/>
          <w:spacing w:val="0"/>
          <w:kern w:val="21"/>
          <w:position w:val="0"/>
          <w:sz w:val="24"/>
          <w:szCs w:val="24"/>
          <w:highlight w:val="none"/>
          <w:lang w:val="en-US" w:eastAsia="zh-CN"/>
        </w:rPr>
        <w:t>其中</w:t>
      </w:r>
      <w:r>
        <w:rPr>
          <w:rFonts w:hint="eastAsia" w:cs="Times New Roman"/>
          <w:color w:val="auto"/>
          <w:spacing w:val="0"/>
          <w:kern w:val="21"/>
          <w:position w:val="0"/>
          <w:sz w:val="24"/>
          <w:szCs w:val="24"/>
          <w:highlight w:val="none"/>
          <w:lang w:eastAsia="zh-CN"/>
        </w:rPr>
        <w:t>挤奶厅设备和地面清洗废水</w:t>
      </w:r>
      <w:r>
        <w:rPr>
          <w:rFonts w:hint="eastAsia" w:cs="Times New Roman"/>
          <w:color w:val="auto"/>
          <w:spacing w:val="0"/>
          <w:kern w:val="21"/>
          <w:position w:val="0"/>
          <w:sz w:val="24"/>
          <w:szCs w:val="24"/>
          <w:highlight w:val="none"/>
          <w:lang w:val="en-US" w:eastAsia="zh-CN"/>
        </w:rPr>
        <w:t>于生活污水中污染物浓度基本一致。</w:t>
      </w:r>
      <w:r>
        <w:rPr>
          <w:rFonts w:hint="default" w:ascii="Times New Roman" w:hAnsi="Times New Roman" w:cs="Times New Roman"/>
          <w:color w:val="auto"/>
          <w:kern w:val="0"/>
          <w:highlight w:val="none"/>
        </w:rPr>
        <w:t>本项目水污染物产生源强及排放情况详见表3.</w:t>
      </w:r>
      <w:r>
        <w:rPr>
          <w:rFonts w:hint="default" w:ascii="Times New Roman" w:hAnsi="Times New Roman" w:cs="Times New Roman"/>
          <w:color w:val="auto"/>
          <w:kern w:val="0"/>
          <w:highlight w:val="none"/>
          <w:lang w:val="en-US" w:eastAsia="zh-CN"/>
        </w:rPr>
        <w:t>3</w:t>
      </w:r>
      <w:r>
        <w:rPr>
          <w:rFonts w:hint="default" w:ascii="Times New Roman" w:hAnsi="Times New Roman" w:cs="Times New Roman"/>
          <w:color w:val="auto"/>
          <w:kern w:val="0"/>
          <w:highlight w:val="none"/>
        </w:rPr>
        <w:t>-</w:t>
      </w:r>
      <w:r>
        <w:rPr>
          <w:rFonts w:hint="default" w:ascii="Times New Roman" w:hAnsi="Times New Roman" w:cs="Times New Roman"/>
          <w:color w:val="auto"/>
          <w:kern w:val="0"/>
          <w:highlight w:val="none"/>
          <w:lang w:val="en-US" w:eastAsia="zh-CN"/>
        </w:rPr>
        <w:t>7</w:t>
      </w:r>
      <w:r>
        <w:rPr>
          <w:rFonts w:hint="default" w:ascii="Times New Roman" w:hAnsi="Times New Roman" w:cs="Times New Roman"/>
          <w:color w:val="auto"/>
          <w:kern w:val="0"/>
          <w:highlight w:val="none"/>
        </w:rPr>
        <w:t>。</w:t>
      </w:r>
    </w:p>
    <w:p>
      <w:pPr>
        <w:pStyle w:val="50"/>
        <w:keepNext w:val="0"/>
        <w:keepLines w:val="0"/>
        <w:pageBreakBefore w:val="0"/>
        <w:kinsoku/>
        <w:wordWrap/>
        <w:overflowPunct/>
        <w:autoSpaceDE/>
        <w:autoSpaceDN/>
        <w:bidi w:val="0"/>
        <w:adjustRightInd w:val="0"/>
        <w:snapToGrid w:val="0"/>
        <w:spacing w:afterLines="0" w:line="240" w:lineRule="auto"/>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表3.</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 xml:space="preserve">        项目水污染物产生源强及排放情况</w:t>
      </w:r>
    </w:p>
    <w:tbl>
      <w:tblPr>
        <w:tblStyle w:val="39"/>
        <w:tblW w:w="497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1061"/>
        <w:gridCol w:w="1102"/>
        <w:gridCol w:w="941"/>
        <w:gridCol w:w="39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tblHeader/>
          <w:jc w:val="center"/>
        </w:trPr>
        <w:tc>
          <w:tcPr>
            <w:tcW w:w="963" w:type="pct"/>
            <w:vMerge w:val="restart"/>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污染物及产生量</w:t>
            </w:r>
          </w:p>
        </w:tc>
        <w:tc>
          <w:tcPr>
            <w:tcW w:w="606" w:type="pct"/>
            <w:vMerge w:val="restart"/>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污染因子</w:t>
            </w:r>
          </w:p>
        </w:tc>
        <w:tc>
          <w:tcPr>
            <w:tcW w:w="1166" w:type="pct"/>
            <w:gridSpan w:val="2"/>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污染源强</w:t>
            </w:r>
          </w:p>
        </w:tc>
        <w:tc>
          <w:tcPr>
            <w:tcW w:w="2263" w:type="pct"/>
            <w:vMerge w:val="restart"/>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963" w:type="pct"/>
            <w:vMerge w:val="continue"/>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rPr>
            </w:pPr>
          </w:p>
        </w:tc>
        <w:tc>
          <w:tcPr>
            <w:tcW w:w="606" w:type="pct"/>
            <w:vMerge w:val="continue"/>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rPr>
            </w:pPr>
          </w:p>
        </w:tc>
        <w:tc>
          <w:tcPr>
            <w:tcW w:w="629" w:type="pct"/>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mg/L</w:t>
            </w:r>
            <w:r>
              <w:rPr>
                <w:rFonts w:hint="default" w:ascii="Times New Roman" w:hAnsi="Times New Roman" w:eastAsia="宋体" w:cs="Times New Roman"/>
                <w:color w:val="auto"/>
                <w:sz w:val="21"/>
                <w:szCs w:val="21"/>
                <w:highlight w:val="none"/>
                <w:lang w:eastAsia="zh-CN"/>
              </w:rPr>
              <w:t>）</w:t>
            </w:r>
          </w:p>
        </w:tc>
        <w:tc>
          <w:tcPr>
            <w:tcW w:w="537" w:type="pct"/>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t/a</w:t>
            </w:r>
            <w:r>
              <w:rPr>
                <w:rFonts w:hint="default" w:ascii="Times New Roman" w:hAnsi="Times New Roman" w:eastAsia="宋体" w:cs="Times New Roman"/>
                <w:color w:val="auto"/>
                <w:sz w:val="21"/>
                <w:szCs w:val="21"/>
                <w:highlight w:val="none"/>
                <w:lang w:eastAsia="zh-CN"/>
              </w:rPr>
              <w:t>）</w:t>
            </w:r>
          </w:p>
        </w:tc>
        <w:tc>
          <w:tcPr>
            <w:tcW w:w="2263" w:type="pct"/>
            <w:vMerge w:val="continue"/>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tblHeader/>
          <w:jc w:val="center"/>
        </w:trPr>
        <w:tc>
          <w:tcPr>
            <w:tcW w:w="963" w:type="pct"/>
            <w:vMerge w:val="restart"/>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牛尿</w:t>
            </w:r>
            <w:r>
              <w:rPr>
                <w:rFonts w:hint="eastAsia" w:cs="Times New Roman"/>
                <w:color w:val="auto"/>
                <w:kern w:val="0"/>
                <w:sz w:val="21"/>
                <w:szCs w:val="21"/>
                <w:highlight w:val="none"/>
                <w:lang w:val="en-US" w:eastAsia="zh-CN" w:bidi="ar"/>
              </w:rPr>
              <w:t>10950</w:t>
            </w:r>
            <w:r>
              <w:rPr>
                <w:rFonts w:hint="default" w:ascii="Times New Roman" w:hAnsi="Times New Roman" w:eastAsia="宋体" w:cs="Times New Roman"/>
                <w:color w:val="auto"/>
                <w:kern w:val="0"/>
                <w:sz w:val="21"/>
                <w:szCs w:val="21"/>
                <w:highlight w:val="none"/>
                <w:lang w:val="en-US" w:eastAsia="zh-CN" w:bidi="ar"/>
              </w:rPr>
              <w:t>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/a</w:t>
            </w:r>
          </w:p>
        </w:tc>
        <w:tc>
          <w:tcPr>
            <w:tcW w:w="606" w:type="pct"/>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rPr>
              <w:t>COD</w:t>
            </w:r>
            <w:r>
              <w:rPr>
                <w:rFonts w:hint="default" w:ascii="Times New Roman" w:hAnsi="Times New Roman" w:eastAsia="宋体" w:cs="Times New Roman"/>
                <w:color w:val="auto"/>
                <w:kern w:val="0"/>
                <w:sz w:val="21"/>
                <w:szCs w:val="21"/>
                <w:highlight w:val="none"/>
                <w:vertAlign w:val="subscript"/>
                <w:lang w:val="en-US" w:eastAsia="zh-CN" w:bidi="ar"/>
              </w:rPr>
              <w:t>cr</w:t>
            </w:r>
          </w:p>
        </w:tc>
        <w:tc>
          <w:tcPr>
            <w:tcW w:w="629" w:type="pct"/>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983</w:t>
            </w:r>
          </w:p>
        </w:tc>
        <w:tc>
          <w:tcPr>
            <w:tcW w:w="537" w:type="pct"/>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10.8</w:t>
            </w:r>
          </w:p>
        </w:tc>
        <w:tc>
          <w:tcPr>
            <w:tcW w:w="2263" w:type="pct"/>
            <w:vMerge w:val="restart"/>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lang w:val="en-US"/>
              </w:rPr>
            </w:pPr>
            <w:r>
              <w:rPr>
                <w:rFonts w:hint="eastAsia" w:cs="Times New Roman"/>
                <w:color w:val="auto"/>
                <w:spacing w:val="-6"/>
                <w:sz w:val="21"/>
                <w:szCs w:val="21"/>
                <w:highlight w:val="none"/>
                <w:lang w:val="en-US" w:eastAsia="zh-CN"/>
              </w:rPr>
              <w:t>牛尿进入垫料中，</w:t>
            </w:r>
            <w:r>
              <w:rPr>
                <w:rFonts w:hint="default" w:cs="Times New Roman"/>
                <w:color w:val="auto"/>
                <w:spacing w:val="-6"/>
                <w:sz w:val="21"/>
                <w:szCs w:val="21"/>
                <w:highlight w:val="none"/>
                <w:lang w:val="en-US" w:eastAsia="zh-CN"/>
              </w:rPr>
              <w:t>部分自然蒸发，剩余</w:t>
            </w:r>
            <w:r>
              <w:rPr>
                <w:rFonts w:hint="eastAsia" w:cs="Times New Roman"/>
                <w:color w:val="auto"/>
                <w:spacing w:val="-6"/>
                <w:sz w:val="21"/>
                <w:szCs w:val="21"/>
                <w:highlight w:val="none"/>
                <w:lang w:val="en-US" w:eastAsia="zh-CN"/>
              </w:rPr>
              <w:t>部分与垫料</w:t>
            </w:r>
            <w:r>
              <w:rPr>
                <w:rFonts w:hint="default" w:cs="Times New Roman"/>
                <w:color w:val="auto"/>
                <w:spacing w:val="-6"/>
                <w:sz w:val="21"/>
                <w:szCs w:val="21"/>
                <w:highlight w:val="none"/>
                <w:lang w:val="en-US" w:eastAsia="zh-CN"/>
              </w:rPr>
              <w:t>一起进入堆粪场，不外排</w:t>
            </w:r>
            <w:r>
              <w:rPr>
                <w:rFonts w:hint="eastAsia" w:cs="Times New Roman"/>
                <w:color w:val="auto"/>
                <w:spacing w:val="-6"/>
                <w:sz w:val="21"/>
                <w:szCs w:val="21"/>
                <w:highlight w:val="none"/>
                <w:lang w:val="en-US" w:eastAsia="zh-CN"/>
              </w:rPr>
              <w:t>。</w:t>
            </w:r>
            <w:r>
              <w:rPr>
                <w:rFonts w:hint="default" w:cs="Times New Roman"/>
                <w:color w:val="auto"/>
                <w:spacing w:val="-6"/>
                <w:sz w:val="21"/>
                <w:szCs w:val="21"/>
                <w:highlight w:val="none"/>
                <w:lang w:eastAsia="zh-CN"/>
              </w:rPr>
              <w:t>堆肥</w:t>
            </w:r>
            <w:r>
              <w:rPr>
                <w:rFonts w:hint="default" w:ascii="Times New Roman" w:hAnsi="Times New Roman" w:eastAsia="宋体" w:cs="Times New Roman"/>
                <w:color w:val="auto"/>
                <w:spacing w:val="-6"/>
                <w:sz w:val="21"/>
                <w:szCs w:val="21"/>
                <w:highlight w:val="none"/>
              </w:rPr>
              <w:t>后</w:t>
            </w:r>
            <w:r>
              <w:rPr>
                <w:rFonts w:hint="eastAsia" w:cs="Times New Roman"/>
                <w:color w:val="auto"/>
                <w:spacing w:val="-6"/>
                <w:sz w:val="21"/>
                <w:szCs w:val="21"/>
                <w:highlight w:val="none"/>
                <w:lang w:eastAsia="zh-CN"/>
              </w:rPr>
              <w:t>用于垫料及还田利用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tblHeader/>
          <w:jc w:val="center"/>
        </w:trPr>
        <w:tc>
          <w:tcPr>
            <w:tcW w:w="963" w:type="pct"/>
            <w:vMerge w:val="continue"/>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rPr>
            </w:pPr>
          </w:p>
        </w:tc>
        <w:tc>
          <w:tcPr>
            <w:tcW w:w="606" w:type="pct"/>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氨氮</w:t>
            </w:r>
          </w:p>
        </w:tc>
        <w:tc>
          <w:tcPr>
            <w:tcW w:w="629" w:type="pct"/>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51</w:t>
            </w:r>
          </w:p>
        </w:tc>
        <w:tc>
          <w:tcPr>
            <w:tcW w:w="537" w:type="pct"/>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0.56</w:t>
            </w:r>
          </w:p>
        </w:tc>
        <w:tc>
          <w:tcPr>
            <w:tcW w:w="2263" w:type="pct"/>
            <w:vMerge w:val="continue"/>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lang w:val="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tblHeader/>
          <w:jc w:val="center"/>
        </w:trPr>
        <w:tc>
          <w:tcPr>
            <w:tcW w:w="963" w:type="pct"/>
            <w:vMerge w:val="continue"/>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rPr>
            </w:pPr>
          </w:p>
        </w:tc>
        <w:tc>
          <w:tcPr>
            <w:tcW w:w="606" w:type="pct"/>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总氮</w:t>
            </w:r>
          </w:p>
        </w:tc>
        <w:tc>
          <w:tcPr>
            <w:tcW w:w="629" w:type="pct"/>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30.8</w:t>
            </w:r>
          </w:p>
        </w:tc>
        <w:tc>
          <w:tcPr>
            <w:tcW w:w="537" w:type="pct"/>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0.38</w:t>
            </w:r>
          </w:p>
        </w:tc>
        <w:tc>
          <w:tcPr>
            <w:tcW w:w="2263" w:type="pct"/>
            <w:vMerge w:val="continue"/>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lang w:val="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7" w:hRule="atLeast"/>
          <w:tblHeader/>
          <w:jc w:val="center"/>
        </w:trPr>
        <w:tc>
          <w:tcPr>
            <w:tcW w:w="963" w:type="pct"/>
            <w:vMerge w:val="continue"/>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rPr>
            </w:pPr>
          </w:p>
        </w:tc>
        <w:tc>
          <w:tcPr>
            <w:tcW w:w="606" w:type="pct"/>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总磷</w:t>
            </w:r>
          </w:p>
        </w:tc>
        <w:tc>
          <w:tcPr>
            <w:tcW w:w="629" w:type="pct"/>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18.6</w:t>
            </w:r>
          </w:p>
        </w:tc>
        <w:tc>
          <w:tcPr>
            <w:tcW w:w="537" w:type="pct"/>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0.20</w:t>
            </w:r>
          </w:p>
        </w:tc>
        <w:tc>
          <w:tcPr>
            <w:tcW w:w="2263" w:type="pct"/>
            <w:vMerge w:val="continue"/>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lang w:val="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tblHeader/>
          <w:jc w:val="center"/>
        </w:trPr>
        <w:tc>
          <w:tcPr>
            <w:tcW w:w="963" w:type="pct"/>
            <w:vMerge w:val="restart"/>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设备、地面清洗废水</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rPr>
              <w:t>生活污水</w:t>
            </w:r>
            <w:r>
              <w:rPr>
                <w:rFonts w:hint="eastAsia" w:cs="Times New Roman"/>
                <w:color w:val="auto"/>
                <w:kern w:val="0"/>
                <w:sz w:val="21"/>
                <w:szCs w:val="21"/>
                <w:highlight w:val="none"/>
                <w:lang w:val="en-US" w:eastAsia="zh-CN"/>
              </w:rPr>
              <w:t>2336</w:t>
            </w:r>
            <w:r>
              <w:rPr>
                <w:rFonts w:hint="default" w:ascii="Times New Roman" w:hAnsi="Times New Roman" w:eastAsia="宋体" w:cs="Times New Roman"/>
                <w:color w:val="auto"/>
                <w:kern w:val="0"/>
                <w:sz w:val="21"/>
                <w:szCs w:val="21"/>
                <w:highlight w:val="none"/>
              </w:rPr>
              <w:t>m</w:t>
            </w:r>
            <w:r>
              <w:rPr>
                <w:rStyle w:val="58"/>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/a</w:t>
            </w:r>
          </w:p>
        </w:tc>
        <w:tc>
          <w:tcPr>
            <w:tcW w:w="606" w:type="pct"/>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COD</w:t>
            </w:r>
            <w:r>
              <w:rPr>
                <w:rFonts w:hint="default" w:ascii="Times New Roman" w:hAnsi="Times New Roman" w:eastAsia="宋体" w:cs="Times New Roman"/>
                <w:color w:val="auto"/>
                <w:kern w:val="0"/>
                <w:sz w:val="21"/>
                <w:szCs w:val="21"/>
                <w:highlight w:val="none"/>
                <w:vertAlign w:val="subscript"/>
                <w:lang w:val="en-US" w:eastAsia="zh-CN" w:bidi="ar"/>
              </w:rPr>
              <w:t>cr</w:t>
            </w:r>
          </w:p>
        </w:tc>
        <w:tc>
          <w:tcPr>
            <w:tcW w:w="629" w:type="pct"/>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400</w:t>
            </w:r>
          </w:p>
        </w:tc>
        <w:tc>
          <w:tcPr>
            <w:tcW w:w="537" w:type="pct"/>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0.93</w:t>
            </w:r>
          </w:p>
        </w:tc>
        <w:tc>
          <w:tcPr>
            <w:tcW w:w="2263" w:type="pct"/>
            <w:vMerge w:val="restart"/>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进入</w:t>
            </w:r>
            <w:r>
              <w:rPr>
                <w:rFonts w:hint="eastAsia" w:cs="Times New Roman"/>
                <w:color w:val="auto"/>
                <w:sz w:val="21"/>
                <w:szCs w:val="21"/>
                <w:highlight w:val="none"/>
                <w:lang w:val="en-US" w:eastAsia="zh-CN"/>
              </w:rPr>
              <w:t>集污池收集</w:t>
            </w:r>
            <w:r>
              <w:rPr>
                <w:rFonts w:hint="default" w:ascii="Times New Roman" w:hAnsi="Times New Roman" w:eastAsia="宋体" w:cs="Times New Roman"/>
                <w:color w:val="auto"/>
                <w:sz w:val="21"/>
                <w:szCs w:val="21"/>
                <w:highlight w:val="none"/>
                <w:lang w:val="en-US" w:eastAsia="zh-CN"/>
              </w:rPr>
              <w:t>后</w:t>
            </w:r>
            <w:r>
              <w:rPr>
                <w:rFonts w:hint="eastAsia" w:cs="Times New Roman"/>
                <w:color w:val="auto"/>
                <w:sz w:val="21"/>
                <w:szCs w:val="21"/>
                <w:highlight w:val="none"/>
                <w:lang w:val="en-US" w:eastAsia="zh-CN"/>
              </w:rPr>
              <w:t>清掏拉运</w:t>
            </w:r>
            <w:r>
              <w:rPr>
                <w:rFonts w:hint="default" w:ascii="Times New Roman" w:hAnsi="Times New Roman" w:cs="Times New Roman"/>
                <w:color w:val="auto"/>
                <w:sz w:val="21"/>
                <w:szCs w:val="21"/>
                <w:highlight w:val="none"/>
                <w:lang w:val="en-US" w:eastAsia="zh-CN"/>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tblHeader/>
          <w:jc w:val="center"/>
        </w:trPr>
        <w:tc>
          <w:tcPr>
            <w:tcW w:w="963" w:type="pct"/>
            <w:vMerge w:val="continue"/>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yellow"/>
              </w:rPr>
            </w:pPr>
          </w:p>
        </w:tc>
        <w:tc>
          <w:tcPr>
            <w:tcW w:w="606" w:type="pct"/>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BOD</w:t>
            </w:r>
            <w:r>
              <w:rPr>
                <w:rFonts w:hint="eastAsia" w:cs="Times New Roman"/>
                <w:color w:val="auto"/>
                <w:sz w:val="21"/>
                <w:szCs w:val="21"/>
                <w:highlight w:val="none"/>
                <w:vertAlign w:val="subscript"/>
                <w:lang w:val="en-US" w:eastAsia="zh-CN"/>
              </w:rPr>
              <w:t>5</w:t>
            </w:r>
          </w:p>
        </w:tc>
        <w:tc>
          <w:tcPr>
            <w:tcW w:w="629" w:type="pct"/>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200</w:t>
            </w:r>
          </w:p>
        </w:tc>
        <w:tc>
          <w:tcPr>
            <w:tcW w:w="537" w:type="pct"/>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0.47</w:t>
            </w:r>
          </w:p>
        </w:tc>
        <w:tc>
          <w:tcPr>
            <w:tcW w:w="2263" w:type="pct"/>
            <w:vMerge w:val="continue"/>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tblHeader/>
          <w:jc w:val="center"/>
        </w:trPr>
        <w:tc>
          <w:tcPr>
            <w:tcW w:w="963" w:type="pct"/>
            <w:vMerge w:val="continue"/>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yellow"/>
              </w:rPr>
            </w:pPr>
          </w:p>
        </w:tc>
        <w:tc>
          <w:tcPr>
            <w:tcW w:w="606" w:type="pct"/>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SS</w:t>
            </w:r>
          </w:p>
        </w:tc>
        <w:tc>
          <w:tcPr>
            <w:tcW w:w="629" w:type="pct"/>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300</w:t>
            </w:r>
          </w:p>
        </w:tc>
        <w:tc>
          <w:tcPr>
            <w:tcW w:w="537" w:type="pct"/>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0.70</w:t>
            </w:r>
          </w:p>
        </w:tc>
        <w:tc>
          <w:tcPr>
            <w:tcW w:w="2263" w:type="pct"/>
            <w:vMerge w:val="continue"/>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tblHeader/>
          <w:jc w:val="center"/>
        </w:trPr>
        <w:tc>
          <w:tcPr>
            <w:tcW w:w="963" w:type="pct"/>
            <w:vMerge w:val="continue"/>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yellow"/>
              </w:rPr>
            </w:pPr>
          </w:p>
        </w:tc>
        <w:tc>
          <w:tcPr>
            <w:tcW w:w="606" w:type="pct"/>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氨氮</w:t>
            </w:r>
          </w:p>
        </w:tc>
        <w:tc>
          <w:tcPr>
            <w:tcW w:w="629" w:type="pct"/>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25</w:t>
            </w:r>
          </w:p>
        </w:tc>
        <w:tc>
          <w:tcPr>
            <w:tcW w:w="537" w:type="pct"/>
            <w:tcBorders>
              <w:tl2br w:val="nil"/>
              <w:tr2bl w:val="nil"/>
            </w:tcBorders>
            <w:noWrap w:val="0"/>
            <w:vAlign w:val="center"/>
          </w:tcPr>
          <w:p>
            <w:pPr>
              <w:keepNext w:val="0"/>
              <w:keepLines w:val="0"/>
              <w:pageBreakBefore w:val="0"/>
              <w:widowControl/>
              <w:suppressLineNumbers w:val="0"/>
              <w:kinsoku/>
              <w:wordWrap/>
              <w:overflowPunct/>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0.058</w:t>
            </w:r>
          </w:p>
        </w:tc>
        <w:tc>
          <w:tcPr>
            <w:tcW w:w="2263" w:type="pct"/>
            <w:vMerge w:val="continue"/>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yellow"/>
              </w:rPr>
            </w:pPr>
          </w:p>
        </w:tc>
      </w:tr>
    </w:tbl>
    <w:p>
      <w:pPr>
        <w:pStyle w:val="6"/>
        <w:keepNext/>
        <w:keepLines/>
        <w:pageBreakBefore w:val="0"/>
        <w:widowControl w:val="0"/>
        <w:kinsoku/>
        <w:wordWrap/>
        <w:overflowPunct/>
        <w:topLinePunct w:val="0"/>
        <w:autoSpaceDE/>
        <w:autoSpaceDN/>
        <w:bidi w:val="0"/>
        <w:adjustRightInd w:val="0"/>
        <w:snapToGrid w:val="0"/>
        <w:spacing w:before="157" w:beforeLines="50"/>
        <w:ind w:left="0" w:leftChars="0" w:right="0" w:rightChars="0" w:firstLine="0" w:firstLineChars="0"/>
        <w:textAlignment w:val="auto"/>
        <w:rPr>
          <w:rFonts w:hint="default" w:ascii="Times New Roman" w:hAnsi="Times New Roman" w:eastAsia="宋体" w:cs="Times New Roman"/>
          <w:color w:val="auto"/>
          <w:highlight w:val="none"/>
          <w:lang w:val="en-US" w:eastAsia="zh-CN"/>
        </w:rPr>
      </w:pPr>
      <w:bookmarkStart w:id="159" w:name="_Toc3342"/>
      <w:r>
        <w:rPr>
          <w:rFonts w:hint="default" w:ascii="Times New Roman" w:hAnsi="Times New Roman" w:eastAsia="宋体" w:cs="Times New Roman"/>
          <w:color w:val="auto"/>
          <w:highlight w:val="none"/>
          <w:lang w:val="en-US" w:eastAsia="zh-CN"/>
        </w:rPr>
        <w:t>固体废物</w:t>
      </w:r>
      <w:bookmarkEnd w:id="159"/>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本项目产生的固体废物主要有</w:t>
      </w:r>
      <w:r>
        <w:rPr>
          <w:rFonts w:hint="default" w:ascii="Times New Roman" w:hAnsi="Times New Roman" w:cs="Times New Roman"/>
          <w:color w:val="auto"/>
          <w:highlight w:val="none"/>
          <w:lang w:val="en-US" w:eastAsia="zh-CN"/>
        </w:rPr>
        <w:t>粪污</w:t>
      </w:r>
      <w:r>
        <w:rPr>
          <w:rFonts w:hint="eastAsia" w:cs="Times New Roman"/>
          <w:color w:val="auto"/>
          <w:highlight w:val="none"/>
          <w:lang w:val="en-US" w:eastAsia="zh-CN"/>
        </w:rPr>
        <w:t>（包含垫料）</w:t>
      </w:r>
      <w:r>
        <w:rPr>
          <w:rFonts w:hint="default" w:ascii="Times New Roman" w:hAnsi="Times New Roman" w:cs="Times New Roman"/>
          <w:color w:val="auto"/>
          <w:highlight w:val="none"/>
        </w:rPr>
        <w:t>、日常用于牛疫苗接种、防病用的注射用具、废药等</w:t>
      </w:r>
      <w:r>
        <w:rPr>
          <w:rFonts w:hint="default" w:ascii="Times New Roman" w:hAnsi="Times New Roman" w:cs="Times New Roman"/>
          <w:color w:val="auto"/>
          <w:highlight w:val="none"/>
          <w:lang w:val="en-US" w:eastAsia="zh-CN"/>
        </w:rPr>
        <w:t>医疗</w:t>
      </w:r>
      <w:r>
        <w:rPr>
          <w:rFonts w:hint="default" w:ascii="Times New Roman" w:hAnsi="Times New Roman" w:cs="Times New Roman"/>
          <w:color w:val="auto"/>
          <w:highlight w:val="none"/>
        </w:rPr>
        <w:t>废物</w:t>
      </w:r>
      <w:r>
        <w:rPr>
          <w:rFonts w:hint="default" w:ascii="Times New Roman" w:hAnsi="Times New Roman" w:cs="Times New Roman"/>
          <w:color w:val="auto"/>
          <w:highlight w:val="none"/>
          <w:lang w:eastAsia="zh-CN"/>
        </w:rPr>
        <w:t>、病死牛尸、</w:t>
      </w:r>
      <w:r>
        <w:rPr>
          <w:rFonts w:hint="default" w:ascii="Times New Roman" w:hAnsi="Times New Roman" w:cs="Times New Roman"/>
          <w:color w:val="auto"/>
          <w:highlight w:val="none"/>
        </w:rPr>
        <w:t>生活垃圾和</w:t>
      </w:r>
      <w:r>
        <w:rPr>
          <w:rFonts w:hint="default" w:ascii="Times New Roman" w:hAnsi="Times New Roman" w:cs="Times New Roman"/>
          <w:color w:val="auto"/>
          <w:highlight w:val="none"/>
          <w:lang w:val="en-US" w:eastAsia="zh-CN"/>
        </w:rPr>
        <w:t>布袋除尘收集的粉尘</w:t>
      </w:r>
      <w:r>
        <w:rPr>
          <w:rFonts w:hint="default" w:ascii="Times New Roman" w:hAnsi="Times New Roman" w:cs="Times New Roman"/>
          <w:color w:val="auto"/>
          <w:highlight w:val="none"/>
        </w:rPr>
        <w:t>。</w:t>
      </w:r>
    </w:p>
    <w:p>
      <w:pPr>
        <w:pageBreakBefore w:val="0"/>
        <w:wordWrap/>
        <w:bidi w:val="0"/>
        <w:adjustRightInd w:val="0"/>
        <w:ind w:left="0" w:leftChars="0" w:right="0" w:right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（1）粪污</w:t>
      </w:r>
      <w:r>
        <w:rPr>
          <w:rFonts w:hint="eastAsia" w:cs="Times New Roman"/>
          <w:color w:val="auto"/>
          <w:highlight w:val="none"/>
          <w:lang w:val="en-US" w:eastAsia="zh-CN"/>
        </w:rPr>
        <w:t>（包含垫料）</w:t>
      </w:r>
    </w:p>
    <w:p>
      <w:pPr>
        <w:keepNext w:val="0"/>
        <w:keepLines w:val="0"/>
        <w:pageBreakBefore w:val="0"/>
        <w:widowControl/>
        <w:suppressLineNumbers w:val="0"/>
        <w:wordWrap/>
        <w:bidi w:val="0"/>
        <w:adjustRightInd w:val="0"/>
        <w:ind w:left="0" w:leftChars="0" w:right="0" w:rightChars="0"/>
        <w:jc w:val="both"/>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本项目存栏量</w:t>
      </w:r>
      <w:r>
        <w:rPr>
          <w:rFonts w:hint="default" w:ascii="Times New Roman" w:hAnsi="Times New Roman" w:cs="Times New Roman"/>
          <w:color w:val="auto"/>
          <w:highlight w:val="none"/>
          <w:lang w:val="en-US" w:eastAsia="zh-CN"/>
        </w:rPr>
        <w:t>3000</w:t>
      </w:r>
      <w:r>
        <w:rPr>
          <w:rFonts w:hint="default" w:ascii="Times New Roman" w:hAnsi="Times New Roman" w:cs="Times New Roman"/>
          <w:color w:val="auto"/>
          <w:highlight w:val="none"/>
        </w:rPr>
        <w:t>头牛，</w:t>
      </w:r>
      <w:r>
        <w:rPr>
          <w:rFonts w:hint="default" w:ascii="Times New Roman" w:hAnsi="Times New Roman" w:eastAsia="宋体" w:cs="Times New Roman"/>
          <w:color w:val="auto"/>
          <w:kern w:val="0"/>
          <w:sz w:val="24"/>
          <w:szCs w:val="24"/>
          <w:highlight w:val="none"/>
          <w:lang w:val="en-US" w:eastAsia="zh-CN" w:bidi="ar"/>
        </w:rPr>
        <w:t>《排污许可证申请与核发技术规范</w:t>
      </w:r>
      <w:r>
        <w:rPr>
          <w:rFonts w:hint="default" w:ascii="Times New Roman" w:hAnsi="Times New Roman"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畜禽养殖行业》（HJ1029</w:t>
      </w:r>
      <w:r>
        <w:rPr>
          <w:rFonts w:hint="default" w:ascii="Times New Roman" w:hAnsi="Times New Roman"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2019）中</w:t>
      </w:r>
      <w:r>
        <w:rPr>
          <w:rFonts w:hint="default" w:ascii="Times New Roman" w:hAnsi="Times New Roman" w:cs="Times New Roman"/>
          <w:color w:val="auto"/>
          <w:kern w:val="0"/>
          <w:sz w:val="24"/>
          <w:szCs w:val="24"/>
          <w:highlight w:val="none"/>
          <w:lang w:val="en-US" w:eastAsia="zh-CN" w:bidi="ar"/>
        </w:rPr>
        <w:t>奶牛</w:t>
      </w:r>
      <w:r>
        <w:rPr>
          <w:rFonts w:hint="default" w:ascii="Times New Roman" w:hAnsi="Times New Roman" w:eastAsia="宋体" w:cs="Times New Roman"/>
          <w:color w:val="auto"/>
          <w:kern w:val="0"/>
          <w:sz w:val="24"/>
          <w:szCs w:val="24"/>
          <w:highlight w:val="none"/>
          <w:lang w:val="en-US" w:eastAsia="zh-CN" w:bidi="ar"/>
        </w:rPr>
        <w:t>产污系数：粪便产生量为</w:t>
      </w:r>
      <w:r>
        <w:rPr>
          <w:rFonts w:hint="default" w:ascii="Times New Roman" w:hAnsi="Times New Roman" w:cs="Times New Roman"/>
          <w:color w:val="auto"/>
          <w:kern w:val="0"/>
          <w:sz w:val="24"/>
          <w:szCs w:val="24"/>
          <w:highlight w:val="none"/>
          <w:lang w:val="en-US" w:eastAsia="zh-CN" w:bidi="ar"/>
        </w:rPr>
        <w:t>25.71</w:t>
      </w:r>
      <w:r>
        <w:rPr>
          <w:rFonts w:hint="default" w:ascii="Times New Roman" w:hAnsi="Times New Roman" w:eastAsia="宋体" w:cs="Times New Roman"/>
          <w:color w:val="auto"/>
          <w:kern w:val="0"/>
          <w:sz w:val="24"/>
          <w:szCs w:val="24"/>
          <w:highlight w:val="none"/>
          <w:lang w:val="en-US" w:eastAsia="zh-CN" w:bidi="ar"/>
        </w:rPr>
        <w:t>kg/d·头，</w:t>
      </w:r>
      <w:r>
        <w:rPr>
          <w:rFonts w:hint="default" w:ascii="Times New Roman" w:hAnsi="Times New Roman" w:cs="Times New Roman"/>
          <w:color w:val="auto"/>
          <w:highlight w:val="none"/>
        </w:rPr>
        <w:t>粪便产生量为</w:t>
      </w:r>
      <w:r>
        <w:rPr>
          <w:rFonts w:hint="default" w:ascii="Times New Roman" w:hAnsi="Times New Roman" w:cs="Times New Roman"/>
          <w:color w:val="auto"/>
          <w:highlight w:val="none"/>
          <w:lang w:val="en-US" w:eastAsia="zh-CN"/>
        </w:rPr>
        <w:t>77.13</w:t>
      </w:r>
      <w:r>
        <w:rPr>
          <w:rFonts w:hint="default" w:ascii="Times New Roman" w:hAnsi="Times New Roman" w:cs="Times New Roman"/>
          <w:color w:val="auto"/>
          <w:highlight w:val="none"/>
        </w:rPr>
        <w:t>t/d（</w:t>
      </w:r>
      <w:r>
        <w:rPr>
          <w:rFonts w:hint="default" w:ascii="Times New Roman" w:hAnsi="Times New Roman" w:cs="Times New Roman"/>
          <w:color w:val="auto"/>
          <w:highlight w:val="none"/>
          <w:lang w:val="en-US" w:eastAsia="zh-CN"/>
        </w:rPr>
        <w:t>28152.45</w:t>
      </w:r>
      <w:r>
        <w:rPr>
          <w:rFonts w:hint="default" w:ascii="Times New Roman" w:hAnsi="Times New Roman" w:cs="Times New Roman"/>
          <w:color w:val="auto"/>
          <w:highlight w:val="none"/>
        </w:rPr>
        <w:t>t/a）。</w:t>
      </w:r>
      <w:r>
        <w:rPr>
          <w:rFonts w:hint="eastAsia" w:cs="Times New Roman"/>
          <w:color w:val="auto"/>
          <w:highlight w:val="none"/>
          <w:lang w:val="en-US" w:eastAsia="zh-CN"/>
        </w:rPr>
        <w:t>新鲜</w:t>
      </w:r>
      <w:r>
        <w:rPr>
          <w:rFonts w:hint="default" w:ascii="Times New Roman" w:hAnsi="Times New Roman" w:eastAsia="宋体" w:cs="Times New Roman"/>
          <w:color w:val="auto"/>
          <w:kern w:val="0"/>
          <w:sz w:val="24"/>
          <w:szCs w:val="24"/>
          <w:highlight w:val="none"/>
          <w:lang w:val="en-US" w:eastAsia="zh-CN" w:bidi="ar"/>
        </w:rPr>
        <w:t>牛粪便含水率为80%</w:t>
      </w:r>
      <w:r>
        <w:rPr>
          <w:rFonts w:hint="eastAsia" w:eastAsia="宋体" w:cs="Times New Roman"/>
          <w:color w:val="auto"/>
          <w:kern w:val="0"/>
          <w:sz w:val="24"/>
          <w:szCs w:val="24"/>
          <w:highlight w:val="none"/>
          <w:lang w:val="en-US" w:eastAsia="zh-CN" w:bidi="ar"/>
        </w:rPr>
        <w:t>。</w:t>
      </w:r>
      <w:r>
        <w:rPr>
          <w:rFonts w:hint="default" w:ascii="Times New Roman" w:hAnsi="Times New Roman" w:cs="Times New Roman"/>
          <w:color w:val="auto"/>
          <w:highlight w:val="none"/>
          <w:lang w:val="en-US" w:eastAsia="zh-CN"/>
        </w:rPr>
        <w:t>《畜禽养殖业污染治理工程技术规范》附录A中“畜禽粪尿排泄系数”，牛排尿10kg/只·d，牛尿产生量为30t/d（10950t/a）。</w:t>
      </w:r>
      <w:r>
        <w:rPr>
          <w:rFonts w:hint="eastAsia" w:ascii="Times New Roman" w:hAnsi="Times New Roman" w:cs="Times New Roman"/>
          <w:color w:val="auto"/>
          <w:highlight w:val="none"/>
          <w:lang w:val="en-US" w:eastAsia="zh-CN"/>
        </w:rPr>
        <w:t>牛尿进入垫料中，</w:t>
      </w:r>
      <w:r>
        <w:rPr>
          <w:rFonts w:hint="default" w:ascii="Times New Roman" w:hAnsi="Times New Roman" w:cs="Times New Roman"/>
          <w:color w:val="auto"/>
          <w:highlight w:val="none"/>
          <w:lang w:val="en-US" w:eastAsia="zh-CN"/>
        </w:rPr>
        <w:t>部分自然蒸发，剩余</w:t>
      </w:r>
      <w:r>
        <w:rPr>
          <w:rFonts w:hint="eastAsia" w:ascii="Times New Roman" w:hAnsi="Times New Roman" w:cs="Times New Roman"/>
          <w:color w:val="auto"/>
          <w:highlight w:val="none"/>
          <w:lang w:val="en-US" w:eastAsia="zh-CN"/>
        </w:rPr>
        <w:t>部分与垫料</w:t>
      </w:r>
      <w:r>
        <w:rPr>
          <w:rFonts w:hint="default" w:ascii="Times New Roman" w:hAnsi="Times New Roman" w:cs="Times New Roman"/>
          <w:color w:val="auto"/>
          <w:highlight w:val="none"/>
          <w:lang w:val="en-US" w:eastAsia="zh-CN"/>
        </w:rPr>
        <w:t>一起进入堆粪场，不外排</w:t>
      </w:r>
      <w:r>
        <w:rPr>
          <w:rFonts w:hint="eastAsia" w:ascii="Times New Roman" w:hAnsi="Times New Roman" w:cs="Times New Roman"/>
          <w:color w:val="auto"/>
          <w:highlight w:val="none"/>
          <w:lang w:val="en-US" w:eastAsia="zh-CN"/>
        </w:rPr>
        <w:t>。</w:t>
      </w:r>
      <w:r>
        <w:rPr>
          <w:rFonts w:hint="eastAsia" w:eastAsia="宋体" w:cs="Times New Roman"/>
          <w:color w:val="auto"/>
          <w:sz w:val="24"/>
          <w:szCs w:val="24"/>
          <w:highlight w:val="none"/>
          <w:lang w:val="en-US" w:eastAsia="zh-CN"/>
        </w:rPr>
        <w:t>本项目牛舍垫料主要成分为堆肥后</w:t>
      </w:r>
      <w:r>
        <w:rPr>
          <w:rFonts w:hint="eastAsia" w:cs="Times New Roman"/>
          <w:color w:val="auto"/>
          <w:sz w:val="24"/>
          <w:szCs w:val="24"/>
          <w:highlight w:val="none"/>
          <w:lang w:val="en-US" w:eastAsia="zh-CN"/>
        </w:rPr>
        <w:t>的</w:t>
      </w:r>
      <w:r>
        <w:rPr>
          <w:rFonts w:hint="eastAsia" w:eastAsia="宋体" w:cs="Times New Roman"/>
          <w:color w:val="auto"/>
          <w:sz w:val="24"/>
          <w:szCs w:val="24"/>
          <w:highlight w:val="none"/>
          <w:lang w:val="en-US" w:eastAsia="zh-CN"/>
        </w:rPr>
        <w:t>牛粪，定期更换，换下的垫料进入</w:t>
      </w:r>
      <w:r>
        <w:rPr>
          <w:rFonts w:hint="default" w:ascii="Times New Roman" w:hAnsi="Times New Roman" w:cs="Times New Roman"/>
          <w:color w:val="auto"/>
          <w:highlight w:val="none"/>
          <w:lang w:val="en-US" w:eastAsia="zh-CN"/>
        </w:rPr>
        <w:t>堆粪场</w:t>
      </w:r>
      <w:r>
        <w:rPr>
          <w:rFonts w:hint="eastAsia" w:cs="Times New Roman"/>
          <w:color w:val="auto"/>
          <w:highlight w:val="none"/>
          <w:lang w:val="en-US" w:eastAsia="zh-CN"/>
        </w:rPr>
        <w:t>堆肥</w:t>
      </w:r>
      <w:r>
        <w:rPr>
          <w:rFonts w:hint="eastAsia" w:eastAsia="宋体" w:cs="Times New Roman"/>
          <w:color w:val="auto"/>
          <w:sz w:val="24"/>
          <w:szCs w:val="24"/>
          <w:highlight w:val="none"/>
          <w:vertAlign w:val="baseline"/>
          <w:lang w:eastAsia="zh-CN"/>
        </w:rPr>
        <w:t>。</w:t>
      </w:r>
    </w:p>
    <w:p>
      <w:pPr>
        <w:pStyle w:val="15"/>
        <w:jc w:val="both"/>
        <w:rPr>
          <w:rFonts w:hint="default" w:ascii="Times New Roman" w:hAnsi="Times New Roman" w:cs="Times New Roman"/>
          <w:color w:val="auto"/>
          <w:highlight w:val="none"/>
        </w:rPr>
      </w:pPr>
      <w:r>
        <w:rPr>
          <w:rFonts w:hint="eastAsia" w:ascii="Times New Roman" w:hAnsi="Times New Roman" w:eastAsia="宋体" w:cs="Times New Roman"/>
          <w:color w:val="auto"/>
          <w:kern w:val="2"/>
          <w:sz w:val="24"/>
          <w:szCs w:val="24"/>
          <w:highlight w:val="none"/>
          <w:lang w:val="en-US" w:eastAsia="zh-CN" w:bidi="ar-SA"/>
        </w:rPr>
        <w:t>根据《畜禽养殖业污染治理工程技术规范》（</w:t>
      </w:r>
      <w:r>
        <w:rPr>
          <w:rFonts w:hint="default" w:ascii="Times New Roman" w:hAnsi="Times New Roman" w:eastAsia="宋体" w:cs="Times New Roman"/>
          <w:color w:val="auto"/>
          <w:kern w:val="2"/>
          <w:sz w:val="24"/>
          <w:szCs w:val="24"/>
          <w:highlight w:val="none"/>
          <w:lang w:val="en-US" w:eastAsia="zh-CN" w:bidi="ar-SA"/>
        </w:rPr>
        <w:t>HJ497-2009</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经好氧发酵后</w:t>
      </w:r>
      <w:r>
        <w:rPr>
          <w:rFonts w:hint="eastAsia" w:ascii="Times New Roman" w:hAnsi="Times New Roman" w:eastAsia="宋体" w:cs="Times New Roman"/>
          <w:color w:val="auto"/>
          <w:kern w:val="2"/>
          <w:sz w:val="24"/>
          <w:szCs w:val="24"/>
          <w:highlight w:val="none"/>
          <w:lang w:val="en-US" w:eastAsia="zh-CN" w:bidi="ar-SA"/>
        </w:rPr>
        <w:t>有机肥</w:t>
      </w:r>
      <w:r>
        <w:rPr>
          <w:rFonts w:hint="default" w:ascii="Times New Roman" w:hAnsi="Times New Roman" w:eastAsia="宋体" w:cs="Times New Roman"/>
          <w:color w:val="auto"/>
          <w:kern w:val="2"/>
          <w:sz w:val="24"/>
          <w:szCs w:val="24"/>
          <w:highlight w:val="none"/>
          <w:lang w:val="en-US" w:eastAsia="zh-CN" w:bidi="ar-SA"/>
        </w:rPr>
        <w:t>含水率按25%计，好氧发酵后</w:t>
      </w:r>
      <w:r>
        <w:rPr>
          <w:rFonts w:hint="eastAsia" w:ascii="Times New Roman" w:hAnsi="Times New Roman" w:eastAsia="宋体" w:cs="Times New Roman"/>
          <w:color w:val="auto"/>
          <w:kern w:val="2"/>
          <w:sz w:val="24"/>
          <w:szCs w:val="24"/>
          <w:highlight w:val="none"/>
          <w:lang w:val="en-US" w:eastAsia="zh-CN" w:bidi="ar-SA"/>
        </w:rPr>
        <w:t>有机肥产生量</w:t>
      </w:r>
      <w:r>
        <w:rPr>
          <w:rFonts w:hint="default" w:ascii="Times New Roman" w:hAnsi="Times New Roman" w:eastAsia="宋体" w:cs="Times New Roman"/>
          <w:color w:val="auto"/>
          <w:kern w:val="2"/>
          <w:sz w:val="24"/>
          <w:szCs w:val="24"/>
          <w:highlight w:val="none"/>
          <w:lang w:val="en-US" w:eastAsia="zh-CN" w:bidi="ar-SA"/>
        </w:rPr>
        <w:t>约为</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28152.45t/a×</w:t>
      </w:r>
      <w:r>
        <w:rPr>
          <w:rFonts w:hint="eastAsia" w:ascii="Times New Roman" w:hAnsi="Times New Roman" w:eastAsia="宋体" w:cs="Times New Roman"/>
          <w:color w:val="auto"/>
          <w:kern w:val="2"/>
          <w:sz w:val="24"/>
          <w:szCs w:val="24"/>
          <w:highlight w:val="none"/>
          <w:lang w:val="en-US" w:eastAsia="zh-CN" w:bidi="ar-SA"/>
        </w:rPr>
        <w:t>0.2/0.75=</w:t>
      </w:r>
      <w:r>
        <w:rPr>
          <w:rFonts w:hint="default" w:ascii="Times New Roman" w:hAnsi="Times New Roman" w:eastAsia="宋体" w:cs="Times New Roman"/>
          <w:color w:val="auto"/>
          <w:kern w:val="2"/>
          <w:sz w:val="24"/>
          <w:szCs w:val="24"/>
          <w:highlight w:val="none"/>
          <w:lang w:val="en-US" w:eastAsia="zh-CN" w:bidi="ar-SA"/>
        </w:rPr>
        <w:t>75</w:t>
      </w:r>
      <w:r>
        <w:rPr>
          <w:rFonts w:hint="default" w:ascii="Times New Roman" w:hAnsi="Times New Roman" w:cs="Times New Roman"/>
          <w:color w:val="auto"/>
          <w:kern w:val="0"/>
          <w:sz w:val="24"/>
          <w:szCs w:val="24"/>
          <w:highlight w:val="none"/>
          <w:lang w:val="en-US" w:eastAsia="zh-CN" w:bidi="ar"/>
        </w:rPr>
        <w:t>07.32</w:t>
      </w:r>
      <w:r>
        <w:rPr>
          <w:rFonts w:hint="default" w:ascii="Times New Roman" w:hAnsi="Times New Roman" w:eastAsia="宋体" w:cs="Times New Roman"/>
          <w:color w:val="auto"/>
          <w:kern w:val="0"/>
          <w:sz w:val="24"/>
          <w:szCs w:val="24"/>
          <w:highlight w:val="none"/>
          <w:lang w:val="en-US" w:eastAsia="zh-CN" w:bidi="ar"/>
        </w:rPr>
        <w:t>t/a，采用</w:t>
      </w:r>
      <w:r>
        <w:rPr>
          <w:rFonts w:hint="default" w:ascii="Times New Roman" w:hAnsi="Times New Roman" w:cs="Times New Roman"/>
          <w:color w:val="auto"/>
          <w:kern w:val="0"/>
          <w:sz w:val="24"/>
          <w:szCs w:val="24"/>
          <w:highlight w:val="none"/>
          <w:lang w:val="en-US" w:eastAsia="zh-CN" w:bidi="ar"/>
        </w:rPr>
        <w:t>好氧发酵</w:t>
      </w:r>
      <w:r>
        <w:rPr>
          <w:rFonts w:hint="default" w:ascii="Times New Roman" w:hAnsi="Times New Roman" w:eastAsia="宋体" w:cs="Times New Roman"/>
          <w:color w:val="auto"/>
          <w:kern w:val="0"/>
          <w:sz w:val="24"/>
          <w:szCs w:val="24"/>
          <w:highlight w:val="none"/>
          <w:lang w:val="en-US" w:eastAsia="zh-CN" w:bidi="ar"/>
        </w:rPr>
        <w:t>后</w:t>
      </w:r>
      <w:r>
        <w:rPr>
          <w:rFonts w:hint="eastAsia" w:cs="Times New Roman"/>
          <w:color w:val="auto"/>
          <w:kern w:val="0"/>
          <w:sz w:val="24"/>
          <w:szCs w:val="24"/>
          <w:highlight w:val="none"/>
          <w:lang w:val="en-US" w:eastAsia="zh-CN" w:bidi="ar"/>
        </w:rPr>
        <w:t>用于垫料及还田利用</w:t>
      </w:r>
      <w:r>
        <w:rPr>
          <w:rFonts w:hint="default" w:ascii="Times New Roman" w:hAnsi="Times New Roman" w:eastAsia="宋体" w:cs="Times New Roman"/>
          <w:color w:val="auto"/>
          <w:kern w:val="0"/>
          <w:sz w:val="24"/>
          <w:szCs w:val="24"/>
          <w:highlight w:val="none"/>
          <w:lang w:val="en-US" w:eastAsia="zh-CN" w:bidi="ar"/>
        </w:rPr>
        <w:t>。</w:t>
      </w:r>
    </w:p>
    <w:p>
      <w:pPr>
        <w:pageBreakBefore w:val="0"/>
        <w:wordWrap/>
        <w:bidi w:val="0"/>
        <w:adjustRightInd w:val="0"/>
        <w:ind w:left="0" w:leftChars="0" w:right="0" w:rightChars="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（2）医疗废物</w:t>
      </w:r>
    </w:p>
    <w:p>
      <w:pPr>
        <w:pageBreakBefore w:val="0"/>
        <w:wordWrap/>
        <w:bidi w:val="0"/>
        <w:adjustRightInd w:val="0"/>
        <w:snapToGrid w:val="0"/>
        <w:spacing w:line="360" w:lineRule="auto"/>
        <w:ind w:left="0" w:leftChars="0" w:right="0" w:rightChars="0" w:firstLine="424" w:firstLineChars="177"/>
        <w:jc w:val="both"/>
        <w:rPr>
          <w:rFonts w:hint="default" w:ascii="Times New Roman" w:hAnsi="Times New Roman" w:cs="Times New Roman"/>
          <w:color w:val="auto"/>
          <w:sz w:val="24"/>
          <w:szCs w:val="22"/>
          <w:highlight w:val="none"/>
        </w:rPr>
      </w:pPr>
      <w:r>
        <w:rPr>
          <w:rFonts w:hint="eastAsia" w:cs="Times New Roman"/>
          <w:color w:val="auto"/>
          <w:sz w:val="24"/>
          <w:szCs w:val="22"/>
          <w:highlight w:val="none"/>
          <w:lang w:val="en-US" w:eastAsia="zh-CN"/>
        </w:rPr>
        <w:t>本</w:t>
      </w:r>
      <w:r>
        <w:rPr>
          <w:rFonts w:hint="default" w:ascii="Times New Roman" w:hAnsi="Times New Roman" w:cs="Times New Roman"/>
          <w:color w:val="auto"/>
          <w:sz w:val="24"/>
          <w:szCs w:val="22"/>
          <w:highlight w:val="none"/>
        </w:rPr>
        <w:t>项目运营期间产生的防疫医疗废物主要为牛只防疫、治愈生病牛只产生的废弃医疗器具、药物包装袋及玻璃器皿。分娩废物主要为废弃医疗器具、药物包装袋及玻璃器皿等。</w:t>
      </w:r>
    </w:p>
    <w:p>
      <w:pPr>
        <w:pageBreakBefore w:val="0"/>
        <w:wordWrap/>
        <w:bidi w:val="0"/>
        <w:adjustRightInd w:val="0"/>
        <w:snapToGrid w:val="0"/>
        <w:spacing w:line="360" w:lineRule="auto"/>
        <w:ind w:left="0" w:leftChars="0" w:right="0" w:rightChars="0" w:firstLine="424" w:firstLineChars="177"/>
        <w:jc w:val="both"/>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①根据企业运营经验，估算防疫医疗废物产生量为0.1t/a。对照《国家危险废物名录</w:t>
      </w:r>
      <w:r>
        <w:rPr>
          <w:rFonts w:hint="default" w:ascii="Times New Roman" w:hAnsi="Times New Roman" w:eastAsia="宋体" w:cs="Times New Roman"/>
          <w:color w:val="auto"/>
          <w:sz w:val="24"/>
          <w:szCs w:val="22"/>
          <w:highlight w:val="none"/>
        </w:rPr>
        <w:t>（</w:t>
      </w:r>
      <w:r>
        <w:rPr>
          <w:rFonts w:hint="eastAsia" w:ascii="Times New Roman" w:hAnsi="Times New Roman" w:eastAsia="宋体" w:cs="Times New Roman"/>
          <w:color w:val="auto"/>
          <w:sz w:val="24"/>
          <w:szCs w:val="22"/>
          <w:highlight w:val="none"/>
          <w:lang w:val="en-US" w:eastAsia="zh-CN"/>
        </w:rPr>
        <w:t>2021年版</w:t>
      </w:r>
      <w:r>
        <w:rPr>
          <w:rFonts w:hint="default" w:ascii="Times New Roman" w:hAnsi="Times New Roman" w:eastAsia="宋体" w:cs="Times New Roman"/>
          <w:color w:val="auto"/>
          <w:sz w:val="24"/>
          <w:szCs w:val="22"/>
          <w:highlight w:val="none"/>
        </w:rPr>
        <w:t>）</w:t>
      </w:r>
      <w:r>
        <w:rPr>
          <w:rFonts w:hint="default" w:ascii="Times New Roman" w:hAnsi="Times New Roman" w:cs="Times New Roman"/>
          <w:color w:val="auto"/>
          <w:sz w:val="24"/>
          <w:szCs w:val="22"/>
          <w:highlight w:val="none"/>
        </w:rPr>
        <w:t>》，</w:t>
      </w:r>
      <w:r>
        <w:rPr>
          <w:color w:val="auto"/>
        </w:rPr>
        <w:t>疫苗接种</w:t>
      </w:r>
      <w:r>
        <w:rPr>
          <w:rFonts w:hint="eastAsia"/>
          <w:color w:val="auto"/>
        </w:rPr>
        <w:t>、防病用的注射用具</w:t>
      </w:r>
      <w:r>
        <w:rPr>
          <w:rFonts w:hint="eastAsia"/>
          <w:color w:val="auto"/>
          <w:lang w:val="en-US" w:eastAsia="zh-CN"/>
        </w:rPr>
        <w:t>属于感染性废</w:t>
      </w:r>
      <w:r>
        <w:rPr>
          <w:rFonts w:hint="eastAsia"/>
          <w:color w:val="auto"/>
          <w:highlight w:val="none"/>
          <w:lang w:val="en-US" w:eastAsia="zh-CN"/>
        </w:rPr>
        <w:t>物、损伤性废物，</w:t>
      </w:r>
      <w:r>
        <w:rPr>
          <w:rFonts w:hint="eastAsia"/>
          <w:color w:val="auto"/>
          <w:highlight w:val="none"/>
        </w:rPr>
        <w:t>类别为HW0</w:t>
      </w:r>
      <w:r>
        <w:rPr>
          <w:rFonts w:hint="eastAsia"/>
          <w:color w:val="auto"/>
          <w:highlight w:val="none"/>
          <w:lang w:val="en-US" w:eastAsia="zh-CN"/>
        </w:rPr>
        <w:t>1</w:t>
      </w:r>
      <w:r>
        <w:rPr>
          <w:rFonts w:hint="eastAsia"/>
          <w:color w:val="auto"/>
          <w:highlight w:val="none"/>
        </w:rPr>
        <w:t>，代码为</w:t>
      </w:r>
      <w:r>
        <w:rPr>
          <w:rFonts w:hint="eastAsia"/>
          <w:color w:val="auto"/>
          <w:highlight w:val="none"/>
          <w:lang w:val="en-US" w:eastAsia="zh-CN"/>
        </w:rPr>
        <w:t>841-001-01、841-002-01</w:t>
      </w:r>
      <w:r>
        <w:rPr>
          <w:rFonts w:hint="eastAsia"/>
          <w:color w:val="auto"/>
          <w:highlight w:val="none"/>
          <w:lang w:eastAsia="zh-CN"/>
        </w:rPr>
        <w:t>；</w:t>
      </w:r>
      <w:r>
        <w:rPr>
          <w:color w:val="auto"/>
          <w:sz w:val="24"/>
          <w:szCs w:val="24"/>
        </w:rPr>
        <w:t>消毒棉纱</w:t>
      </w:r>
      <w:r>
        <w:rPr>
          <w:rFonts w:hint="eastAsia"/>
          <w:color w:val="auto"/>
          <w:lang w:val="en-US" w:eastAsia="zh-CN"/>
        </w:rPr>
        <w:t>属于感染性废</w:t>
      </w:r>
      <w:r>
        <w:rPr>
          <w:rFonts w:hint="eastAsia"/>
          <w:color w:val="auto"/>
          <w:highlight w:val="none"/>
          <w:lang w:val="en-US" w:eastAsia="zh-CN"/>
        </w:rPr>
        <w:t>物，</w:t>
      </w:r>
      <w:r>
        <w:rPr>
          <w:rFonts w:hint="eastAsia"/>
          <w:color w:val="auto"/>
          <w:highlight w:val="none"/>
        </w:rPr>
        <w:t>类别为HW0</w:t>
      </w:r>
      <w:r>
        <w:rPr>
          <w:rFonts w:hint="eastAsia"/>
          <w:color w:val="auto"/>
          <w:highlight w:val="none"/>
          <w:lang w:val="en-US" w:eastAsia="zh-CN"/>
        </w:rPr>
        <w:t>1</w:t>
      </w:r>
      <w:r>
        <w:rPr>
          <w:rFonts w:hint="eastAsia"/>
          <w:color w:val="auto"/>
          <w:highlight w:val="none"/>
        </w:rPr>
        <w:t>，代码为</w:t>
      </w:r>
      <w:r>
        <w:rPr>
          <w:rFonts w:hint="eastAsia"/>
          <w:color w:val="auto"/>
          <w:highlight w:val="none"/>
          <w:lang w:val="en-US" w:eastAsia="zh-CN"/>
        </w:rPr>
        <w:t>841-001-01；</w:t>
      </w:r>
      <w:r>
        <w:rPr>
          <w:rFonts w:hint="eastAsia"/>
          <w:color w:val="auto"/>
          <w:highlight w:val="none"/>
        </w:rPr>
        <w:t>废药属于</w:t>
      </w:r>
      <w:r>
        <w:rPr>
          <w:rFonts w:hint="eastAsia"/>
          <w:color w:val="auto"/>
          <w:highlight w:val="none"/>
          <w:lang w:val="en-US" w:eastAsia="zh-CN"/>
        </w:rPr>
        <w:t>药物性</w:t>
      </w:r>
      <w:r>
        <w:rPr>
          <w:rFonts w:hint="eastAsia"/>
          <w:color w:val="auto"/>
          <w:highlight w:val="none"/>
        </w:rPr>
        <w:t>废物，类别为HW0</w:t>
      </w:r>
      <w:r>
        <w:rPr>
          <w:rFonts w:hint="eastAsia"/>
          <w:color w:val="auto"/>
          <w:highlight w:val="none"/>
          <w:lang w:val="en-US" w:eastAsia="zh-CN"/>
        </w:rPr>
        <w:t>1</w:t>
      </w:r>
      <w:r>
        <w:rPr>
          <w:rFonts w:hint="eastAsia"/>
          <w:color w:val="auto"/>
          <w:highlight w:val="none"/>
        </w:rPr>
        <w:t>，代码为</w:t>
      </w:r>
      <w:r>
        <w:rPr>
          <w:rFonts w:hint="eastAsia"/>
          <w:color w:val="auto"/>
          <w:highlight w:val="none"/>
          <w:lang w:val="en-US" w:eastAsia="zh-CN"/>
        </w:rPr>
        <w:t>841-005-01</w:t>
      </w:r>
      <w:r>
        <w:rPr>
          <w:rFonts w:hint="eastAsia"/>
          <w:color w:val="auto"/>
          <w:highlight w:val="none"/>
        </w:rPr>
        <w:t>。</w:t>
      </w:r>
      <w:r>
        <w:rPr>
          <w:rFonts w:hint="default" w:ascii="Times New Roman" w:hAnsi="Times New Roman" w:cs="Times New Roman"/>
          <w:color w:val="auto"/>
          <w:sz w:val="24"/>
          <w:szCs w:val="22"/>
          <w:highlight w:val="none"/>
          <w:lang w:val="zh-CN"/>
        </w:rPr>
        <w:t>由建设单位委托有资质单位处理</w:t>
      </w:r>
      <w:r>
        <w:rPr>
          <w:rFonts w:hint="default" w:ascii="Times New Roman" w:hAnsi="Times New Roman" w:cs="Times New Roman"/>
          <w:color w:val="auto"/>
          <w:sz w:val="24"/>
          <w:szCs w:val="22"/>
          <w:highlight w:val="none"/>
        </w:rPr>
        <w:t>。</w:t>
      </w:r>
    </w:p>
    <w:p>
      <w:pPr>
        <w:pageBreakBefore w:val="0"/>
        <w:wordWrap/>
        <w:bidi w:val="0"/>
        <w:adjustRightInd w:val="0"/>
        <w:snapToGrid w:val="0"/>
        <w:spacing w:line="360" w:lineRule="auto"/>
        <w:ind w:left="0" w:leftChars="0" w:right="0" w:rightChars="0" w:firstLine="424" w:firstLineChars="177"/>
        <w:jc w:val="both"/>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②</w:t>
      </w:r>
      <w:r>
        <w:rPr>
          <w:rFonts w:hint="default" w:ascii="Times New Roman" w:hAnsi="Times New Roman" w:cs="Times New Roman"/>
          <w:color w:val="auto"/>
          <w:sz w:val="24"/>
          <w:szCs w:val="22"/>
        </w:rPr>
        <w:t>分娩废物主要为废弃医疗器具、药物包装袋及玻璃器皿等</w:t>
      </w:r>
      <w:r>
        <w:rPr>
          <w:rFonts w:hint="eastAsia" w:ascii="Times New Roman" w:hAnsi="Times New Roman" w:cs="Times New Roman"/>
          <w:color w:val="auto"/>
          <w:sz w:val="24"/>
          <w:szCs w:val="22"/>
          <w:lang w:eastAsia="zh-CN"/>
        </w:rPr>
        <w:t>。</w:t>
      </w:r>
      <w:r>
        <w:rPr>
          <w:rFonts w:hint="default" w:ascii="Times New Roman" w:hAnsi="Times New Roman" w:cs="Times New Roman"/>
          <w:color w:val="auto"/>
          <w:sz w:val="24"/>
          <w:szCs w:val="22"/>
          <w:highlight w:val="none"/>
        </w:rPr>
        <w:t>根据企业运营经验，估算分娩废物产生量为1t/a。对照《国家危险废物名录</w:t>
      </w:r>
      <w:r>
        <w:rPr>
          <w:rFonts w:hint="default" w:ascii="Times New Roman" w:hAnsi="Times New Roman" w:eastAsia="宋体" w:cs="Times New Roman"/>
          <w:color w:val="auto"/>
          <w:sz w:val="24"/>
          <w:szCs w:val="22"/>
          <w:highlight w:val="none"/>
        </w:rPr>
        <w:t>（</w:t>
      </w:r>
      <w:r>
        <w:rPr>
          <w:rFonts w:hint="eastAsia" w:ascii="Times New Roman" w:hAnsi="Times New Roman" w:eastAsia="宋体" w:cs="Times New Roman"/>
          <w:color w:val="auto"/>
          <w:sz w:val="24"/>
          <w:szCs w:val="22"/>
          <w:highlight w:val="none"/>
          <w:lang w:val="en-US" w:eastAsia="zh-CN"/>
        </w:rPr>
        <w:t>2021年版</w:t>
      </w:r>
      <w:r>
        <w:rPr>
          <w:rFonts w:hint="default" w:ascii="Times New Roman" w:hAnsi="Times New Roman" w:eastAsia="宋体" w:cs="Times New Roman"/>
          <w:color w:val="auto"/>
          <w:sz w:val="24"/>
          <w:szCs w:val="22"/>
          <w:highlight w:val="none"/>
        </w:rPr>
        <w:t>）</w:t>
      </w:r>
      <w:r>
        <w:rPr>
          <w:rFonts w:hint="default" w:ascii="Times New Roman" w:hAnsi="Times New Roman" w:cs="Times New Roman"/>
          <w:color w:val="auto"/>
          <w:sz w:val="24"/>
          <w:szCs w:val="22"/>
          <w:highlight w:val="none"/>
        </w:rPr>
        <w:t>》，本项目医疗废物属于“HW01 医疗废物”</w:t>
      </w:r>
      <w:r>
        <w:rPr>
          <w:rFonts w:hint="default" w:ascii="Times New Roman" w:hAnsi="Times New Roman" w:cs="Times New Roman"/>
          <w:color w:val="auto"/>
          <w:sz w:val="24"/>
          <w:szCs w:val="22"/>
        </w:rPr>
        <w:t>中“900-001-01为防治动物传染病而需要收集和处置的废物”类废物危险废物</w:t>
      </w:r>
      <w:r>
        <w:rPr>
          <w:rFonts w:hint="default" w:ascii="Times New Roman" w:hAnsi="Times New Roman" w:cs="Times New Roman"/>
          <w:color w:val="auto"/>
          <w:sz w:val="24"/>
          <w:szCs w:val="22"/>
          <w:highlight w:val="none"/>
        </w:rPr>
        <w:t>，由建设单位委托有资质单位处理。</w:t>
      </w:r>
    </w:p>
    <w:p>
      <w:pPr>
        <w:pageBreakBefore w:val="0"/>
        <w:wordWrap/>
        <w:bidi w:val="0"/>
        <w:adjustRightInd w:val="0"/>
        <w:snapToGrid w:val="0"/>
        <w:spacing w:line="360" w:lineRule="auto"/>
        <w:ind w:left="0" w:leftChars="0" w:right="0" w:rightChars="0" w:firstLine="424" w:firstLineChars="177"/>
        <w:jc w:val="both"/>
        <w:rPr>
          <w:rFonts w:hint="default" w:ascii="Times New Roman" w:hAnsi="Times New Roman" w:cs="Times New Roman"/>
          <w:color w:val="auto"/>
          <w:kern w:val="0"/>
          <w:sz w:val="24"/>
          <w:highlight w:val="none"/>
        </w:rPr>
      </w:pPr>
      <w:r>
        <w:rPr>
          <w:rFonts w:hint="default" w:ascii="Times New Roman" w:hAnsi="Times New Roman" w:cs="Times New Roman"/>
          <w:color w:val="auto"/>
          <w:sz w:val="24"/>
          <w:szCs w:val="22"/>
          <w:highlight w:val="none"/>
          <w:lang w:val="en-US" w:eastAsia="zh-CN"/>
        </w:rPr>
        <w:t>本项目设置</w:t>
      </w:r>
      <w:r>
        <w:rPr>
          <w:rFonts w:hint="default" w:ascii="Times New Roman" w:hAnsi="Times New Roman" w:cs="Times New Roman"/>
          <w:color w:val="auto"/>
          <w:sz w:val="24"/>
          <w:szCs w:val="22"/>
          <w:highlight w:val="none"/>
        </w:rPr>
        <w:t>医疗废物</w:t>
      </w:r>
      <w:r>
        <w:rPr>
          <w:rFonts w:hint="default" w:ascii="Times New Roman" w:hAnsi="Times New Roman" w:cs="Times New Roman"/>
          <w:color w:val="auto"/>
          <w:sz w:val="24"/>
          <w:szCs w:val="22"/>
          <w:highlight w:val="none"/>
          <w:lang w:eastAsia="zh-CN"/>
        </w:rPr>
        <w:t>临时</w:t>
      </w:r>
      <w:r>
        <w:rPr>
          <w:rFonts w:hint="default" w:ascii="Times New Roman" w:hAnsi="Times New Roman" w:cs="Times New Roman"/>
          <w:color w:val="auto"/>
          <w:sz w:val="24"/>
          <w:szCs w:val="22"/>
          <w:highlight w:val="none"/>
        </w:rPr>
        <w:t>贮存</w:t>
      </w:r>
      <w:r>
        <w:rPr>
          <w:rFonts w:hint="default" w:ascii="Times New Roman" w:hAnsi="Times New Roman" w:cs="Times New Roman"/>
          <w:color w:val="auto"/>
          <w:sz w:val="24"/>
          <w:szCs w:val="22"/>
          <w:highlight w:val="none"/>
          <w:lang w:eastAsia="zh-CN"/>
        </w:rPr>
        <w:t>点</w:t>
      </w:r>
      <w:r>
        <w:rPr>
          <w:rFonts w:hint="default" w:ascii="Times New Roman" w:hAnsi="Times New Roman" w:cs="Times New Roman"/>
          <w:color w:val="auto"/>
          <w:sz w:val="24"/>
          <w:szCs w:val="22"/>
          <w:highlight w:val="none"/>
        </w:rPr>
        <w:t>，</w:t>
      </w:r>
      <w:r>
        <w:rPr>
          <w:rFonts w:hint="default" w:ascii="Times New Roman" w:hAnsi="Times New Roman" w:cs="Times New Roman"/>
          <w:color w:val="auto"/>
          <w:sz w:val="24"/>
          <w:szCs w:val="22"/>
          <w:highlight w:val="none"/>
          <w:lang w:eastAsia="zh-CN"/>
        </w:rPr>
        <w:t>医疗废物临时贮存点</w:t>
      </w:r>
      <w:r>
        <w:rPr>
          <w:rFonts w:hint="default" w:ascii="Times New Roman" w:hAnsi="Times New Roman" w:cs="Times New Roman"/>
          <w:color w:val="auto"/>
          <w:sz w:val="24"/>
          <w:szCs w:val="22"/>
          <w:highlight w:val="none"/>
        </w:rPr>
        <w:t>的建设应按照</w:t>
      </w:r>
      <w:r>
        <w:rPr>
          <w:rFonts w:hint="eastAsia" w:cs="Times New Roman"/>
          <w:color w:val="auto"/>
          <w:sz w:val="24"/>
          <w:szCs w:val="22"/>
          <w:highlight w:val="none"/>
          <w:lang w:val="en-US" w:eastAsia="zh-CN"/>
        </w:rPr>
        <w:t>《</w:t>
      </w:r>
      <w:r>
        <w:rPr>
          <w:rFonts w:hint="eastAsia"/>
          <w:color w:val="auto"/>
          <w:highlight w:val="none"/>
          <w:lang w:val="en-US" w:eastAsia="zh-CN"/>
        </w:rPr>
        <w:t>医疗废物处理处置污染控制标准》</w:t>
      </w:r>
      <w:r>
        <w:rPr>
          <w:rFonts w:hint="eastAsia"/>
          <w:color w:val="auto"/>
          <w:highlight w:val="none"/>
        </w:rPr>
        <w:t>（GB 39707-2020）</w:t>
      </w:r>
      <w:r>
        <w:rPr>
          <w:rFonts w:hint="eastAsia"/>
          <w:color w:val="auto"/>
          <w:lang w:eastAsia="zh-CN"/>
        </w:rPr>
        <w:t>、</w:t>
      </w:r>
      <w:r>
        <w:rPr>
          <w:rFonts w:hint="default" w:ascii="Times New Roman" w:hAnsi="Times New Roman" w:cs="Times New Roman"/>
          <w:color w:val="auto"/>
          <w:sz w:val="24"/>
          <w:szCs w:val="22"/>
          <w:highlight w:val="none"/>
        </w:rPr>
        <w:t>《危险废物贮存污染控制标准》</w:t>
      </w:r>
      <w:r>
        <w:rPr>
          <w:rFonts w:hint="default" w:ascii="Times New Roman" w:hAnsi="Times New Roman" w:cs="Times New Roman"/>
          <w:color w:val="auto"/>
          <w:sz w:val="24"/>
          <w:szCs w:val="22"/>
          <w:highlight w:val="none"/>
          <w:lang w:eastAsia="zh-CN"/>
        </w:rPr>
        <w:t>（GB 18597-20</w:t>
      </w:r>
      <w:r>
        <w:rPr>
          <w:rFonts w:hint="default" w:ascii="Times New Roman" w:hAnsi="Times New Roman" w:cs="Times New Roman"/>
          <w:color w:val="auto"/>
          <w:sz w:val="24"/>
          <w:szCs w:val="22"/>
          <w:highlight w:val="none"/>
          <w:lang w:val="en-US" w:eastAsia="zh-CN"/>
        </w:rPr>
        <w:t>23</w:t>
      </w:r>
      <w:r>
        <w:rPr>
          <w:rFonts w:hint="default" w:ascii="Times New Roman" w:hAnsi="Times New Roman" w:cs="Times New Roman"/>
          <w:color w:val="auto"/>
          <w:sz w:val="24"/>
          <w:szCs w:val="22"/>
          <w:highlight w:val="none"/>
          <w:lang w:eastAsia="zh-CN"/>
        </w:rPr>
        <w:t>）</w:t>
      </w:r>
      <w:r>
        <w:rPr>
          <w:rFonts w:hint="eastAsia" w:cs="Times New Roman"/>
          <w:color w:val="auto"/>
          <w:sz w:val="24"/>
          <w:szCs w:val="22"/>
          <w:highlight w:val="none"/>
          <w:lang w:eastAsia="zh-CN"/>
        </w:rPr>
        <w:t>、</w:t>
      </w:r>
      <w:r>
        <w:rPr>
          <w:rFonts w:hint="default" w:ascii="Times New Roman" w:hAnsi="Times New Roman" w:cs="Times New Roman"/>
          <w:color w:val="auto"/>
          <w:sz w:val="24"/>
          <w:szCs w:val="22"/>
          <w:highlight w:val="none"/>
        </w:rPr>
        <w:t>《危险废物污染防治技术政策》和</w:t>
      </w:r>
      <w:r>
        <w:rPr>
          <w:rFonts w:hint="eastAsia"/>
          <w:color w:val="auto"/>
        </w:rPr>
        <w:t>《危险废物识别标志设置技术规范》（HJ 1276-2022）</w:t>
      </w:r>
      <w:r>
        <w:rPr>
          <w:rFonts w:hint="default" w:ascii="Times New Roman" w:hAnsi="Times New Roman" w:cs="Times New Roman"/>
          <w:color w:val="auto"/>
          <w:sz w:val="24"/>
          <w:szCs w:val="22"/>
          <w:highlight w:val="none"/>
        </w:rPr>
        <w:t>的要求设置。</w:t>
      </w:r>
      <w:r>
        <w:rPr>
          <w:rFonts w:hint="default" w:ascii="Times New Roman" w:hAnsi="Times New Roman" w:cs="Times New Roman"/>
          <w:color w:val="auto"/>
          <w:kern w:val="0"/>
          <w:sz w:val="24"/>
          <w:highlight w:val="none"/>
        </w:rPr>
        <w:t>根据《医疗废物管理条例》中的要求，本项目产生的医疗废物经</w:t>
      </w:r>
      <w:r>
        <w:rPr>
          <w:rFonts w:hint="default" w:ascii="Times New Roman" w:hAnsi="Times New Roman" w:cs="Times New Roman"/>
          <w:color w:val="auto"/>
          <w:sz w:val="24"/>
          <w:szCs w:val="22"/>
          <w:highlight w:val="none"/>
        </w:rPr>
        <w:t>医疗废物</w:t>
      </w:r>
      <w:r>
        <w:rPr>
          <w:rFonts w:hint="default" w:ascii="Times New Roman" w:hAnsi="Times New Roman" w:cs="Times New Roman"/>
          <w:color w:val="auto"/>
          <w:sz w:val="24"/>
          <w:szCs w:val="22"/>
          <w:highlight w:val="none"/>
          <w:lang w:eastAsia="zh-CN"/>
        </w:rPr>
        <w:t>临时</w:t>
      </w:r>
      <w:r>
        <w:rPr>
          <w:rFonts w:hint="default" w:ascii="Times New Roman" w:hAnsi="Times New Roman" w:cs="Times New Roman"/>
          <w:color w:val="auto"/>
          <w:sz w:val="24"/>
          <w:szCs w:val="22"/>
          <w:highlight w:val="none"/>
        </w:rPr>
        <w:t>贮存</w:t>
      </w:r>
      <w:r>
        <w:rPr>
          <w:rFonts w:hint="default" w:ascii="Times New Roman" w:hAnsi="Times New Roman" w:cs="Times New Roman"/>
          <w:color w:val="auto"/>
          <w:sz w:val="24"/>
          <w:szCs w:val="22"/>
          <w:highlight w:val="none"/>
          <w:lang w:eastAsia="zh-CN"/>
        </w:rPr>
        <w:t>点</w:t>
      </w:r>
      <w:r>
        <w:rPr>
          <w:rFonts w:hint="default" w:ascii="Times New Roman" w:hAnsi="Times New Roman" w:cs="Times New Roman"/>
          <w:color w:val="auto"/>
          <w:kern w:val="0"/>
          <w:sz w:val="24"/>
          <w:highlight w:val="none"/>
        </w:rPr>
        <w:t>临时储存后交由有医疗废物处置资质的单位进行集中清运处理。</w:t>
      </w:r>
    </w:p>
    <w:p>
      <w:pPr>
        <w:pageBreakBefore w:val="0"/>
        <w:wordWrap/>
        <w:bidi w:val="0"/>
        <w:adjustRightInd w:val="0"/>
        <w:ind w:left="0" w:leftChars="0" w:right="0" w:right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（3）病牛死尸</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牛只病死率</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，本项目病死牛只</w:t>
      </w:r>
      <w:r>
        <w:rPr>
          <w:rFonts w:hint="default" w:ascii="Times New Roman" w:hAnsi="Times New Roman" w:cs="Times New Roman"/>
          <w:color w:val="auto"/>
          <w:highlight w:val="none"/>
          <w:lang w:val="en-US" w:eastAsia="zh-CN"/>
        </w:rPr>
        <w:t>30</w:t>
      </w:r>
      <w:r>
        <w:rPr>
          <w:rFonts w:hint="default" w:ascii="Times New Roman" w:hAnsi="Times New Roman" w:cs="Times New Roman"/>
          <w:color w:val="auto"/>
          <w:highlight w:val="none"/>
        </w:rPr>
        <w:t>头/a，</w:t>
      </w:r>
      <w:r>
        <w:rPr>
          <w:rFonts w:hint="default" w:ascii="Times New Roman" w:hAnsi="Times New Roman" w:eastAsia="宋体" w:cs="Times New Roman"/>
          <w:color w:val="auto"/>
          <w:kern w:val="0"/>
          <w:sz w:val="24"/>
          <w:szCs w:val="24"/>
          <w:highlight w:val="none"/>
          <w:lang w:val="en-US" w:eastAsia="zh-CN" w:bidi="ar"/>
        </w:rPr>
        <w:t>平均重量以800kg/头计，共计约</w:t>
      </w:r>
      <w:r>
        <w:rPr>
          <w:rFonts w:hint="default" w:ascii="Times New Roman" w:hAnsi="Times New Roman" w:cs="Times New Roman"/>
          <w:color w:val="auto"/>
          <w:kern w:val="0"/>
          <w:sz w:val="24"/>
          <w:szCs w:val="24"/>
          <w:highlight w:val="none"/>
          <w:lang w:val="en-US" w:eastAsia="zh-CN" w:bidi="ar"/>
        </w:rPr>
        <w:t>24</w:t>
      </w:r>
      <w:r>
        <w:rPr>
          <w:rFonts w:hint="default" w:ascii="Times New Roman" w:hAnsi="Times New Roman" w:eastAsia="宋体" w:cs="Times New Roman"/>
          <w:color w:val="auto"/>
          <w:kern w:val="0"/>
          <w:sz w:val="24"/>
          <w:szCs w:val="24"/>
          <w:highlight w:val="none"/>
          <w:lang w:val="en-US" w:eastAsia="zh-CN" w:bidi="ar"/>
        </w:rPr>
        <w:t>t</w:t>
      </w:r>
      <w:r>
        <w:rPr>
          <w:rFonts w:hint="default" w:ascii="Times New Roman" w:hAnsi="Times New Roman" w:cs="Times New Roman"/>
          <w:color w:val="auto"/>
          <w:kern w:val="0"/>
          <w:sz w:val="24"/>
          <w:szCs w:val="24"/>
          <w:highlight w:val="none"/>
          <w:lang w:val="en-US" w:eastAsia="zh-CN" w:bidi="ar"/>
        </w:rPr>
        <w:t>/a</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kern w:val="2"/>
          <w:sz w:val="24"/>
          <w:szCs w:val="24"/>
          <w:highlight w:val="none"/>
          <w:lang w:val="en-US" w:eastAsia="zh-CN" w:bidi="ar-SA"/>
        </w:rPr>
        <w:t>病死牛尸体</w:t>
      </w:r>
      <w:r>
        <w:rPr>
          <w:rFonts w:hint="default" w:ascii="Times New Roman" w:hAnsi="Times New Roman" w:eastAsia="宋体" w:cs="Times New Roman"/>
          <w:color w:val="auto"/>
          <w:highlight w:val="none"/>
        </w:rPr>
        <w:t>由</w:t>
      </w:r>
      <w:r>
        <w:rPr>
          <w:rFonts w:hint="default" w:ascii="Times New Roman" w:hAnsi="Times New Roman" w:cs="Times New Roman"/>
          <w:color w:val="auto"/>
          <w:highlight w:val="none"/>
          <w:lang w:val="en-US" w:eastAsia="zh-CN"/>
        </w:rPr>
        <w:t>安全填埋井填埋</w:t>
      </w:r>
      <w:r>
        <w:rPr>
          <w:rFonts w:hint="default" w:ascii="Times New Roman" w:hAnsi="Times New Roman" w:cs="Times New Roman"/>
          <w:color w:val="auto"/>
          <w:highlight w:val="none"/>
        </w:rPr>
        <w:t>。</w:t>
      </w:r>
    </w:p>
    <w:p>
      <w:pPr>
        <w:pageBreakBefore w:val="0"/>
        <w:wordWrap/>
        <w:bidi w:val="0"/>
        <w:adjustRightInd w:val="0"/>
        <w:ind w:left="0" w:leftChars="0" w:right="0" w:right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（4）生活垃圾</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本项目劳动定员</w:t>
      </w:r>
      <w:r>
        <w:rPr>
          <w:rFonts w:hint="default" w:ascii="Times New Roman" w:hAnsi="Times New Roman" w:cs="Times New Roman"/>
          <w:color w:val="auto"/>
          <w:highlight w:val="none"/>
          <w:lang w:val="en-US" w:eastAsia="zh-CN"/>
        </w:rPr>
        <w:t>50</w:t>
      </w:r>
      <w:r>
        <w:rPr>
          <w:rFonts w:hint="default" w:ascii="Times New Roman" w:hAnsi="Times New Roman" w:cs="Times New Roman"/>
          <w:color w:val="auto"/>
          <w:highlight w:val="none"/>
        </w:rPr>
        <w:t>人，生活垃圾产生量按0.5kg/人•d 计，每天产生垃圾</w:t>
      </w:r>
      <w:r>
        <w:rPr>
          <w:rFonts w:hint="default" w:ascii="Times New Roman" w:hAnsi="Times New Roman" w:cs="Times New Roman"/>
          <w:color w:val="auto"/>
          <w:highlight w:val="none"/>
          <w:lang w:val="en-US" w:eastAsia="zh-CN"/>
        </w:rPr>
        <w:t>25</w:t>
      </w:r>
      <w:r>
        <w:rPr>
          <w:rFonts w:hint="default" w:ascii="Times New Roman" w:hAnsi="Times New Roman" w:cs="Times New Roman"/>
          <w:color w:val="auto"/>
          <w:highlight w:val="none"/>
        </w:rPr>
        <w:t>kg，年工作365天，</w:t>
      </w:r>
      <w:r>
        <w:rPr>
          <w:rFonts w:hint="default" w:ascii="Times New Roman" w:hAnsi="Times New Roman" w:cs="Times New Roman"/>
          <w:color w:val="auto"/>
          <w:highlight w:val="none"/>
          <w:lang w:val="en-US" w:eastAsia="zh-CN"/>
        </w:rPr>
        <w:t>新增</w:t>
      </w:r>
      <w:r>
        <w:rPr>
          <w:rFonts w:hint="default" w:ascii="Times New Roman" w:hAnsi="Times New Roman" w:cs="Times New Roman"/>
          <w:color w:val="auto"/>
          <w:highlight w:val="none"/>
        </w:rPr>
        <w:t>年产生垃圾量约为</w:t>
      </w:r>
      <w:r>
        <w:rPr>
          <w:rFonts w:hint="default" w:ascii="Times New Roman" w:hAnsi="Times New Roman" w:cs="Times New Roman"/>
          <w:color w:val="auto"/>
          <w:highlight w:val="none"/>
          <w:lang w:val="en-US" w:eastAsia="zh-CN"/>
        </w:rPr>
        <w:t>9.125</w:t>
      </w:r>
      <w:r>
        <w:rPr>
          <w:rFonts w:hint="default" w:ascii="Times New Roman" w:hAnsi="Times New Roman" w:cs="Times New Roman"/>
          <w:color w:val="auto"/>
          <w:highlight w:val="none"/>
        </w:rPr>
        <w:t>t，经场区内垃圾桶集中收集后，交环卫部门处理。</w:t>
      </w:r>
    </w:p>
    <w:p>
      <w:pPr>
        <w:pageBreakBefore w:val="0"/>
        <w:wordWrap/>
        <w:bidi w:val="0"/>
        <w:adjustRightInd w:val="0"/>
        <w:ind w:left="0" w:leftChars="0" w:right="0" w:right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（5）布袋除尘收集的粉尘</w:t>
      </w:r>
    </w:p>
    <w:p>
      <w:pPr>
        <w:pageBreakBefore w:val="0"/>
        <w:wordWrap/>
        <w:bidi w:val="0"/>
        <w:adjustRightInd w:val="0"/>
        <w:ind w:left="0" w:leftChars="0" w:right="0" w:rightChars="0"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布袋除尘收集的粉尘量为</w:t>
      </w:r>
      <w:r>
        <w:rPr>
          <w:rFonts w:hint="eastAsia" w:cs="Times New Roman"/>
          <w:color w:val="auto"/>
          <w:highlight w:val="none"/>
          <w:lang w:val="en-US" w:eastAsia="zh-CN"/>
        </w:rPr>
        <w:t>1.089</w:t>
      </w:r>
      <w:r>
        <w:rPr>
          <w:rFonts w:hint="default" w:ascii="Times New Roman" w:hAnsi="Times New Roman" w:cs="Times New Roman"/>
          <w:color w:val="auto"/>
          <w:highlight w:val="none"/>
          <w:lang w:val="en-US" w:eastAsia="zh-CN"/>
        </w:rPr>
        <w:t>t/a，可作为饲料用于奶牛饲养。</w:t>
      </w:r>
    </w:p>
    <w:p>
      <w:pPr>
        <w:pStyle w:val="6"/>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lang w:val="en-US" w:eastAsia="zh-CN"/>
        </w:rPr>
      </w:pPr>
      <w:bookmarkStart w:id="160" w:name="_Toc17160"/>
      <w:r>
        <w:rPr>
          <w:rFonts w:hint="default" w:ascii="Times New Roman" w:hAnsi="Times New Roman" w:eastAsia="宋体" w:cs="Times New Roman"/>
          <w:color w:val="auto"/>
          <w:highlight w:val="none"/>
          <w:lang w:val="en-US" w:eastAsia="zh-CN"/>
        </w:rPr>
        <w:t>噪声</w:t>
      </w:r>
      <w:bookmarkEnd w:id="160"/>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本项目</w:t>
      </w:r>
      <w:r>
        <w:rPr>
          <w:rFonts w:hint="default" w:ascii="Times New Roman" w:hAnsi="Times New Roman" w:cs="Times New Roman"/>
          <w:color w:val="auto"/>
          <w:highlight w:val="none"/>
        </w:rPr>
        <w:t>噪声源主</w:t>
      </w:r>
      <w:r>
        <w:rPr>
          <w:rFonts w:hint="default" w:ascii="Times New Roman" w:hAnsi="Times New Roman" w:eastAsia="宋体" w:cs="Times New Roman"/>
          <w:color w:val="auto"/>
          <w:highlight w:val="none"/>
        </w:rPr>
        <w:t>要为饲料装载机、饲料加工机组</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精料自动配制系统</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牛群叫声等，噪</w:t>
      </w:r>
      <w:r>
        <w:rPr>
          <w:rFonts w:hint="default" w:ascii="Times New Roman" w:hAnsi="Times New Roman" w:cs="Times New Roman"/>
          <w:color w:val="auto"/>
          <w:highlight w:val="none"/>
        </w:rPr>
        <w:t>声声级范围7</w:t>
      </w:r>
      <w:r>
        <w:rPr>
          <w:rFonts w:hint="default" w:ascii="Times New Roman" w:hAnsi="Times New Roman" w:cs="Times New Roman"/>
          <w:color w:val="auto"/>
          <w:highlight w:val="none"/>
          <w:lang w:val="en-US" w:eastAsia="zh-CN"/>
        </w:rPr>
        <w:t>0</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80</w:t>
      </w:r>
      <w:r>
        <w:rPr>
          <w:rFonts w:hint="default" w:ascii="Times New Roman" w:hAnsi="Times New Roman" w:cs="Times New Roman"/>
          <w:color w:val="auto"/>
          <w:highlight w:val="none"/>
        </w:rPr>
        <w:t>dB</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A</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，养殖基地主要噪声源声压级见表</w:t>
      </w:r>
      <w:r>
        <w:rPr>
          <w:rFonts w:hint="default" w:ascii="Times New Roman" w:hAnsi="Times New Roman" w:cs="Times New Roman"/>
          <w:color w:val="auto"/>
          <w:highlight w:val="none"/>
          <w:lang w:val="en-US" w:eastAsia="zh-CN"/>
        </w:rPr>
        <w:t>3.3-8</w:t>
      </w:r>
      <w:r>
        <w:rPr>
          <w:rFonts w:hint="default" w:ascii="Times New Roman" w:hAnsi="Times New Roman" w:cs="Times New Roman"/>
          <w:color w:val="auto"/>
          <w:highlight w:val="none"/>
        </w:rPr>
        <w:t>。</w:t>
      </w:r>
    </w:p>
    <w:p>
      <w:pPr>
        <w:pStyle w:val="56"/>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cs="Times New Roman"/>
          <w:color w:val="auto"/>
          <w:sz w:val="21"/>
          <w:szCs w:val="21"/>
          <w:highlight w:val="none"/>
        </w:rPr>
      </w:pPr>
      <w:bookmarkStart w:id="161" w:name="_Toc263850727"/>
      <w:r>
        <w:rPr>
          <w:rFonts w:hint="default" w:ascii="Times New Roman" w:hAnsi="Times New Roman" w:cs="Times New Roman"/>
          <w:color w:val="auto"/>
          <w:sz w:val="21"/>
          <w:szCs w:val="21"/>
          <w:highlight w:val="none"/>
        </w:rPr>
        <w:t xml:space="preserve">表 </w:t>
      </w:r>
      <w:r>
        <w:rPr>
          <w:rFonts w:hint="default" w:ascii="Times New Roman" w:hAnsi="Times New Roman" w:cs="Times New Roman"/>
          <w:color w:val="auto"/>
          <w:sz w:val="21"/>
          <w:szCs w:val="21"/>
          <w:highlight w:val="none"/>
          <w:lang w:val="en-US" w:eastAsia="zh-CN"/>
        </w:rPr>
        <w:t>3.3-8</w:t>
      </w:r>
      <w:r>
        <w:rPr>
          <w:rFonts w:hint="default" w:ascii="Times New Roman" w:hAnsi="Times New Roman" w:cs="Times New Roman"/>
          <w:color w:val="auto"/>
          <w:sz w:val="21"/>
          <w:szCs w:val="21"/>
          <w:highlight w:val="none"/>
        </w:rPr>
        <w:t xml:space="preserve">              噪声治理措施及降噪效果</w:t>
      </w:r>
    </w:p>
    <w:tbl>
      <w:tblPr>
        <w:tblStyle w:val="39"/>
        <w:tblpPr w:leftFromText="180" w:rightFromText="180" w:vertAnchor="text" w:tblpXSpec="center" w:tblpY="1"/>
        <w:tblOverlap w:val="never"/>
        <w:tblW w:w="4976"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2603"/>
        <w:gridCol w:w="2072"/>
        <w:gridCol w:w="386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25" w:hRule="atLeast"/>
        </w:trPr>
        <w:tc>
          <w:tcPr>
            <w:tcW w:w="1524"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设备名称</w:t>
            </w:r>
          </w:p>
        </w:tc>
        <w:tc>
          <w:tcPr>
            <w:tcW w:w="1213"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声级值dB</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A</w:t>
            </w:r>
            <w:r>
              <w:rPr>
                <w:rFonts w:hint="default" w:ascii="Times New Roman" w:hAnsi="Times New Roman" w:cs="Times New Roman"/>
                <w:color w:val="auto"/>
                <w:sz w:val="21"/>
                <w:szCs w:val="21"/>
                <w:highlight w:val="none"/>
                <w:lang w:eastAsia="zh-CN"/>
              </w:rPr>
              <w:t>）</w:t>
            </w:r>
          </w:p>
        </w:tc>
        <w:tc>
          <w:tcPr>
            <w:tcW w:w="226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采取的防治措施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84" w:hRule="atLeast"/>
        </w:trPr>
        <w:tc>
          <w:tcPr>
            <w:tcW w:w="1524"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rPr>
              <w:t>饲料装载机</w:t>
            </w:r>
          </w:p>
        </w:tc>
        <w:tc>
          <w:tcPr>
            <w:tcW w:w="1213"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75-80</w:t>
            </w:r>
          </w:p>
        </w:tc>
        <w:tc>
          <w:tcPr>
            <w:tcW w:w="2261" w:type="pct"/>
            <w:vMerge w:val="restar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选用低噪声设备、</w:t>
            </w:r>
            <w:r>
              <w:rPr>
                <w:rFonts w:hint="default" w:ascii="Times New Roman" w:hAnsi="Times New Roman" w:cs="Times New Roman"/>
                <w:color w:val="auto"/>
                <w:sz w:val="21"/>
                <w:szCs w:val="21"/>
                <w:highlight w:val="none"/>
              </w:rPr>
              <w:t>减振、隔声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84" w:hRule="atLeast"/>
        </w:trPr>
        <w:tc>
          <w:tcPr>
            <w:tcW w:w="1524"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highlight w:val="none"/>
              </w:rPr>
              <w:t>饲料加工机组</w:t>
            </w:r>
          </w:p>
        </w:tc>
        <w:tc>
          <w:tcPr>
            <w:tcW w:w="1213"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80-90</w:t>
            </w:r>
          </w:p>
        </w:tc>
        <w:tc>
          <w:tcPr>
            <w:tcW w:w="2261" w:type="pct"/>
            <w:vMerge w:val="continue"/>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84" w:hRule="atLeast"/>
        </w:trPr>
        <w:tc>
          <w:tcPr>
            <w:tcW w:w="1524"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精料自动配制系统</w:t>
            </w:r>
          </w:p>
        </w:tc>
        <w:tc>
          <w:tcPr>
            <w:tcW w:w="1213"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80-90</w:t>
            </w:r>
          </w:p>
        </w:tc>
        <w:tc>
          <w:tcPr>
            <w:tcW w:w="2261" w:type="pct"/>
            <w:vMerge w:val="continue"/>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84" w:hRule="atLeast"/>
        </w:trPr>
        <w:tc>
          <w:tcPr>
            <w:tcW w:w="1524"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firstLine="0" w:firstLineChars="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拖拉机牵引车</w:t>
            </w:r>
          </w:p>
        </w:tc>
        <w:tc>
          <w:tcPr>
            <w:tcW w:w="1213"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100-110</w:t>
            </w:r>
          </w:p>
        </w:tc>
        <w:tc>
          <w:tcPr>
            <w:tcW w:w="2261" w:type="pct"/>
            <w:vMerge w:val="continue"/>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84" w:hRule="atLeast"/>
        </w:trPr>
        <w:tc>
          <w:tcPr>
            <w:tcW w:w="1524"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firstLine="0" w:firstLineChars="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小四轮拖拉机</w:t>
            </w:r>
          </w:p>
        </w:tc>
        <w:tc>
          <w:tcPr>
            <w:tcW w:w="1213"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110-115</w:t>
            </w:r>
          </w:p>
        </w:tc>
        <w:tc>
          <w:tcPr>
            <w:tcW w:w="2261" w:type="pct"/>
            <w:vMerge w:val="continue"/>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56" w:hRule="atLeast"/>
        </w:trPr>
        <w:tc>
          <w:tcPr>
            <w:tcW w:w="1524"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牛群叫声</w:t>
            </w:r>
          </w:p>
        </w:tc>
        <w:tc>
          <w:tcPr>
            <w:tcW w:w="1213"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70</w:t>
            </w:r>
          </w:p>
        </w:tc>
        <w:tc>
          <w:tcPr>
            <w:tcW w:w="226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喂足饲料和水，避免饥渴及突发性噪声</w:t>
            </w:r>
          </w:p>
        </w:tc>
      </w:tr>
    </w:tbl>
    <w:p>
      <w:pPr>
        <w:pStyle w:val="6"/>
        <w:keepNext/>
        <w:keepLines/>
        <w:pageBreakBefore w:val="0"/>
        <w:widowControl w:val="0"/>
        <w:kinsoku/>
        <w:wordWrap/>
        <w:overflowPunct/>
        <w:topLinePunct w:val="0"/>
        <w:autoSpaceDE/>
        <w:autoSpaceDN/>
        <w:bidi w:val="0"/>
        <w:adjustRightInd w:val="0"/>
        <w:snapToGrid w:val="0"/>
        <w:spacing w:before="157" w:beforeLines="50"/>
        <w:ind w:left="0" w:leftChars="0" w:right="0" w:rightChars="0" w:firstLine="0" w:firstLineChars="0"/>
        <w:textAlignment w:val="auto"/>
        <w:rPr>
          <w:rFonts w:hint="default" w:ascii="Times New Roman" w:hAnsi="Times New Roman" w:eastAsia="宋体" w:cs="Times New Roman"/>
          <w:color w:val="auto"/>
          <w:highlight w:val="none"/>
          <w:lang w:val="en-US" w:eastAsia="zh-CN"/>
        </w:rPr>
      </w:pPr>
      <w:bookmarkStart w:id="162" w:name="_Toc16969"/>
      <w:bookmarkStart w:id="163" w:name="_Toc263850730"/>
      <w:r>
        <w:rPr>
          <w:rFonts w:hint="default" w:ascii="Times New Roman" w:hAnsi="Times New Roman" w:eastAsia="宋体" w:cs="Times New Roman"/>
          <w:color w:val="auto"/>
          <w:highlight w:val="none"/>
          <w:lang w:val="en-US" w:eastAsia="zh-CN"/>
        </w:rPr>
        <w:t>污染物排放情况汇总</w:t>
      </w:r>
      <w:bookmarkEnd w:id="162"/>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本项目运营后主要污染物排放情况见表3.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9</w:t>
      </w:r>
      <w:r>
        <w:rPr>
          <w:rFonts w:hint="default" w:ascii="Times New Roman" w:hAnsi="Times New Roman" w:cs="Times New Roman"/>
          <w:color w:val="auto"/>
          <w:highlight w:val="none"/>
        </w:rPr>
        <w:t>。</w:t>
      </w:r>
    </w:p>
    <w:p>
      <w:pPr>
        <w:pStyle w:val="50"/>
        <w:pageBreakBefore w:val="0"/>
        <w:widowControl w:val="0"/>
        <w:kinsoku/>
        <w:wordWrap/>
        <w:overflowPunct/>
        <w:topLinePunct w:val="0"/>
        <w:autoSpaceDE/>
        <w:autoSpaceDN/>
        <w:bidi w:val="0"/>
        <w:adjustRightInd w:val="0"/>
        <w:snapToGrid w:val="0"/>
        <w:spacing w:afterLines="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表3.</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 xml:space="preserve">        本项目污染物排放情况汇总表</w:t>
      </w:r>
    </w:p>
    <w:tbl>
      <w:tblPr>
        <w:tblStyle w:val="39"/>
        <w:tblW w:w="869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28" w:type="dxa"/>
          <w:bottom w:w="0" w:type="dxa"/>
          <w:right w:w="28" w:type="dxa"/>
        </w:tblCellMar>
      </w:tblPr>
      <w:tblGrid>
        <w:gridCol w:w="856"/>
        <w:gridCol w:w="904"/>
        <w:gridCol w:w="1361"/>
        <w:gridCol w:w="748"/>
        <w:gridCol w:w="1160"/>
        <w:gridCol w:w="3667"/>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cantSplit/>
          <w:trHeight w:val="925" w:hRule="atLeast"/>
        </w:trPr>
        <w:tc>
          <w:tcPr>
            <w:tcW w:w="856"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内容</w:t>
            </w:r>
          </w:p>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类型</w:t>
            </w:r>
          </w:p>
        </w:tc>
        <w:tc>
          <w:tcPr>
            <w:tcW w:w="904"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排放源</w:t>
            </w:r>
          </w:p>
        </w:tc>
        <w:tc>
          <w:tcPr>
            <w:tcW w:w="1361"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名称</w:t>
            </w:r>
          </w:p>
        </w:tc>
        <w:tc>
          <w:tcPr>
            <w:tcW w:w="748"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浓度</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mg/L</w:t>
            </w:r>
            <w:r>
              <w:rPr>
                <w:rFonts w:hint="default" w:ascii="Times New Roman" w:hAnsi="Times New Roman" w:cs="Times New Roman"/>
                <w:color w:val="auto"/>
                <w:sz w:val="21"/>
                <w:szCs w:val="21"/>
                <w:highlight w:val="none"/>
                <w:lang w:val="en-US" w:eastAsia="zh-CN"/>
              </w:rPr>
              <w:t>)</w:t>
            </w:r>
          </w:p>
        </w:tc>
        <w:tc>
          <w:tcPr>
            <w:tcW w:w="1160"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排放量</w:t>
            </w:r>
          </w:p>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t/a</w:t>
            </w:r>
            <w:r>
              <w:rPr>
                <w:rFonts w:hint="default" w:ascii="Times New Roman" w:hAnsi="Times New Roman" w:eastAsia="宋体" w:cs="Times New Roman"/>
                <w:color w:val="auto"/>
                <w:sz w:val="21"/>
                <w:szCs w:val="21"/>
                <w:highlight w:val="none"/>
                <w:lang w:eastAsia="zh-CN"/>
              </w:rPr>
              <w:t>）</w:t>
            </w:r>
          </w:p>
        </w:tc>
        <w:tc>
          <w:tcPr>
            <w:tcW w:w="3667"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治理措施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cantSplit/>
          <w:trHeight w:val="383" w:hRule="atLeast"/>
        </w:trPr>
        <w:tc>
          <w:tcPr>
            <w:tcW w:w="856" w:type="dxa"/>
            <w:vMerge w:val="restart"/>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大气污染物</w:t>
            </w:r>
          </w:p>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c>
          <w:tcPr>
            <w:tcW w:w="904" w:type="dxa"/>
            <w:vMerge w:val="restart"/>
            <w:tcBorders>
              <w:tl2br w:val="nil"/>
              <w:tr2bl w:val="nil"/>
            </w:tcBorders>
            <w:noWrap w:val="0"/>
            <w:vAlign w:val="center"/>
          </w:tcPr>
          <w:p>
            <w:pPr>
              <w:pStyle w:val="59"/>
              <w:pageBreakBefore w:val="0"/>
              <w:widowControl w:val="0"/>
              <w:tabs>
                <w:tab w:val="left" w:pos="502"/>
              </w:tabs>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养殖区</w:t>
            </w:r>
          </w:p>
        </w:tc>
        <w:tc>
          <w:tcPr>
            <w:tcW w:w="1361"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p>
        </w:tc>
        <w:tc>
          <w:tcPr>
            <w:tcW w:w="748"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60"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0.022</w:t>
            </w:r>
          </w:p>
        </w:tc>
        <w:tc>
          <w:tcPr>
            <w:tcW w:w="3667" w:type="dxa"/>
            <w:vMerge w:val="restart"/>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圈舍加强通风，并科学合理调控饲粮</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圈舍每天定时清理粪污，减少恶臭污染物的蓄积</w:t>
            </w:r>
            <w:r>
              <w:rPr>
                <w:rFonts w:hint="default" w:ascii="Times New Roman" w:hAnsi="Times New Roman" w:eastAsia="宋体"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cantSplit/>
          <w:trHeight w:val="495" w:hRule="atLeast"/>
        </w:trPr>
        <w:tc>
          <w:tcPr>
            <w:tcW w:w="856" w:type="dxa"/>
            <w:vMerge w:val="continue"/>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c>
          <w:tcPr>
            <w:tcW w:w="904" w:type="dxa"/>
            <w:vMerge w:val="continue"/>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c>
          <w:tcPr>
            <w:tcW w:w="1361"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S</w:t>
            </w:r>
          </w:p>
        </w:tc>
        <w:tc>
          <w:tcPr>
            <w:tcW w:w="748"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60"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0.011</w:t>
            </w:r>
          </w:p>
        </w:tc>
        <w:tc>
          <w:tcPr>
            <w:tcW w:w="3667" w:type="dxa"/>
            <w:vMerge w:val="continue"/>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cantSplit/>
          <w:trHeight w:val="270" w:hRule="atLeast"/>
        </w:trPr>
        <w:tc>
          <w:tcPr>
            <w:tcW w:w="856" w:type="dxa"/>
            <w:vMerge w:val="continue"/>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c>
          <w:tcPr>
            <w:tcW w:w="904" w:type="dxa"/>
            <w:vMerge w:val="restart"/>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堆粪场</w:t>
            </w:r>
          </w:p>
        </w:tc>
        <w:tc>
          <w:tcPr>
            <w:tcW w:w="1361"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p>
        </w:tc>
        <w:tc>
          <w:tcPr>
            <w:tcW w:w="748"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60"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0.0028</w:t>
            </w:r>
          </w:p>
        </w:tc>
        <w:tc>
          <w:tcPr>
            <w:tcW w:w="3667" w:type="dxa"/>
            <w:vMerge w:val="restart"/>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定期喷洒除臭剂，采用好氧堆肥工艺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cantSplit/>
          <w:trHeight w:val="270" w:hRule="atLeast"/>
        </w:trPr>
        <w:tc>
          <w:tcPr>
            <w:tcW w:w="856" w:type="dxa"/>
            <w:vMerge w:val="continue"/>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yellow"/>
              </w:rPr>
            </w:pPr>
          </w:p>
        </w:tc>
        <w:tc>
          <w:tcPr>
            <w:tcW w:w="904" w:type="dxa"/>
            <w:vMerge w:val="continue"/>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yellow"/>
              </w:rPr>
            </w:pPr>
          </w:p>
        </w:tc>
        <w:tc>
          <w:tcPr>
            <w:tcW w:w="1361"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S</w:t>
            </w:r>
          </w:p>
        </w:tc>
        <w:tc>
          <w:tcPr>
            <w:tcW w:w="748"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60"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0.00022</w:t>
            </w:r>
          </w:p>
        </w:tc>
        <w:tc>
          <w:tcPr>
            <w:tcW w:w="3667" w:type="dxa"/>
            <w:vMerge w:val="continue"/>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cantSplit/>
          <w:trHeight w:val="220" w:hRule="atLeast"/>
        </w:trPr>
        <w:tc>
          <w:tcPr>
            <w:tcW w:w="856" w:type="dxa"/>
            <w:vMerge w:val="continue"/>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yellow"/>
              </w:rPr>
            </w:pPr>
          </w:p>
        </w:tc>
        <w:tc>
          <w:tcPr>
            <w:tcW w:w="904" w:type="dxa"/>
            <w:vMerge w:val="restart"/>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饲料加工</w:t>
            </w:r>
          </w:p>
        </w:tc>
        <w:tc>
          <w:tcPr>
            <w:tcW w:w="1361"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有组织</w:t>
            </w:r>
            <w:r>
              <w:rPr>
                <w:rFonts w:hint="default" w:ascii="Times New Roman" w:hAnsi="Times New Roman" w:eastAsia="宋体" w:cs="Times New Roman"/>
                <w:color w:val="auto"/>
                <w:sz w:val="21"/>
                <w:szCs w:val="21"/>
                <w:highlight w:val="none"/>
              </w:rPr>
              <w:t>颗粒物</w:t>
            </w:r>
          </w:p>
        </w:tc>
        <w:tc>
          <w:tcPr>
            <w:tcW w:w="748"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160"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0.011</w:t>
            </w:r>
          </w:p>
        </w:tc>
        <w:tc>
          <w:tcPr>
            <w:tcW w:w="3667"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采用布袋除尘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cantSplit/>
          <w:trHeight w:val="90" w:hRule="atLeast"/>
        </w:trPr>
        <w:tc>
          <w:tcPr>
            <w:tcW w:w="856" w:type="dxa"/>
            <w:vMerge w:val="continue"/>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yellow"/>
              </w:rPr>
            </w:pPr>
          </w:p>
        </w:tc>
        <w:tc>
          <w:tcPr>
            <w:tcW w:w="904" w:type="dxa"/>
            <w:vMerge w:val="continue"/>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eastAsia="zh-CN"/>
              </w:rPr>
            </w:pPr>
          </w:p>
        </w:tc>
        <w:tc>
          <w:tcPr>
            <w:tcW w:w="1361"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无组织</w:t>
            </w:r>
            <w:r>
              <w:rPr>
                <w:rFonts w:hint="default" w:ascii="Times New Roman" w:hAnsi="Times New Roman" w:eastAsia="宋体" w:cs="Times New Roman"/>
                <w:color w:val="auto"/>
                <w:sz w:val="21"/>
                <w:szCs w:val="21"/>
                <w:highlight w:val="none"/>
              </w:rPr>
              <w:t>颗粒物</w:t>
            </w:r>
          </w:p>
        </w:tc>
        <w:tc>
          <w:tcPr>
            <w:tcW w:w="748"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60"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w:t>
            </w:r>
          </w:p>
        </w:tc>
        <w:tc>
          <w:tcPr>
            <w:tcW w:w="3667"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cantSplit/>
          <w:trHeight w:val="310" w:hRule="atLeast"/>
        </w:trPr>
        <w:tc>
          <w:tcPr>
            <w:tcW w:w="856" w:type="dxa"/>
            <w:vMerge w:val="restart"/>
            <w:tcBorders>
              <w:tl2br w:val="nil"/>
              <w:tr2bl w:val="nil"/>
            </w:tcBorders>
            <w:noWrap w:val="0"/>
            <w:textDirection w:val="tbRlV"/>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水污染物</w:t>
            </w:r>
          </w:p>
        </w:tc>
        <w:tc>
          <w:tcPr>
            <w:tcW w:w="904" w:type="dxa"/>
            <w:vMerge w:val="restart"/>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eastAsia" w:cs="Times New Roman"/>
                <w:color w:val="auto"/>
                <w:kern w:val="0"/>
                <w:sz w:val="21"/>
                <w:szCs w:val="21"/>
                <w:highlight w:val="none"/>
                <w:lang w:eastAsia="zh-CN"/>
              </w:rPr>
              <w:t>设备、地面清洗废水、</w:t>
            </w:r>
            <w:r>
              <w:rPr>
                <w:rFonts w:hint="default" w:ascii="Times New Roman" w:hAnsi="Times New Roman" w:eastAsia="宋体" w:cs="Times New Roman"/>
                <w:color w:val="auto"/>
                <w:sz w:val="21"/>
                <w:szCs w:val="21"/>
                <w:highlight w:val="none"/>
              </w:rPr>
              <w:t>生活污水</w:t>
            </w:r>
          </w:p>
        </w:tc>
        <w:tc>
          <w:tcPr>
            <w:tcW w:w="1361"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废水量</w:t>
            </w:r>
          </w:p>
        </w:tc>
        <w:tc>
          <w:tcPr>
            <w:tcW w:w="748"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1160"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kern w:val="0"/>
                <w:sz w:val="21"/>
                <w:szCs w:val="21"/>
                <w:highlight w:val="none"/>
              </w:rPr>
            </w:pPr>
            <w:r>
              <w:rPr>
                <w:rFonts w:hint="eastAsia" w:cs="Times New Roman"/>
                <w:color w:val="auto"/>
                <w:kern w:val="0"/>
                <w:sz w:val="21"/>
                <w:szCs w:val="21"/>
                <w:highlight w:val="none"/>
                <w:lang w:val="en-US" w:eastAsia="zh-CN"/>
              </w:rPr>
              <w:t>2336</w:t>
            </w:r>
            <w:r>
              <w:rPr>
                <w:rFonts w:hint="default" w:ascii="Times New Roman" w:hAnsi="Times New Roman" w:eastAsia="宋体" w:cs="Times New Roman"/>
                <w:color w:val="auto"/>
                <w:kern w:val="0"/>
                <w:sz w:val="21"/>
                <w:szCs w:val="21"/>
                <w:highlight w:val="none"/>
              </w:rPr>
              <w:t>m</w:t>
            </w:r>
            <w:r>
              <w:rPr>
                <w:rStyle w:val="58"/>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/a</w:t>
            </w:r>
          </w:p>
        </w:tc>
        <w:tc>
          <w:tcPr>
            <w:tcW w:w="3667" w:type="dxa"/>
            <w:vMerge w:val="restart"/>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进入</w:t>
            </w:r>
            <w:r>
              <w:rPr>
                <w:rFonts w:hint="default" w:ascii="Times New Roman" w:hAnsi="Times New Roman" w:cs="Times New Roman"/>
                <w:color w:val="auto"/>
                <w:sz w:val="21"/>
                <w:szCs w:val="21"/>
                <w:highlight w:val="none"/>
                <w:lang w:eastAsia="zh-CN"/>
              </w:rPr>
              <w:t>集污池收集</w:t>
            </w:r>
            <w:r>
              <w:rPr>
                <w:rFonts w:hint="default" w:ascii="Times New Roman" w:hAnsi="Times New Roman" w:eastAsia="宋体" w:cs="Times New Roman"/>
                <w:color w:val="auto"/>
                <w:sz w:val="21"/>
                <w:szCs w:val="21"/>
                <w:highlight w:val="none"/>
                <w:lang w:eastAsia="zh-CN"/>
              </w:rPr>
              <w:t>后</w:t>
            </w:r>
            <w:r>
              <w:rPr>
                <w:rFonts w:hint="eastAsia" w:cs="Times New Roman"/>
                <w:color w:val="auto"/>
                <w:sz w:val="21"/>
                <w:szCs w:val="21"/>
                <w:highlight w:val="none"/>
                <w:lang w:val="en-US" w:eastAsia="zh-CN"/>
              </w:rPr>
              <w:t>清掏拉运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cantSplit/>
          <w:trHeight w:val="335" w:hRule="atLeast"/>
        </w:trPr>
        <w:tc>
          <w:tcPr>
            <w:tcW w:w="856" w:type="dxa"/>
            <w:vMerge w:val="continue"/>
            <w:tcBorders>
              <w:tl2br w:val="nil"/>
              <w:tr2bl w:val="nil"/>
            </w:tcBorders>
            <w:noWrap w:val="0"/>
            <w:textDirection w:val="tbRlV"/>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c>
          <w:tcPr>
            <w:tcW w:w="904" w:type="dxa"/>
            <w:vMerge w:val="continue"/>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kern w:val="0"/>
                <w:sz w:val="21"/>
                <w:szCs w:val="21"/>
                <w:highlight w:val="yellow"/>
              </w:rPr>
            </w:pPr>
          </w:p>
        </w:tc>
        <w:tc>
          <w:tcPr>
            <w:tcW w:w="1361" w:type="dxa"/>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yellow"/>
              </w:rPr>
            </w:pPr>
            <w:r>
              <w:rPr>
                <w:rFonts w:hint="default" w:ascii="Times New Roman" w:hAnsi="Times New Roman" w:eastAsia="宋体" w:cs="Times New Roman"/>
                <w:color w:val="auto"/>
                <w:sz w:val="21"/>
                <w:szCs w:val="21"/>
                <w:highlight w:val="none"/>
                <w:lang w:val="en-US"/>
              </w:rPr>
              <w:t>COD</w:t>
            </w:r>
            <w:r>
              <w:rPr>
                <w:rFonts w:hint="default" w:ascii="Times New Roman" w:hAnsi="Times New Roman" w:eastAsia="宋体" w:cs="Times New Roman"/>
                <w:color w:val="auto"/>
                <w:kern w:val="0"/>
                <w:sz w:val="21"/>
                <w:szCs w:val="21"/>
                <w:highlight w:val="none"/>
                <w:vertAlign w:val="subscript"/>
                <w:lang w:val="en-US" w:eastAsia="zh-CN" w:bidi="ar"/>
              </w:rPr>
              <w:t>cr</w:t>
            </w:r>
          </w:p>
        </w:tc>
        <w:tc>
          <w:tcPr>
            <w:tcW w:w="748" w:type="dxa"/>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yellow"/>
              </w:rPr>
            </w:pPr>
            <w:r>
              <w:rPr>
                <w:rFonts w:hint="eastAsia" w:cs="Times New Roman"/>
                <w:color w:val="auto"/>
                <w:sz w:val="21"/>
                <w:szCs w:val="21"/>
                <w:highlight w:val="none"/>
                <w:lang w:val="en-US" w:eastAsia="zh-CN"/>
              </w:rPr>
              <w:t>400</w:t>
            </w:r>
          </w:p>
        </w:tc>
        <w:tc>
          <w:tcPr>
            <w:tcW w:w="1160" w:type="dxa"/>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yellow"/>
                <w:lang w:val="en-US" w:eastAsia="zh-CN"/>
              </w:rPr>
            </w:pPr>
            <w:r>
              <w:rPr>
                <w:rFonts w:hint="eastAsia" w:cs="Times New Roman"/>
                <w:color w:val="auto"/>
                <w:kern w:val="0"/>
                <w:sz w:val="21"/>
                <w:szCs w:val="21"/>
                <w:highlight w:val="none"/>
                <w:lang w:val="en-US" w:eastAsia="zh-CN" w:bidi="ar-SA"/>
              </w:rPr>
              <w:t>0.93</w:t>
            </w:r>
          </w:p>
        </w:tc>
        <w:tc>
          <w:tcPr>
            <w:tcW w:w="3667" w:type="dxa"/>
            <w:vMerge w:val="continue"/>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cantSplit/>
          <w:trHeight w:val="285" w:hRule="atLeast"/>
        </w:trPr>
        <w:tc>
          <w:tcPr>
            <w:tcW w:w="856" w:type="dxa"/>
            <w:vMerge w:val="continue"/>
            <w:tcBorders>
              <w:tl2br w:val="nil"/>
              <w:tr2bl w:val="nil"/>
            </w:tcBorders>
            <w:noWrap w:val="0"/>
            <w:textDirection w:val="tbRlV"/>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c>
          <w:tcPr>
            <w:tcW w:w="904" w:type="dxa"/>
            <w:vMerge w:val="continue"/>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kern w:val="0"/>
                <w:sz w:val="21"/>
                <w:szCs w:val="21"/>
                <w:highlight w:val="yellow"/>
              </w:rPr>
            </w:pPr>
          </w:p>
        </w:tc>
        <w:tc>
          <w:tcPr>
            <w:tcW w:w="1361" w:type="dxa"/>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yellow"/>
              </w:rPr>
            </w:pPr>
            <w:r>
              <w:rPr>
                <w:rFonts w:hint="eastAsia" w:cs="Times New Roman"/>
                <w:color w:val="auto"/>
                <w:sz w:val="21"/>
                <w:szCs w:val="21"/>
                <w:highlight w:val="none"/>
                <w:lang w:val="en-US" w:eastAsia="zh-CN"/>
              </w:rPr>
              <w:t>BOD</w:t>
            </w:r>
            <w:r>
              <w:rPr>
                <w:rFonts w:hint="eastAsia" w:cs="Times New Roman"/>
                <w:color w:val="auto"/>
                <w:sz w:val="21"/>
                <w:szCs w:val="21"/>
                <w:highlight w:val="none"/>
                <w:vertAlign w:val="subscript"/>
                <w:lang w:val="en-US" w:eastAsia="zh-CN"/>
              </w:rPr>
              <w:t>5</w:t>
            </w:r>
          </w:p>
        </w:tc>
        <w:tc>
          <w:tcPr>
            <w:tcW w:w="748" w:type="dxa"/>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yellow"/>
              </w:rPr>
            </w:pPr>
            <w:r>
              <w:rPr>
                <w:rFonts w:hint="eastAsia" w:cs="Times New Roman"/>
                <w:color w:val="auto"/>
                <w:sz w:val="21"/>
                <w:szCs w:val="21"/>
                <w:highlight w:val="none"/>
                <w:lang w:val="en-US" w:eastAsia="zh-CN"/>
              </w:rPr>
              <w:t>200</w:t>
            </w:r>
          </w:p>
        </w:tc>
        <w:tc>
          <w:tcPr>
            <w:tcW w:w="1160" w:type="dxa"/>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yellow"/>
                <w:lang w:val="en-US" w:eastAsia="zh-CN"/>
              </w:rPr>
            </w:pPr>
            <w:r>
              <w:rPr>
                <w:rFonts w:hint="eastAsia" w:cs="Times New Roman"/>
                <w:color w:val="auto"/>
                <w:kern w:val="0"/>
                <w:sz w:val="21"/>
                <w:szCs w:val="21"/>
                <w:highlight w:val="none"/>
                <w:lang w:val="en-US" w:eastAsia="zh-CN" w:bidi="ar-SA"/>
              </w:rPr>
              <w:t>0.47</w:t>
            </w:r>
          </w:p>
        </w:tc>
        <w:tc>
          <w:tcPr>
            <w:tcW w:w="3667" w:type="dxa"/>
            <w:vMerge w:val="continue"/>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cantSplit/>
          <w:trHeight w:val="270" w:hRule="atLeast"/>
        </w:trPr>
        <w:tc>
          <w:tcPr>
            <w:tcW w:w="856" w:type="dxa"/>
            <w:vMerge w:val="continue"/>
            <w:tcBorders>
              <w:tl2br w:val="nil"/>
              <w:tr2bl w:val="nil"/>
            </w:tcBorders>
            <w:noWrap w:val="0"/>
            <w:textDirection w:val="tbRlV"/>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c>
          <w:tcPr>
            <w:tcW w:w="904" w:type="dxa"/>
            <w:vMerge w:val="continue"/>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kern w:val="0"/>
                <w:sz w:val="21"/>
                <w:szCs w:val="21"/>
                <w:highlight w:val="yellow"/>
              </w:rPr>
            </w:pPr>
          </w:p>
        </w:tc>
        <w:tc>
          <w:tcPr>
            <w:tcW w:w="1361" w:type="dxa"/>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yellow"/>
              </w:rPr>
            </w:pPr>
            <w:r>
              <w:rPr>
                <w:rFonts w:hint="default" w:ascii="Times New Roman" w:hAnsi="Times New Roman" w:eastAsia="宋体" w:cs="Times New Roman"/>
                <w:color w:val="auto"/>
                <w:sz w:val="21"/>
                <w:szCs w:val="21"/>
                <w:highlight w:val="none"/>
                <w:lang w:val="en-US"/>
              </w:rPr>
              <w:t>SS</w:t>
            </w:r>
          </w:p>
        </w:tc>
        <w:tc>
          <w:tcPr>
            <w:tcW w:w="748" w:type="dxa"/>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yellow"/>
              </w:rPr>
            </w:pPr>
            <w:r>
              <w:rPr>
                <w:rFonts w:hint="eastAsia" w:cs="Times New Roman"/>
                <w:color w:val="auto"/>
                <w:sz w:val="21"/>
                <w:szCs w:val="21"/>
                <w:highlight w:val="none"/>
                <w:lang w:val="en-US" w:eastAsia="zh-CN"/>
              </w:rPr>
              <w:t>300</w:t>
            </w:r>
          </w:p>
        </w:tc>
        <w:tc>
          <w:tcPr>
            <w:tcW w:w="1160" w:type="dxa"/>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yellow"/>
                <w:lang w:val="en-US" w:eastAsia="zh-CN"/>
              </w:rPr>
            </w:pPr>
            <w:r>
              <w:rPr>
                <w:rFonts w:hint="eastAsia" w:cs="Times New Roman"/>
                <w:color w:val="auto"/>
                <w:kern w:val="0"/>
                <w:sz w:val="21"/>
                <w:szCs w:val="21"/>
                <w:highlight w:val="none"/>
                <w:lang w:val="en-US" w:eastAsia="zh-CN" w:bidi="ar-SA"/>
              </w:rPr>
              <w:t>0.70</w:t>
            </w:r>
          </w:p>
        </w:tc>
        <w:tc>
          <w:tcPr>
            <w:tcW w:w="3667" w:type="dxa"/>
            <w:vMerge w:val="continue"/>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cantSplit/>
          <w:trHeight w:val="302" w:hRule="atLeast"/>
        </w:trPr>
        <w:tc>
          <w:tcPr>
            <w:tcW w:w="856" w:type="dxa"/>
            <w:vMerge w:val="continue"/>
            <w:tcBorders>
              <w:tl2br w:val="nil"/>
              <w:tr2bl w:val="nil"/>
            </w:tcBorders>
            <w:noWrap w:val="0"/>
            <w:textDirection w:val="tbRlV"/>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c>
          <w:tcPr>
            <w:tcW w:w="904" w:type="dxa"/>
            <w:vMerge w:val="continue"/>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kern w:val="0"/>
                <w:sz w:val="21"/>
                <w:szCs w:val="21"/>
                <w:highlight w:val="yellow"/>
              </w:rPr>
            </w:pPr>
          </w:p>
        </w:tc>
        <w:tc>
          <w:tcPr>
            <w:tcW w:w="1361" w:type="dxa"/>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yellow"/>
              </w:rPr>
            </w:pPr>
            <w:r>
              <w:rPr>
                <w:rFonts w:hint="default" w:ascii="Times New Roman" w:hAnsi="Times New Roman" w:cs="Times New Roman"/>
                <w:color w:val="auto"/>
                <w:sz w:val="21"/>
                <w:szCs w:val="21"/>
                <w:highlight w:val="none"/>
                <w:lang w:val="en-US" w:eastAsia="zh-CN"/>
              </w:rPr>
              <w:t>氨氮</w:t>
            </w:r>
          </w:p>
        </w:tc>
        <w:tc>
          <w:tcPr>
            <w:tcW w:w="748" w:type="dxa"/>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yellow"/>
                <w:lang w:val="en-US"/>
              </w:rPr>
            </w:pPr>
            <w:r>
              <w:rPr>
                <w:rFonts w:hint="eastAsia" w:cs="Times New Roman"/>
                <w:color w:val="auto"/>
                <w:sz w:val="21"/>
                <w:szCs w:val="21"/>
                <w:highlight w:val="none"/>
                <w:lang w:val="en-US" w:eastAsia="zh-CN"/>
              </w:rPr>
              <w:t>25</w:t>
            </w:r>
          </w:p>
        </w:tc>
        <w:tc>
          <w:tcPr>
            <w:tcW w:w="1160" w:type="dxa"/>
            <w:tcBorders>
              <w:tl2br w:val="nil"/>
              <w:tr2bl w:val="nil"/>
            </w:tcBorders>
            <w:noWrap w:val="0"/>
            <w:vAlign w:val="center"/>
          </w:tcPr>
          <w:p>
            <w:pPr>
              <w:keepNext w:val="0"/>
              <w:keepLines w:val="0"/>
              <w:pageBreakBefore w:val="0"/>
              <w:widowControl/>
              <w:suppressLineNumbers w:val="0"/>
              <w:kinsoku/>
              <w:wordWrap/>
              <w:overflowPunct/>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yellow"/>
                <w:lang w:val="en-US" w:eastAsia="zh-CN"/>
              </w:rPr>
            </w:pPr>
            <w:r>
              <w:rPr>
                <w:rFonts w:hint="eastAsia" w:cs="Times New Roman"/>
                <w:color w:val="auto"/>
                <w:kern w:val="0"/>
                <w:sz w:val="21"/>
                <w:szCs w:val="21"/>
                <w:highlight w:val="none"/>
                <w:lang w:val="en-US" w:eastAsia="zh-CN" w:bidi="ar-SA"/>
              </w:rPr>
              <w:t>0.058</w:t>
            </w:r>
          </w:p>
        </w:tc>
        <w:tc>
          <w:tcPr>
            <w:tcW w:w="3667" w:type="dxa"/>
            <w:vMerge w:val="continue"/>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cantSplit/>
          <w:trHeight w:val="302" w:hRule="atLeast"/>
        </w:trPr>
        <w:tc>
          <w:tcPr>
            <w:tcW w:w="856" w:type="dxa"/>
            <w:vMerge w:val="continue"/>
            <w:tcBorders>
              <w:tl2br w:val="nil"/>
              <w:tr2bl w:val="nil"/>
            </w:tcBorders>
            <w:noWrap w:val="0"/>
            <w:textDirection w:val="tbRlV"/>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c>
          <w:tcPr>
            <w:tcW w:w="904"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牛尿</w:t>
            </w:r>
          </w:p>
        </w:tc>
        <w:tc>
          <w:tcPr>
            <w:tcW w:w="1361" w:type="dxa"/>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排放</w:t>
            </w:r>
            <w:r>
              <w:rPr>
                <w:rFonts w:hint="default" w:ascii="Times New Roman" w:hAnsi="Times New Roman" w:cs="Times New Roman"/>
                <w:color w:val="auto"/>
                <w:kern w:val="0"/>
                <w:sz w:val="21"/>
                <w:szCs w:val="21"/>
                <w:highlight w:val="none"/>
                <w:lang w:val="en-US" w:eastAsia="zh-CN"/>
              </w:rPr>
              <w:t>量</w:t>
            </w:r>
          </w:p>
        </w:tc>
        <w:tc>
          <w:tcPr>
            <w:tcW w:w="748"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c>
          <w:tcPr>
            <w:tcW w:w="1160" w:type="dxa"/>
            <w:tcBorders>
              <w:tl2br w:val="nil"/>
              <w:tr2bl w:val="nil"/>
            </w:tcBorders>
            <w:noWrap w:val="0"/>
            <w:vAlign w:val="center"/>
          </w:tcPr>
          <w:p>
            <w:pPr>
              <w:keepNext w:val="0"/>
              <w:keepLines w:val="0"/>
              <w:pageBreakBefore w:val="0"/>
              <w:widowControl/>
              <w:suppressLineNumbers w:val="0"/>
              <w:kinsoku/>
              <w:wordWrap/>
              <w:overflowPunct/>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w:t>
            </w:r>
          </w:p>
        </w:tc>
        <w:tc>
          <w:tcPr>
            <w:tcW w:w="3667"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牛尿进入垫料中，</w:t>
            </w:r>
            <w:r>
              <w:rPr>
                <w:rFonts w:hint="default" w:ascii="Times New Roman" w:hAnsi="Times New Roman" w:eastAsia="宋体" w:cs="Times New Roman"/>
                <w:color w:val="auto"/>
                <w:sz w:val="21"/>
                <w:szCs w:val="21"/>
                <w:highlight w:val="none"/>
                <w:lang w:val="en-US" w:eastAsia="zh-CN"/>
              </w:rPr>
              <w:t>部分自然蒸发，剩余</w:t>
            </w:r>
            <w:r>
              <w:rPr>
                <w:rFonts w:hint="eastAsia" w:ascii="Times New Roman" w:hAnsi="Times New Roman" w:eastAsia="宋体" w:cs="Times New Roman"/>
                <w:color w:val="auto"/>
                <w:sz w:val="21"/>
                <w:szCs w:val="21"/>
                <w:highlight w:val="none"/>
                <w:lang w:val="en-US" w:eastAsia="zh-CN"/>
              </w:rPr>
              <w:t>部分与垫料</w:t>
            </w:r>
            <w:r>
              <w:rPr>
                <w:rFonts w:hint="default" w:ascii="Times New Roman" w:hAnsi="Times New Roman" w:eastAsia="宋体" w:cs="Times New Roman"/>
                <w:color w:val="auto"/>
                <w:sz w:val="21"/>
                <w:szCs w:val="21"/>
                <w:highlight w:val="none"/>
                <w:lang w:val="en-US" w:eastAsia="zh-CN"/>
              </w:rPr>
              <w:t>一起进入堆粪场，不外排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cantSplit/>
          <w:trHeight w:val="666" w:hRule="atLeast"/>
        </w:trPr>
        <w:tc>
          <w:tcPr>
            <w:tcW w:w="856" w:type="dxa"/>
            <w:vMerge w:val="restart"/>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w:t>
            </w:r>
          </w:p>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体</w:t>
            </w:r>
          </w:p>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w:t>
            </w:r>
          </w:p>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弃</w:t>
            </w:r>
          </w:p>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物</w:t>
            </w:r>
          </w:p>
        </w:tc>
        <w:tc>
          <w:tcPr>
            <w:tcW w:w="904"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圈舍</w:t>
            </w:r>
          </w:p>
        </w:tc>
        <w:tc>
          <w:tcPr>
            <w:tcW w:w="1361"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粪污</w:t>
            </w:r>
          </w:p>
        </w:tc>
        <w:tc>
          <w:tcPr>
            <w:tcW w:w="748"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60"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7507.32</w:t>
            </w:r>
          </w:p>
        </w:tc>
        <w:tc>
          <w:tcPr>
            <w:tcW w:w="3667"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采用干清粪工艺，清理的</w:t>
            </w:r>
            <w:r>
              <w:rPr>
                <w:rFonts w:hint="default" w:ascii="Times New Roman" w:hAnsi="Times New Roman" w:eastAsia="宋体" w:cs="Times New Roman"/>
                <w:color w:val="auto"/>
                <w:sz w:val="21"/>
                <w:szCs w:val="21"/>
                <w:highlight w:val="none"/>
                <w:lang w:eastAsia="zh-CN"/>
              </w:rPr>
              <w:t>粪污</w:t>
            </w:r>
            <w:r>
              <w:rPr>
                <w:rFonts w:hint="default" w:ascii="Times New Roman" w:hAnsi="Times New Roman" w:eastAsia="宋体" w:cs="Times New Roman"/>
                <w:color w:val="auto"/>
                <w:sz w:val="21"/>
                <w:szCs w:val="21"/>
                <w:highlight w:val="none"/>
              </w:rPr>
              <w:t>暂存于</w:t>
            </w:r>
            <w:r>
              <w:rPr>
                <w:rFonts w:hint="default" w:ascii="Times New Roman" w:hAnsi="Times New Roman" w:cs="Times New Roman"/>
                <w:color w:val="auto"/>
                <w:sz w:val="21"/>
                <w:szCs w:val="21"/>
                <w:highlight w:val="none"/>
                <w:lang w:eastAsia="zh-CN"/>
              </w:rPr>
              <w:t>堆粪场</w:t>
            </w:r>
            <w:r>
              <w:rPr>
                <w:rFonts w:hint="default" w:ascii="Times New Roman" w:hAnsi="Times New Roman" w:eastAsia="宋体" w:cs="Times New Roman"/>
                <w:color w:val="auto"/>
                <w:sz w:val="21"/>
                <w:szCs w:val="21"/>
                <w:highlight w:val="none"/>
              </w:rPr>
              <w:t>采用</w:t>
            </w:r>
            <w:r>
              <w:rPr>
                <w:rFonts w:hint="default" w:ascii="Times New Roman" w:hAnsi="Times New Roman" w:cs="Times New Roman"/>
                <w:color w:val="auto"/>
                <w:sz w:val="21"/>
                <w:szCs w:val="21"/>
                <w:highlight w:val="none"/>
                <w:lang w:eastAsia="zh-CN"/>
              </w:rPr>
              <w:t>好氧发酵</w:t>
            </w:r>
            <w:r>
              <w:rPr>
                <w:rFonts w:hint="default" w:ascii="Times New Roman" w:hAnsi="Times New Roman" w:eastAsia="宋体" w:cs="Times New Roman"/>
                <w:color w:val="auto"/>
                <w:sz w:val="21"/>
                <w:szCs w:val="21"/>
                <w:highlight w:val="none"/>
              </w:rPr>
              <w:t>后</w:t>
            </w:r>
            <w:r>
              <w:rPr>
                <w:rFonts w:hint="eastAsia" w:cs="Times New Roman"/>
                <w:color w:val="auto"/>
                <w:sz w:val="21"/>
                <w:szCs w:val="21"/>
                <w:highlight w:val="none"/>
                <w:lang w:eastAsia="zh-CN"/>
              </w:rPr>
              <w:t>用于垫料及还田利用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cantSplit/>
          <w:trHeight w:val="657" w:hRule="atLeast"/>
        </w:trPr>
        <w:tc>
          <w:tcPr>
            <w:tcW w:w="856" w:type="dxa"/>
            <w:vMerge w:val="continue"/>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yellow"/>
              </w:rPr>
            </w:pPr>
          </w:p>
        </w:tc>
        <w:tc>
          <w:tcPr>
            <w:tcW w:w="904"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人员</w:t>
            </w:r>
          </w:p>
        </w:tc>
        <w:tc>
          <w:tcPr>
            <w:tcW w:w="1361"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748"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60"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9.125</w:t>
            </w:r>
          </w:p>
        </w:tc>
        <w:tc>
          <w:tcPr>
            <w:tcW w:w="3667"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经</w:t>
            </w:r>
            <w:r>
              <w:rPr>
                <w:rFonts w:hint="default" w:ascii="Times New Roman" w:hAnsi="Times New Roman" w:cs="Times New Roman"/>
                <w:color w:val="auto"/>
                <w:sz w:val="21"/>
                <w:szCs w:val="21"/>
                <w:highlight w:val="none"/>
                <w:lang w:eastAsia="zh-CN"/>
              </w:rPr>
              <w:t>养殖基地</w:t>
            </w:r>
            <w:r>
              <w:rPr>
                <w:rFonts w:hint="default" w:ascii="Times New Roman" w:hAnsi="Times New Roman" w:eastAsia="宋体" w:cs="Times New Roman"/>
                <w:color w:val="auto"/>
                <w:sz w:val="21"/>
                <w:szCs w:val="21"/>
                <w:highlight w:val="none"/>
              </w:rPr>
              <w:t>内垃圾桶集中收集后，由当地环卫部门统一清运。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cantSplit/>
          <w:trHeight w:val="390" w:hRule="atLeast"/>
        </w:trPr>
        <w:tc>
          <w:tcPr>
            <w:tcW w:w="856" w:type="dxa"/>
            <w:vMerge w:val="continue"/>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yellow"/>
              </w:rPr>
            </w:pPr>
          </w:p>
        </w:tc>
        <w:tc>
          <w:tcPr>
            <w:tcW w:w="904"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圈舍</w:t>
            </w:r>
          </w:p>
        </w:tc>
        <w:tc>
          <w:tcPr>
            <w:tcW w:w="1361"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病牛死尸</w:t>
            </w:r>
          </w:p>
        </w:tc>
        <w:tc>
          <w:tcPr>
            <w:tcW w:w="748"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60"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24</w:t>
            </w:r>
          </w:p>
        </w:tc>
        <w:tc>
          <w:tcPr>
            <w:tcW w:w="3667"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病死牛尸体由安全填埋井填埋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cantSplit/>
          <w:trHeight w:val="590" w:hRule="atLeast"/>
        </w:trPr>
        <w:tc>
          <w:tcPr>
            <w:tcW w:w="856" w:type="dxa"/>
            <w:vMerge w:val="continue"/>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yellow"/>
              </w:rPr>
            </w:pPr>
          </w:p>
        </w:tc>
        <w:tc>
          <w:tcPr>
            <w:tcW w:w="904"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布袋除尘</w:t>
            </w:r>
          </w:p>
        </w:tc>
        <w:tc>
          <w:tcPr>
            <w:tcW w:w="1361"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布袋除尘收集的粉尘</w:t>
            </w:r>
          </w:p>
        </w:tc>
        <w:tc>
          <w:tcPr>
            <w:tcW w:w="748"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160"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1.089</w:t>
            </w:r>
          </w:p>
        </w:tc>
        <w:tc>
          <w:tcPr>
            <w:tcW w:w="3667"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布袋除尘收集的粉尘作为饲料用于</w:t>
            </w:r>
            <w:r>
              <w:rPr>
                <w:rFonts w:hint="default" w:ascii="Times New Roman" w:hAnsi="Times New Roman" w:cs="Times New Roman"/>
                <w:color w:val="auto"/>
                <w:sz w:val="21"/>
                <w:szCs w:val="21"/>
                <w:highlight w:val="none"/>
                <w:lang w:val="en-US" w:eastAsia="zh-CN"/>
              </w:rPr>
              <w:t>奶牛</w:t>
            </w:r>
            <w:r>
              <w:rPr>
                <w:rFonts w:hint="default" w:ascii="Times New Roman" w:hAnsi="Times New Roman" w:eastAsia="宋体" w:cs="Times New Roman"/>
                <w:color w:val="auto"/>
                <w:sz w:val="21"/>
                <w:szCs w:val="21"/>
                <w:highlight w:val="none"/>
                <w:lang w:val="en-US" w:eastAsia="zh-CN"/>
              </w:rPr>
              <w:t>饲养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cantSplit/>
          <w:trHeight w:val="1176" w:hRule="atLeast"/>
        </w:trPr>
        <w:tc>
          <w:tcPr>
            <w:tcW w:w="856" w:type="dxa"/>
            <w:vMerge w:val="continue"/>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yellow"/>
              </w:rPr>
            </w:pPr>
          </w:p>
        </w:tc>
        <w:tc>
          <w:tcPr>
            <w:tcW w:w="904"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病牛隔离室、兽药室</w:t>
            </w:r>
          </w:p>
        </w:tc>
        <w:tc>
          <w:tcPr>
            <w:tcW w:w="1361"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医疗废物</w:t>
            </w:r>
          </w:p>
        </w:tc>
        <w:tc>
          <w:tcPr>
            <w:tcW w:w="748"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60"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1.1</w:t>
            </w:r>
          </w:p>
        </w:tc>
        <w:tc>
          <w:tcPr>
            <w:tcW w:w="3667"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项目设置</w:t>
            </w:r>
            <w:r>
              <w:rPr>
                <w:rFonts w:hint="default" w:ascii="Times New Roman" w:hAnsi="Times New Roman" w:eastAsia="宋体" w:cs="Times New Roman"/>
                <w:color w:val="auto"/>
                <w:sz w:val="21"/>
                <w:szCs w:val="21"/>
                <w:highlight w:val="none"/>
                <w:lang w:eastAsia="zh-CN"/>
              </w:rPr>
              <w:t>医疗废物暂存间</w:t>
            </w:r>
            <w:r>
              <w:rPr>
                <w:rFonts w:hint="default" w:ascii="Times New Roman" w:hAnsi="Times New Roman" w:eastAsia="宋体" w:cs="Times New Roman"/>
                <w:color w:val="auto"/>
                <w:sz w:val="21"/>
                <w:szCs w:val="21"/>
                <w:highlight w:val="none"/>
              </w:rPr>
              <w:t>，对医疗废弃物进行分类暂存。医疗废物最终交由有资质单位处置。</w:t>
            </w:r>
          </w:p>
        </w:tc>
      </w:tr>
    </w:tbl>
    <w:p>
      <w:pPr>
        <w:pStyle w:val="6"/>
        <w:keepNext/>
        <w:keepLines/>
        <w:pageBreakBefore w:val="0"/>
        <w:widowControl w:val="0"/>
        <w:kinsoku/>
        <w:wordWrap/>
        <w:overflowPunct/>
        <w:topLinePunct w:val="0"/>
        <w:autoSpaceDE/>
        <w:autoSpaceDN/>
        <w:bidi w:val="0"/>
        <w:adjustRightInd w:val="0"/>
        <w:snapToGrid w:val="0"/>
        <w:spacing w:before="157" w:beforeLines="50"/>
        <w:ind w:left="0" w:leftChars="0" w:right="0" w:rightChars="0" w:firstLine="0" w:firstLineChars="0"/>
        <w:jc w:val="both"/>
        <w:textAlignment w:val="auto"/>
        <w:rPr>
          <w:rFonts w:hint="default" w:ascii="Times New Roman" w:hAnsi="Times New Roman" w:eastAsia="宋体" w:cs="Times New Roman"/>
          <w:snapToGrid/>
          <w:color w:val="auto"/>
          <w:kern w:val="2"/>
          <w:highlight w:val="none"/>
          <w:lang w:val="en-US" w:eastAsia="zh-CN" w:bidi="ar-SA"/>
        </w:rPr>
      </w:pPr>
      <w:bookmarkStart w:id="164" w:name="_Toc2179"/>
      <w:bookmarkStart w:id="165" w:name="_Toc24431"/>
      <w:r>
        <w:rPr>
          <w:rFonts w:hint="default" w:ascii="Times New Roman" w:hAnsi="Times New Roman" w:eastAsia="宋体" w:cs="Times New Roman"/>
          <w:snapToGrid/>
          <w:color w:val="auto"/>
          <w:kern w:val="2"/>
          <w:highlight w:val="none"/>
          <w:lang w:val="en-US" w:eastAsia="zh-CN" w:bidi="ar-SA"/>
        </w:rPr>
        <w:t>非正常工况污染物排放情况</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480" w:firstLineChars="200"/>
        <w:jc w:val="both"/>
        <w:textAlignment w:val="baseline"/>
        <w:rPr>
          <w:rFonts w:hint="default" w:ascii="Times New Roman" w:hAnsi="Times New Roman" w:eastAsia="宋体" w:cs="Times New Roman"/>
          <w:color w:val="auto"/>
          <w:spacing w:val="0"/>
          <w:position w:val="0"/>
          <w:sz w:val="24"/>
          <w:szCs w:val="24"/>
          <w:highlight w:val="none"/>
        </w:rPr>
      </w:pPr>
      <w:r>
        <w:rPr>
          <w:rFonts w:hint="default" w:ascii="Times New Roman" w:hAnsi="Times New Roman" w:eastAsia="宋体" w:cs="Times New Roman"/>
          <w:color w:val="auto"/>
          <w:spacing w:val="0"/>
          <w:position w:val="0"/>
          <w:sz w:val="24"/>
          <w:szCs w:val="24"/>
          <w:highlight w:val="none"/>
        </w:rPr>
        <w:t>本项目养殖过程中涉及非正常工况的生产主要为</w:t>
      </w:r>
      <w:r>
        <w:rPr>
          <w:rFonts w:hint="default" w:ascii="Times New Roman" w:hAnsi="Times New Roman" w:eastAsia="宋体" w:cs="Times New Roman"/>
          <w:color w:val="auto"/>
          <w:spacing w:val="0"/>
          <w:position w:val="0"/>
          <w:sz w:val="24"/>
          <w:szCs w:val="24"/>
          <w:highlight w:val="none"/>
          <w:lang w:eastAsia="zh-CN"/>
        </w:rPr>
        <w:t>饲料加工废气处理</w:t>
      </w:r>
      <w:r>
        <w:rPr>
          <w:rFonts w:hint="default" w:ascii="Times New Roman" w:hAnsi="Times New Roman" w:eastAsia="宋体" w:cs="Times New Roman"/>
          <w:color w:val="auto"/>
          <w:spacing w:val="0"/>
          <w:position w:val="0"/>
          <w:sz w:val="24"/>
          <w:szCs w:val="24"/>
          <w:highlight w:val="none"/>
        </w:rPr>
        <w:t>设备</w:t>
      </w:r>
      <w:r>
        <w:rPr>
          <w:rFonts w:hint="eastAsia" w:cs="Times New Roman"/>
          <w:color w:val="auto"/>
          <w:spacing w:val="0"/>
          <w:position w:val="0"/>
          <w:sz w:val="24"/>
          <w:szCs w:val="24"/>
          <w:highlight w:val="none"/>
          <w:lang w:val="en-US" w:eastAsia="zh-CN"/>
        </w:rPr>
        <w:t>运行</w:t>
      </w:r>
      <w:r>
        <w:rPr>
          <w:rFonts w:hint="default" w:ascii="Times New Roman" w:hAnsi="Times New Roman" w:eastAsia="宋体" w:cs="Times New Roman"/>
          <w:color w:val="auto"/>
          <w:spacing w:val="0"/>
          <w:position w:val="0"/>
          <w:sz w:val="24"/>
          <w:szCs w:val="24"/>
          <w:highlight w:val="none"/>
        </w:rPr>
        <w:t>过程。当废气处理装置发生故障后，废气污染物未经处理后直接排入环境，造成废气非正常排放。本项目非正常(事故)工况，每次不超过0.5h，据此计算非正常工况下大气污染物排放情况见下表。</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auto"/>
          <w:spacing w:val="0"/>
          <w:position w:val="0"/>
          <w:sz w:val="21"/>
          <w:szCs w:val="21"/>
          <w:highlight w:val="none"/>
        </w:rPr>
      </w:pPr>
      <w:r>
        <w:rPr>
          <w:rFonts w:hint="default" w:ascii="Times New Roman" w:hAnsi="Times New Roman" w:eastAsia="宋体" w:cs="Times New Roman"/>
          <w:b/>
          <w:bCs/>
          <w:color w:val="auto"/>
          <w:spacing w:val="0"/>
          <w:position w:val="0"/>
          <w:sz w:val="21"/>
          <w:szCs w:val="21"/>
          <w:highlight w:val="none"/>
        </w:rPr>
        <w:t>表</w:t>
      </w:r>
      <w:r>
        <w:rPr>
          <w:rFonts w:hint="default" w:ascii="Times New Roman" w:hAnsi="Times New Roman" w:eastAsia="宋体" w:cs="Times New Roman"/>
          <w:b/>
          <w:bCs/>
          <w:color w:val="auto"/>
          <w:spacing w:val="0"/>
          <w:position w:val="0"/>
          <w:sz w:val="21"/>
          <w:szCs w:val="21"/>
          <w:highlight w:val="none"/>
          <w:lang w:val="en-US" w:eastAsia="zh-CN"/>
        </w:rPr>
        <w:t xml:space="preserve">3.3-10    </w:t>
      </w:r>
      <w:r>
        <w:rPr>
          <w:rFonts w:hint="default" w:ascii="Times New Roman" w:hAnsi="Times New Roman" w:eastAsia="宋体" w:cs="Times New Roman"/>
          <w:b/>
          <w:bCs/>
          <w:color w:val="auto"/>
          <w:spacing w:val="0"/>
          <w:position w:val="0"/>
          <w:sz w:val="21"/>
          <w:szCs w:val="21"/>
          <w:highlight w:val="none"/>
        </w:rPr>
        <w:t>非正常工况污染物排放汇总一览表</w:t>
      </w:r>
    </w:p>
    <w:tbl>
      <w:tblPr>
        <w:tblStyle w:val="117"/>
        <w:tblW w:w="8509" w:type="dxa"/>
        <w:tblInd w:w="11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066"/>
        <w:gridCol w:w="972"/>
        <w:gridCol w:w="805"/>
        <w:gridCol w:w="1241"/>
        <w:gridCol w:w="1104"/>
        <w:gridCol w:w="887"/>
        <w:gridCol w:w="1104"/>
        <w:gridCol w:w="1330"/>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06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非正常</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排放源</w:t>
            </w:r>
          </w:p>
        </w:tc>
        <w:tc>
          <w:tcPr>
            <w:tcW w:w="97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非正常排放原因</w:t>
            </w:r>
          </w:p>
        </w:tc>
        <w:tc>
          <w:tcPr>
            <w:tcW w:w="80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0"/>
                <w:position w:val="0"/>
                <w:sz w:val="21"/>
                <w:szCs w:val="21"/>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污染物</w:t>
            </w:r>
          </w:p>
        </w:tc>
        <w:tc>
          <w:tcPr>
            <w:tcW w:w="124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非正常排放浓度</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/(mg/m</w:t>
            </w:r>
            <w:r>
              <w:rPr>
                <w:rFonts w:hint="default" w:ascii="Times New Roman" w:hAnsi="Times New Roman" w:eastAsia="宋体" w:cs="Times New Roman"/>
                <w:color w:val="auto"/>
                <w:spacing w:val="0"/>
                <w:position w:val="0"/>
                <w:sz w:val="21"/>
                <w:szCs w:val="21"/>
                <w:highlight w:val="none"/>
                <w:vertAlign w:val="superscript"/>
              </w:rPr>
              <w:t>3</w:t>
            </w:r>
            <w:r>
              <w:rPr>
                <w:rFonts w:hint="default" w:ascii="Times New Roman" w:hAnsi="Times New Roman" w:eastAsia="宋体" w:cs="Times New Roman"/>
                <w:color w:val="auto"/>
                <w:spacing w:val="0"/>
                <w:position w:val="0"/>
                <w:sz w:val="21"/>
                <w:szCs w:val="21"/>
                <w:highlight w:val="none"/>
              </w:rPr>
              <w:t>)</w:t>
            </w:r>
          </w:p>
        </w:tc>
        <w:tc>
          <w:tcPr>
            <w:tcW w:w="110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非正常排放速率</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/(kg/h)</w:t>
            </w:r>
          </w:p>
        </w:tc>
        <w:tc>
          <w:tcPr>
            <w:tcW w:w="88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单次持</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续时间</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/h</w:t>
            </w:r>
          </w:p>
        </w:tc>
        <w:tc>
          <w:tcPr>
            <w:tcW w:w="110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年发生频次/次</w:t>
            </w:r>
          </w:p>
        </w:tc>
        <w:tc>
          <w:tcPr>
            <w:tcW w:w="133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应对措施</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06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0"/>
                <w:position w:val="0"/>
                <w:sz w:val="21"/>
                <w:szCs w:val="21"/>
                <w:highlight w:val="none"/>
                <w:lang w:eastAsia="zh-CN"/>
              </w:rPr>
            </w:pPr>
            <w:r>
              <w:rPr>
                <w:rFonts w:hint="default" w:ascii="Times New Roman" w:hAnsi="Times New Roman" w:eastAsia="宋体" w:cs="Times New Roman"/>
                <w:color w:val="auto"/>
                <w:spacing w:val="0"/>
                <w:position w:val="0"/>
                <w:sz w:val="21"/>
                <w:szCs w:val="21"/>
                <w:highlight w:val="none"/>
                <w:lang w:eastAsia="zh-CN"/>
              </w:rPr>
              <w:t>饲料加工</w:t>
            </w:r>
          </w:p>
        </w:tc>
        <w:tc>
          <w:tcPr>
            <w:tcW w:w="97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废气处理设备故障</w:t>
            </w:r>
          </w:p>
        </w:tc>
        <w:tc>
          <w:tcPr>
            <w:tcW w:w="80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0"/>
                <w:position w:val="0"/>
                <w:sz w:val="21"/>
                <w:szCs w:val="21"/>
                <w:highlight w:val="none"/>
                <w:lang w:eastAsia="zh-CN"/>
              </w:rPr>
            </w:pPr>
            <w:r>
              <w:rPr>
                <w:rFonts w:hint="default" w:ascii="Times New Roman" w:hAnsi="Times New Roman" w:eastAsia="宋体" w:cs="Times New Roman"/>
                <w:color w:val="auto"/>
                <w:spacing w:val="0"/>
                <w:position w:val="0"/>
                <w:sz w:val="21"/>
                <w:szCs w:val="21"/>
                <w:highlight w:val="none"/>
                <w:lang w:eastAsia="zh-CN"/>
              </w:rPr>
              <w:t>颗粒物</w:t>
            </w:r>
          </w:p>
        </w:tc>
        <w:tc>
          <w:tcPr>
            <w:tcW w:w="124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753</w:t>
            </w:r>
          </w:p>
        </w:tc>
        <w:tc>
          <w:tcPr>
            <w:tcW w:w="110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1.51</w:t>
            </w:r>
          </w:p>
        </w:tc>
        <w:tc>
          <w:tcPr>
            <w:tcW w:w="88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0.5</w:t>
            </w:r>
          </w:p>
        </w:tc>
        <w:tc>
          <w:tcPr>
            <w:tcW w:w="110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0"/>
                <w:position w:val="0"/>
                <w:sz w:val="21"/>
                <w:szCs w:val="21"/>
                <w:highlight w:val="none"/>
                <w:lang w:eastAsia="zh-CN"/>
              </w:rPr>
            </w:pPr>
            <w:r>
              <w:rPr>
                <w:rFonts w:hint="default" w:ascii="Times New Roman" w:hAnsi="Times New Roman" w:cs="Times New Roman"/>
                <w:color w:val="auto"/>
                <w:spacing w:val="0"/>
                <w:position w:val="0"/>
                <w:sz w:val="21"/>
                <w:szCs w:val="21"/>
                <w:highlight w:val="none"/>
                <w:lang w:val="en-US" w:eastAsia="zh-CN"/>
              </w:rPr>
              <w:t>2</w:t>
            </w:r>
          </w:p>
        </w:tc>
        <w:tc>
          <w:tcPr>
            <w:tcW w:w="133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暂停生产，维修处理设备</w:t>
            </w:r>
          </w:p>
        </w:tc>
      </w:tr>
    </w:tbl>
    <w:p>
      <w:pPr>
        <w:pStyle w:val="4"/>
        <w:keepNext/>
        <w:keepLines/>
        <w:pageBreakBefore w:val="0"/>
        <w:widowControl w:val="0"/>
        <w:kinsoku/>
        <w:wordWrap/>
        <w:overflowPunct/>
        <w:topLinePunct w:val="0"/>
        <w:autoSpaceDE/>
        <w:autoSpaceDN/>
        <w:bidi w:val="0"/>
        <w:adjustRightInd w:val="0"/>
        <w:snapToGrid w:val="0"/>
        <w:spacing w:before="157" w:beforeLines="50"/>
        <w:ind w:left="0" w:leftChars="0" w:right="0" w:rightChars="0" w:firstLine="0" w:firstLineChars="0"/>
        <w:textAlignment w:val="auto"/>
        <w:rPr>
          <w:rFonts w:hint="default" w:ascii="Times New Roman" w:hAnsi="Times New Roman" w:eastAsia="宋体" w:cs="Times New Roman"/>
          <w:color w:val="auto"/>
          <w:highlight w:val="none"/>
          <w:lang w:val="en-US" w:eastAsia="zh-CN"/>
        </w:rPr>
      </w:pPr>
      <w:bookmarkStart w:id="166" w:name="_Toc21264"/>
      <w:r>
        <w:rPr>
          <w:rFonts w:hint="default" w:ascii="Times New Roman" w:hAnsi="Times New Roman" w:eastAsia="宋体" w:cs="Times New Roman"/>
          <w:color w:val="auto"/>
          <w:highlight w:val="none"/>
          <w:lang w:val="en-US" w:eastAsia="zh-CN"/>
        </w:rPr>
        <w:t>清洁生产</w:t>
      </w:r>
      <w:bookmarkEnd w:id="163"/>
      <w:r>
        <w:rPr>
          <w:rFonts w:hint="default" w:ascii="Times New Roman" w:hAnsi="Times New Roman" w:eastAsia="宋体" w:cs="Times New Roman"/>
          <w:color w:val="auto"/>
          <w:highlight w:val="none"/>
          <w:lang w:val="en-US" w:eastAsia="zh-CN"/>
        </w:rPr>
        <w:t>与循环经济分析</w:t>
      </w:r>
      <w:bookmarkEnd w:id="164"/>
      <w:bookmarkEnd w:id="165"/>
      <w:bookmarkEnd w:id="166"/>
    </w:p>
    <w:p>
      <w:pPr>
        <w:pStyle w:val="5"/>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rPr>
      </w:pPr>
      <w:bookmarkStart w:id="167" w:name="_Toc31727"/>
      <w:bookmarkStart w:id="168" w:name="_Toc173146153"/>
      <w:bookmarkStart w:id="169" w:name="_Toc75677895"/>
      <w:bookmarkStart w:id="170" w:name="_Toc75504100"/>
      <w:bookmarkStart w:id="171" w:name="_Toc173148304"/>
      <w:bookmarkStart w:id="172" w:name="_Toc160884726"/>
      <w:bookmarkStart w:id="173" w:name="_Toc118026528"/>
      <w:r>
        <w:rPr>
          <w:rFonts w:hint="default" w:ascii="Times New Roman" w:hAnsi="Times New Roman" w:eastAsia="宋体" w:cs="Times New Roman"/>
          <w:color w:val="auto"/>
          <w:highlight w:val="none"/>
        </w:rPr>
        <w:t>清洁生产的意义</w:t>
      </w:r>
      <w:bookmarkEnd w:id="167"/>
    </w:p>
    <w:p>
      <w:pPr>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清洁生产是贯彻可持续发展战略方针的重要举措。清洁生产是指将综合预防的环境策略持续地应用于生产过程和产品中，以便减少对人类和环境的风险性。它主要包括生产过程和产品二个部分。对生产过程而言，清洁生产包括节约原材料和能源，淘汰有毒原材料并在全部排放物和废物离开生产过程以前减少它的数量和毒性；对产品而言，清洁生产策略旨在减少产品在整个生产周期过程（包括从原料提炼到产品的最终处置）中对人类和环境的影响。污染预防是当今世界也是我国政府提倡的环境保护政策。实施清洁生产是可持续发展战略的要求，力求工业提高能效，开发更清洁的技术，更新、代替对环境有害的产品和原材料，实现环境和资源的保护和有效管理；实行清洁生产是控制环境污染的有效手段；实行清洁生产可大大降低末端处理的负担；实行清洁生产可提高企业的市场竞争力。</w:t>
      </w:r>
    </w:p>
    <w:p>
      <w:pPr>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运营期间实行清洁生产，是指在生产过程中选用清洁原料，采用先进工艺、先进技术和设备。通过生产全过程控制和资源能源的合理配置，最大限度地把原料转化为产品，把污染消灭在生产过程中，达到节能、降耗、减污、增效的目的。</w:t>
      </w:r>
    </w:p>
    <w:p>
      <w:pPr>
        <w:pStyle w:val="5"/>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rPr>
      </w:pPr>
      <w:bookmarkStart w:id="174" w:name="3.4.2_清洁生产水平分析"/>
      <w:bookmarkEnd w:id="174"/>
      <w:bookmarkStart w:id="175" w:name="_Toc15492"/>
      <w:r>
        <w:rPr>
          <w:rFonts w:hint="default" w:ascii="Times New Roman" w:hAnsi="Times New Roman" w:eastAsia="宋体" w:cs="Times New Roman"/>
          <w:color w:val="auto"/>
          <w:highlight w:val="none"/>
        </w:rPr>
        <w:t>清洁生</w:t>
      </w:r>
      <w:bookmarkEnd w:id="175"/>
      <w:r>
        <w:rPr>
          <w:rFonts w:hint="default" w:ascii="Times New Roman" w:hAnsi="Times New Roman" w:eastAsia="宋体" w:cs="Times New Roman"/>
          <w:color w:val="auto"/>
          <w:highlight w:val="none"/>
          <w:lang w:val="en-US" w:eastAsia="zh-CN"/>
        </w:rPr>
        <w:t>产</w:t>
      </w:r>
    </w:p>
    <w:p>
      <w:pPr>
        <w:pStyle w:val="6"/>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lang w:val="en-US" w:eastAsia="zh-CN"/>
        </w:rPr>
      </w:pPr>
      <w:bookmarkStart w:id="176" w:name="3.4.2.1_清洁生产定性评价指标"/>
      <w:bookmarkEnd w:id="176"/>
      <w:r>
        <w:rPr>
          <w:rFonts w:hint="default" w:ascii="Times New Roman" w:hAnsi="Times New Roman" w:eastAsia="宋体" w:cs="Times New Roman"/>
          <w:color w:val="auto"/>
          <w:highlight w:val="none"/>
          <w:lang w:val="en-US" w:eastAsia="zh-CN"/>
        </w:rPr>
        <w:t>清洁生产定性评价指标</w:t>
      </w:r>
    </w:p>
    <w:p>
      <w:pPr>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根据《建设项目环境影响评价清洁生产分析程序》清洁生产评价指标分为六类：生产工艺与装备要求、资源能源利用指标、产品指标、污染物产生指标、废弃物回收利用指标和环境管理要求。目前国家尚未颁布畜禽养殖类清洁生产指标体系，因此，本次环评参考畜禽养殖类有关规范和标准要求作为本项目清洁生产的评价指标。</w:t>
      </w:r>
    </w:p>
    <w:p>
      <w:pPr>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本项目清洁生产</w:t>
      </w:r>
      <w:r>
        <w:rPr>
          <w:rFonts w:hint="default" w:ascii="Times New Roman" w:hAnsi="Times New Roman" w:eastAsia="宋体" w:cs="Times New Roman"/>
          <w:color w:val="auto"/>
          <w:highlight w:val="none"/>
        </w:rPr>
        <w:t>定性</w:t>
      </w:r>
      <w:r>
        <w:rPr>
          <w:rFonts w:hint="default" w:ascii="Times New Roman" w:hAnsi="Times New Roman" w:cs="Times New Roman"/>
          <w:color w:val="auto"/>
          <w:highlight w:val="none"/>
        </w:rPr>
        <w:t>评价统计见表 3.</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-1。</w:t>
      </w:r>
    </w:p>
    <w:p>
      <w:pPr>
        <w:pStyle w:val="50"/>
        <w:pageBreakBefore w:val="0"/>
        <w:widowControl w:val="0"/>
        <w:kinsoku/>
        <w:wordWrap/>
        <w:overflowPunct/>
        <w:topLinePunct w:val="0"/>
        <w:autoSpaceDE/>
        <w:autoSpaceDN/>
        <w:bidi w:val="0"/>
        <w:adjustRightInd w:val="0"/>
        <w:snapToGrid w:val="0"/>
        <w:spacing w:afterLines="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 3.</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-1    项目清洁生产评价指标</w:t>
      </w:r>
    </w:p>
    <w:tbl>
      <w:tblPr>
        <w:tblStyle w:val="39"/>
        <w:tblpPr w:leftFromText="180" w:rightFromText="180" w:vertAnchor="text" w:tblpY="1"/>
        <w:tblOverlap w:val="never"/>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148"/>
        <w:gridCol w:w="4162"/>
        <w:gridCol w:w="2162"/>
        <w:gridCol w:w="110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7" w:hRule="atLeast"/>
        </w:trPr>
        <w:tc>
          <w:tcPr>
            <w:tcW w:w="669"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评价指标</w:t>
            </w:r>
          </w:p>
        </w:tc>
        <w:tc>
          <w:tcPr>
            <w:tcW w:w="2425"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清洁生产指标</w:t>
            </w:r>
          </w:p>
        </w:tc>
        <w:tc>
          <w:tcPr>
            <w:tcW w:w="1260"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本项目设计情况</w:t>
            </w:r>
          </w:p>
        </w:tc>
        <w:tc>
          <w:tcPr>
            <w:tcW w:w="644"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是否符合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6" w:hRule="atLeast"/>
        </w:trPr>
        <w:tc>
          <w:tcPr>
            <w:tcW w:w="669" w:type="pct"/>
            <w:vMerge w:val="restar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生产工艺与装备要求</w:t>
            </w:r>
          </w:p>
        </w:tc>
        <w:tc>
          <w:tcPr>
            <w:tcW w:w="2425"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是否全进全出的饲养方式</w:t>
            </w:r>
          </w:p>
        </w:tc>
        <w:tc>
          <w:tcPr>
            <w:tcW w:w="1260"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c>
          <w:tcPr>
            <w:tcW w:w="644"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6" w:hRule="atLeast"/>
        </w:trPr>
        <w:tc>
          <w:tcPr>
            <w:tcW w:w="669" w:type="pct"/>
            <w:vMerge w:val="continue"/>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p>
        </w:tc>
        <w:tc>
          <w:tcPr>
            <w:tcW w:w="2425"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生产区、粪污治理区、生活区是否分区</w:t>
            </w:r>
          </w:p>
        </w:tc>
        <w:tc>
          <w:tcPr>
            <w:tcW w:w="1260"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c>
          <w:tcPr>
            <w:tcW w:w="644"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2" w:hRule="atLeast"/>
        </w:trPr>
        <w:tc>
          <w:tcPr>
            <w:tcW w:w="669" w:type="pct"/>
            <w:vMerge w:val="continue"/>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p>
        </w:tc>
        <w:tc>
          <w:tcPr>
            <w:tcW w:w="2425"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净、污道是否分开</w:t>
            </w:r>
          </w:p>
        </w:tc>
        <w:tc>
          <w:tcPr>
            <w:tcW w:w="1260"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c>
          <w:tcPr>
            <w:tcW w:w="644"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6" w:hRule="atLeast"/>
        </w:trPr>
        <w:tc>
          <w:tcPr>
            <w:tcW w:w="669" w:type="pct"/>
            <w:vMerge w:val="continue"/>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p>
        </w:tc>
        <w:tc>
          <w:tcPr>
            <w:tcW w:w="2425"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圈舍通风、采光、温度、湿度是否适宜</w:t>
            </w:r>
          </w:p>
        </w:tc>
        <w:tc>
          <w:tcPr>
            <w:tcW w:w="1260"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c>
          <w:tcPr>
            <w:tcW w:w="644"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6" w:hRule="atLeast"/>
        </w:trPr>
        <w:tc>
          <w:tcPr>
            <w:tcW w:w="669" w:type="pct"/>
            <w:vMerge w:val="continue"/>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p>
        </w:tc>
        <w:tc>
          <w:tcPr>
            <w:tcW w:w="2425"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是否使用禁止药品</w:t>
            </w:r>
          </w:p>
        </w:tc>
        <w:tc>
          <w:tcPr>
            <w:tcW w:w="1260"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否</w:t>
            </w:r>
          </w:p>
        </w:tc>
        <w:tc>
          <w:tcPr>
            <w:tcW w:w="644"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6" w:hRule="atLeast"/>
        </w:trPr>
        <w:tc>
          <w:tcPr>
            <w:tcW w:w="669" w:type="pct"/>
            <w:vMerge w:val="continue"/>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p>
        </w:tc>
        <w:tc>
          <w:tcPr>
            <w:tcW w:w="2425"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卫生防护距离内是否在居民聚集区</w:t>
            </w:r>
          </w:p>
        </w:tc>
        <w:tc>
          <w:tcPr>
            <w:tcW w:w="1260"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否</w:t>
            </w:r>
          </w:p>
        </w:tc>
        <w:tc>
          <w:tcPr>
            <w:tcW w:w="644"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669" w:type="pct"/>
            <w:vMerge w:val="restar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产品指标</w:t>
            </w:r>
          </w:p>
        </w:tc>
        <w:tc>
          <w:tcPr>
            <w:tcW w:w="2425"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eastAsia="zh-CN"/>
              </w:rPr>
              <w:t>好氧堆肥</w:t>
            </w:r>
            <w:r>
              <w:rPr>
                <w:rFonts w:hint="default" w:ascii="Times New Roman" w:hAnsi="Times New Roman" w:eastAsia="宋体" w:cs="Times New Roman"/>
                <w:color w:val="auto"/>
                <w:sz w:val="21"/>
                <w:szCs w:val="21"/>
                <w:highlight w:val="none"/>
              </w:rPr>
              <w:t>是否达到《粪便无害化卫生要求》</w:t>
            </w:r>
          </w:p>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（GB7959-2012）相关要求</w:t>
            </w:r>
          </w:p>
        </w:tc>
        <w:tc>
          <w:tcPr>
            <w:tcW w:w="1260"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c>
          <w:tcPr>
            <w:tcW w:w="644"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6" w:hRule="atLeast"/>
        </w:trPr>
        <w:tc>
          <w:tcPr>
            <w:tcW w:w="669" w:type="pct"/>
            <w:vMerge w:val="continue"/>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p>
        </w:tc>
        <w:tc>
          <w:tcPr>
            <w:tcW w:w="2425"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饲料是否符合卫生标准</w:t>
            </w:r>
          </w:p>
        </w:tc>
        <w:tc>
          <w:tcPr>
            <w:tcW w:w="1260"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c>
          <w:tcPr>
            <w:tcW w:w="644"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6" w:hRule="atLeast"/>
        </w:trPr>
        <w:tc>
          <w:tcPr>
            <w:tcW w:w="669" w:type="pct"/>
            <w:vMerge w:val="continue"/>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p>
        </w:tc>
        <w:tc>
          <w:tcPr>
            <w:tcW w:w="2425"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种牛是否来自无疫区</w:t>
            </w:r>
          </w:p>
        </w:tc>
        <w:tc>
          <w:tcPr>
            <w:tcW w:w="1260"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c>
          <w:tcPr>
            <w:tcW w:w="644"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6" w:hRule="atLeast"/>
        </w:trPr>
        <w:tc>
          <w:tcPr>
            <w:tcW w:w="669" w:type="pct"/>
            <w:vMerge w:val="restar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污染物产生指标</w:t>
            </w:r>
          </w:p>
        </w:tc>
        <w:tc>
          <w:tcPr>
            <w:tcW w:w="2425"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废水排放量和浓度是否达标</w:t>
            </w:r>
          </w:p>
        </w:tc>
        <w:tc>
          <w:tcPr>
            <w:tcW w:w="1260"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c>
          <w:tcPr>
            <w:tcW w:w="644"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6" w:hRule="atLeast"/>
        </w:trPr>
        <w:tc>
          <w:tcPr>
            <w:tcW w:w="669" w:type="pct"/>
            <w:vMerge w:val="continue"/>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p>
        </w:tc>
        <w:tc>
          <w:tcPr>
            <w:tcW w:w="2425"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粪污</w:t>
            </w:r>
            <w:r>
              <w:rPr>
                <w:rFonts w:hint="default" w:ascii="Times New Roman" w:hAnsi="Times New Roman" w:eastAsia="宋体" w:cs="Times New Roman"/>
                <w:color w:val="auto"/>
                <w:sz w:val="21"/>
                <w:szCs w:val="21"/>
                <w:highlight w:val="none"/>
              </w:rPr>
              <w:t>等固废是否无害化处置</w:t>
            </w:r>
          </w:p>
        </w:tc>
        <w:tc>
          <w:tcPr>
            <w:tcW w:w="1260"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c>
          <w:tcPr>
            <w:tcW w:w="644"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6" w:hRule="atLeast"/>
        </w:trPr>
        <w:tc>
          <w:tcPr>
            <w:tcW w:w="669" w:type="pct"/>
            <w:vMerge w:val="continue"/>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p>
        </w:tc>
        <w:tc>
          <w:tcPr>
            <w:tcW w:w="2425"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病死牛处置是否符合要求</w:t>
            </w:r>
          </w:p>
        </w:tc>
        <w:tc>
          <w:tcPr>
            <w:tcW w:w="1260"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c>
          <w:tcPr>
            <w:tcW w:w="644"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6" w:hRule="atLeast"/>
        </w:trPr>
        <w:tc>
          <w:tcPr>
            <w:tcW w:w="669" w:type="pct"/>
            <w:vMerge w:val="continue"/>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p>
        </w:tc>
        <w:tc>
          <w:tcPr>
            <w:tcW w:w="2425"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危险废物处置是否符合要求</w:t>
            </w:r>
          </w:p>
        </w:tc>
        <w:tc>
          <w:tcPr>
            <w:tcW w:w="1260"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c>
          <w:tcPr>
            <w:tcW w:w="644"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6" w:hRule="atLeast"/>
        </w:trPr>
        <w:tc>
          <w:tcPr>
            <w:tcW w:w="669" w:type="pct"/>
            <w:vMerge w:val="continue"/>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p>
        </w:tc>
        <w:tc>
          <w:tcPr>
            <w:tcW w:w="2425"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恶臭浓度是否达标</w:t>
            </w:r>
          </w:p>
        </w:tc>
        <w:tc>
          <w:tcPr>
            <w:tcW w:w="1260"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环评预测达标</w:t>
            </w:r>
          </w:p>
        </w:tc>
        <w:tc>
          <w:tcPr>
            <w:tcW w:w="644"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7" w:hRule="atLeast"/>
        </w:trPr>
        <w:tc>
          <w:tcPr>
            <w:tcW w:w="669" w:type="pct"/>
            <w:vMerge w:val="restar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废物回收利用指标</w:t>
            </w:r>
          </w:p>
        </w:tc>
        <w:tc>
          <w:tcPr>
            <w:tcW w:w="2425"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废水回收利用率</w:t>
            </w:r>
          </w:p>
        </w:tc>
        <w:tc>
          <w:tcPr>
            <w:tcW w:w="1260"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定期</w:t>
            </w:r>
            <w:r>
              <w:rPr>
                <w:rFonts w:hint="eastAsia" w:cs="Times New Roman"/>
                <w:color w:val="auto"/>
                <w:sz w:val="21"/>
                <w:szCs w:val="21"/>
                <w:highlight w:val="none"/>
                <w:lang w:eastAsia="zh-CN"/>
              </w:rPr>
              <w:t>清掏拉运</w:t>
            </w:r>
          </w:p>
        </w:tc>
        <w:tc>
          <w:tcPr>
            <w:tcW w:w="644"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不外排</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6" w:hRule="atLeast"/>
        </w:trPr>
        <w:tc>
          <w:tcPr>
            <w:tcW w:w="669" w:type="pct"/>
            <w:vMerge w:val="continue"/>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p>
        </w:tc>
        <w:tc>
          <w:tcPr>
            <w:tcW w:w="2425"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固废综合利用率</w:t>
            </w:r>
          </w:p>
        </w:tc>
        <w:tc>
          <w:tcPr>
            <w:tcW w:w="1260"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100%综合利用</w:t>
            </w:r>
          </w:p>
        </w:tc>
        <w:tc>
          <w:tcPr>
            <w:tcW w:w="644"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6" w:hRule="atLeast"/>
        </w:trPr>
        <w:tc>
          <w:tcPr>
            <w:tcW w:w="669" w:type="pct"/>
            <w:vMerge w:val="restar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环境管理</w:t>
            </w:r>
          </w:p>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要求</w:t>
            </w:r>
          </w:p>
        </w:tc>
        <w:tc>
          <w:tcPr>
            <w:tcW w:w="2425"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是否有环评</w:t>
            </w:r>
          </w:p>
        </w:tc>
        <w:tc>
          <w:tcPr>
            <w:tcW w:w="1260"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已委托</w:t>
            </w:r>
            <w:r>
              <w:rPr>
                <w:rFonts w:hint="default" w:ascii="Times New Roman" w:hAnsi="Times New Roman" w:cs="Times New Roman"/>
                <w:color w:val="auto"/>
                <w:sz w:val="21"/>
                <w:szCs w:val="21"/>
                <w:highlight w:val="none"/>
                <w:lang w:val="en-US" w:eastAsia="zh-CN"/>
              </w:rPr>
              <w:t>编制</w:t>
            </w:r>
            <w:r>
              <w:rPr>
                <w:rFonts w:hint="default" w:ascii="Times New Roman" w:hAnsi="Times New Roman" w:eastAsia="宋体" w:cs="Times New Roman"/>
                <w:color w:val="auto"/>
                <w:sz w:val="21"/>
                <w:szCs w:val="21"/>
                <w:highlight w:val="none"/>
              </w:rPr>
              <w:t>单位编制</w:t>
            </w:r>
          </w:p>
        </w:tc>
        <w:tc>
          <w:tcPr>
            <w:tcW w:w="644"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6" w:hRule="atLeast"/>
        </w:trPr>
        <w:tc>
          <w:tcPr>
            <w:tcW w:w="669" w:type="pct"/>
            <w:vMerge w:val="continue"/>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p>
        </w:tc>
        <w:tc>
          <w:tcPr>
            <w:tcW w:w="2425"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是否有动物防疫合格证</w:t>
            </w:r>
          </w:p>
        </w:tc>
        <w:tc>
          <w:tcPr>
            <w:tcW w:w="1260"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c>
          <w:tcPr>
            <w:tcW w:w="644"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6" w:hRule="atLeast"/>
        </w:trPr>
        <w:tc>
          <w:tcPr>
            <w:tcW w:w="669" w:type="pct"/>
            <w:vMerge w:val="continue"/>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p>
        </w:tc>
        <w:tc>
          <w:tcPr>
            <w:tcW w:w="2425"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从业人员是否持证上岗</w:t>
            </w:r>
          </w:p>
        </w:tc>
        <w:tc>
          <w:tcPr>
            <w:tcW w:w="1260"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c>
          <w:tcPr>
            <w:tcW w:w="644"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6" w:hRule="atLeast"/>
        </w:trPr>
        <w:tc>
          <w:tcPr>
            <w:tcW w:w="669" w:type="pct"/>
            <w:vMerge w:val="continue"/>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p>
        </w:tc>
        <w:tc>
          <w:tcPr>
            <w:tcW w:w="2425"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生产记录是否完善</w:t>
            </w:r>
          </w:p>
        </w:tc>
        <w:tc>
          <w:tcPr>
            <w:tcW w:w="1260"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c>
          <w:tcPr>
            <w:tcW w:w="644"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6" w:hRule="atLeast"/>
        </w:trPr>
        <w:tc>
          <w:tcPr>
            <w:tcW w:w="669" w:type="pct"/>
            <w:vMerge w:val="continue"/>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p>
        </w:tc>
        <w:tc>
          <w:tcPr>
            <w:tcW w:w="2425"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防疫记录是否完善</w:t>
            </w:r>
          </w:p>
        </w:tc>
        <w:tc>
          <w:tcPr>
            <w:tcW w:w="1260"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c>
          <w:tcPr>
            <w:tcW w:w="644"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2" w:hRule="atLeast"/>
        </w:trPr>
        <w:tc>
          <w:tcPr>
            <w:tcW w:w="669" w:type="pct"/>
            <w:vMerge w:val="continue"/>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p>
        </w:tc>
        <w:tc>
          <w:tcPr>
            <w:tcW w:w="2425"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销售记录是否完善</w:t>
            </w:r>
          </w:p>
        </w:tc>
        <w:tc>
          <w:tcPr>
            <w:tcW w:w="1260"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c>
          <w:tcPr>
            <w:tcW w:w="644"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pPr>
        <w:pStyle w:val="6"/>
        <w:keepNext/>
        <w:keepLines/>
        <w:pageBreakBefore w:val="0"/>
        <w:widowControl w:val="0"/>
        <w:kinsoku/>
        <w:wordWrap/>
        <w:overflowPunct/>
        <w:topLinePunct w:val="0"/>
        <w:autoSpaceDE/>
        <w:autoSpaceDN/>
        <w:bidi w:val="0"/>
        <w:adjustRightInd w:val="0"/>
        <w:snapToGrid w:val="0"/>
        <w:spacing w:before="157" w:beforeLines="50"/>
        <w:ind w:left="0" w:leftChars="0" w:right="0" w:rightChars="0" w:firstLine="0" w:firstLineChars="0"/>
        <w:textAlignment w:val="auto"/>
        <w:rPr>
          <w:rFonts w:hint="default" w:ascii="Times New Roman" w:hAnsi="Times New Roman" w:eastAsia="宋体" w:cs="Times New Roman"/>
          <w:color w:val="auto"/>
          <w:highlight w:val="none"/>
          <w:lang w:val="en-US" w:eastAsia="zh-CN"/>
        </w:rPr>
      </w:pPr>
      <w:bookmarkStart w:id="177" w:name="3.4.2.2_清洁生产水平分析"/>
      <w:bookmarkEnd w:id="177"/>
      <w:r>
        <w:rPr>
          <w:rFonts w:hint="default" w:ascii="Times New Roman" w:hAnsi="Times New Roman" w:eastAsia="宋体" w:cs="Times New Roman"/>
          <w:color w:val="auto"/>
          <w:highlight w:val="none"/>
          <w:lang w:val="en-US" w:eastAsia="zh-CN"/>
        </w:rPr>
        <w:t>清洁生产水平分析</w:t>
      </w:r>
    </w:p>
    <w:p>
      <w:pPr>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根据《中华人民共和国清洁生产促进法》的要求，本次评价从生产工艺与装备要求指标、产品指标、原辅材料的选用、资源与能源利用、末端治理措施、环境管理等六个方面进行清洁生产分析。</w:t>
      </w:r>
    </w:p>
    <w:p>
      <w:pPr>
        <w:pageBreakBefore w:val="0"/>
        <w:wordWrap/>
        <w:bidi w:val="0"/>
        <w:adjustRightInd w:val="0"/>
        <w:ind w:left="0" w:leftChars="0" w:right="0" w:rightChars="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生产工艺与装备要求</w:t>
      </w:r>
      <w:r>
        <w:rPr>
          <w:rFonts w:hint="default" w:ascii="Times New Roman" w:hAnsi="Times New Roman" w:eastAsia="宋体" w:cs="Times New Roman"/>
          <w:color w:val="auto"/>
          <w:highlight w:val="none"/>
          <w:lang w:eastAsia="zh-CN"/>
        </w:rPr>
        <w:t>：</w:t>
      </w:r>
    </w:p>
    <w:p>
      <w:pPr>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项目采取适度规模的集约化养殖方式，采用能耗物耗小、污染物排放量少的清洁生产工艺，提高经济效益，提高环境质量。</w:t>
      </w:r>
    </w:p>
    <w:p>
      <w:pPr>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项目</w:t>
      </w:r>
      <w:r>
        <w:rPr>
          <w:rFonts w:hint="default" w:ascii="Times New Roman" w:hAnsi="Times New Roman" w:cs="Times New Roman"/>
          <w:color w:val="auto"/>
          <w:highlight w:val="none"/>
          <w:lang w:eastAsia="zh-CN"/>
        </w:rPr>
        <w:t>养殖基地</w:t>
      </w:r>
      <w:r>
        <w:rPr>
          <w:rFonts w:hint="default" w:ascii="Times New Roman" w:hAnsi="Times New Roman" w:cs="Times New Roman"/>
          <w:color w:val="auto"/>
          <w:highlight w:val="none"/>
        </w:rPr>
        <w:t>设施完善，圈舍结构合理，设计和建设时将充分考虑环保的要求，圈舍里的</w:t>
      </w:r>
      <w:r>
        <w:rPr>
          <w:rFonts w:hint="default" w:ascii="Times New Roman" w:hAnsi="Times New Roman" w:cs="Times New Roman"/>
          <w:color w:val="auto"/>
          <w:highlight w:val="none"/>
          <w:lang w:eastAsia="zh-CN"/>
        </w:rPr>
        <w:t>粪污</w:t>
      </w:r>
      <w:r>
        <w:rPr>
          <w:rFonts w:hint="default" w:ascii="Times New Roman" w:hAnsi="Times New Roman" w:cs="Times New Roman"/>
          <w:color w:val="auto"/>
          <w:highlight w:val="none"/>
          <w:lang w:val="en-US" w:eastAsia="zh-CN"/>
        </w:rPr>
        <w:t>采用干清粪</w:t>
      </w:r>
      <w:r>
        <w:rPr>
          <w:rFonts w:hint="default" w:ascii="Times New Roman" w:hAnsi="Times New Roman" w:cs="Times New Roman"/>
          <w:color w:val="auto"/>
          <w:highlight w:val="none"/>
        </w:rPr>
        <w:t>。</w:t>
      </w:r>
    </w:p>
    <w:p>
      <w:pPr>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圈舍使用干清粪工艺，</w:t>
      </w:r>
      <w:r>
        <w:rPr>
          <w:rFonts w:hint="default" w:ascii="Times New Roman" w:hAnsi="Times New Roman" w:cs="Times New Roman"/>
          <w:color w:val="auto"/>
          <w:highlight w:val="none"/>
          <w:lang w:val="en-US" w:eastAsia="zh-CN"/>
        </w:rPr>
        <w:t>堆肥后</w:t>
      </w:r>
      <w:r>
        <w:rPr>
          <w:rFonts w:hint="eastAsia" w:cs="Times New Roman"/>
          <w:color w:val="auto"/>
          <w:highlight w:val="none"/>
          <w:lang w:eastAsia="zh-CN"/>
        </w:rPr>
        <w:t>用于垫料及还田利用</w:t>
      </w:r>
      <w:r>
        <w:rPr>
          <w:rFonts w:hint="default" w:ascii="Times New Roman" w:hAnsi="Times New Roman" w:cs="Times New Roman"/>
          <w:color w:val="auto"/>
          <w:highlight w:val="none"/>
        </w:rPr>
        <w:t>。通过本项目的建设，很大程度上减轻了对环境的污染。</w:t>
      </w:r>
    </w:p>
    <w:p>
      <w:pPr>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① 按照清洁生产的标准建立养殖基地，全程控制牛的饲养和管理；</w:t>
      </w:r>
    </w:p>
    <w:p>
      <w:pPr>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② 科学设计日粮，选择优质的饲料，除提高牛生产性能外，对控制恶臭具有重要作用；</w:t>
      </w:r>
    </w:p>
    <w:p>
      <w:pPr>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③ 圈舍全部采用干清粪工艺，</w:t>
      </w:r>
      <w:r>
        <w:rPr>
          <w:rFonts w:hint="eastAsia" w:cs="Times New Roman"/>
          <w:color w:val="auto"/>
          <w:kern w:val="0"/>
          <w:sz w:val="24"/>
          <w:szCs w:val="24"/>
          <w:highlight w:val="none"/>
          <w:lang w:val="en-US" w:eastAsia="zh-CN" w:bidi="ar"/>
        </w:rPr>
        <w:t>牛尿进入垫料中，</w:t>
      </w:r>
      <w:r>
        <w:rPr>
          <w:rFonts w:hint="default" w:ascii="Times New Roman" w:hAnsi="Times New Roman" w:eastAsia="宋体" w:cs="Times New Roman"/>
          <w:color w:val="auto"/>
          <w:kern w:val="0"/>
          <w:sz w:val="24"/>
          <w:szCs w:val="24"/>
          <w:highlight w:val="none"/>
          <w:lang w:val="en-US" w:eastAsia="zh-CN" w:bidi="ar"/>
        </w:rPr>
        <w:t>部分自然蒸发，剩余</w:t>
      </w:r>
      <w:r>
        <w:rPr>
          <w:rFonts w:hint="eastAsia" w:cs="Times New Roman"/>
          <w:color w:val="auto"/>
          <w:kern w:val="0"/>
          <w:sz w:val="24"/>
          <w:szCs w:val="24"/>
          <w:highlight w:val="none"/>
          <w:lang w:val="en-US" w:eastAsia="zh-CN" w:bidi="ar"/>
        </w:rPr>
        <w:t>部分与垫料</w:t>
      </w:r>
      <w:r>
        <w:rPr>
          <w:rFonts w:hint="default" w:ascii="Times New Roman" w:hAnsi="Times New Roman" w:eastAsia="宋体" w:cs="Times New Roman"/>
          <w:color w:val="auto"/>
          <w:kern w:val="0"/>
          <w:sz w:val="24"/>
          <w:szCs w:val="24"/>
          <w:highlight w:val="none"/>
          <w:lang w:val="en-US" w:eastAsia="zh-CN" w:bidi="ar"/>
        </w:rPr>
        <w:t>一起进入</w:t>
      </w:r>
      <w:r>
        <w:rPr>
          <w:rFonts w:hint="default" w:ascii="Times New Roman" w:hAnsi="Times New Roman" w:cs="Times New Roman"/>
          <w:color w:val="auto"/>
          <w:kern w:val="0"/>
          <w:sz w:val="24"/>
          <w:szCs w:val="24"/>
          <w:highlight w:val="none"/>
          <w:lang w:val="en-US" w:eastAsia="zh-CN" w:bidi="ar"/>
        </w:rPr>
        <w:t>堆粪场</w:t>
      </w:r>
      <w:r>
        <w:rPr>
          <w:rFonts w:hint="default" w:ascii="Times New Roman" w:hAnsi="Times New Roman" w:eastAsia="宋体" w:cs="Times New Roman"/>
          <w:color w:val="auto"/>
          <w:kern w:val="0"/>
          <w:sz w:val="24"/>
          <w:szCs w:val="24"/>
          <w:highlight w:val="none"/>
          <w:lang w:val="en-US" w:eastAsia="zh-CN" w:bidi="ar"/>
        </w:rPr>
        <w:t>，不外排</w:t>
      </w:r>
      <w:r>
        <w:rPr>
          <w:rFonts w:hint="default" w:ascii="Times New Roman" w:hAnsi="Times New Roman" w:cs="Times New Roman"/>
          <w:color w:val="auto"/>
          <w:highlight w:val="none"/>
          <w:lang w:eastAsia="zh-CN"/>
        </w:rPr>
        <w:t>；粪污</w:t>
      </w:r>
      <w:r>
        <w:rPr>
          <w:rFonts w:hint="default" w:ascii="Times New Roman" w:hAnsi="Times New Roman" w:cs="Times New Roman"/>
          <w:color w:val="auto"/>
          <w:highlight w:val="none"/>
        </w:rPr>
        <w:t>日产日清，通过减少</w:t>
      </w:r>
      <w:r>
        <w:rPr>
          <w:rFonts w:hint="default" w:ascii="Times New Roman" w:hAnsi="Times New Roman" w:cs="Times New Roman"/>
          <w:color w:val="auto"/>
          <w:highlight w:val="none"/>
          <w:lang w:eastAsia="zh-CN"/>
        </w:rPr>
        <w:t>粪污</w:t>
      </w:r>
      <w:r>
        <w:rPr>
          <w:rFonts w:hint="default" w:ascii="Times New Roman" w:hAnsi="Times New Roman" w:cs="Times New Roman"/>
          <w:color w:val="auto"/>
          <w:highlight w:val="none"/>
        </w:rPr>
        <w:t>的停留时间和覆盖面积，可大为降低圈舍废气产生。通过向</w:t>
      </w:r>
      <w:r>
        <w:rPr>
          <w:rFonts w:hint="default" w:ascii="Times New Roman" w:hAnsi="Times New Roman" w:cs="Times New Roman"/>
          <w:color w:val="auto"/>
          <w:highlight w:val="none"/>
          <w:lang w:eastAsia="zh-CN"/>
        </w:rPr>
        <w:t>粪污</w:t>
      </w:r>
      <w:r>
        <w:rPr>
          <w:rFonts w:hint="default" w:ascii="Times New Roman" w:hAnsi="Times New Roman" w:cs="Times New Roman"/>
          <w:color w:val="auto"/>
          <w:highlight w:val="none"/>
        </w:rPr>
        <w:t>或圈舍内投放</w:t>
      </w:r>
      <w:r>
        <w:rPr>
          <w:rFonts w:hint="default" w:ascii="Times New Roman" w:hAnsi="Times New Roman" w:cs="Times New Roman"/>
          <w:color w:val="auto"/>
          <w:highlight w:val="none"/>
          <w:lang w:val="en-US" w:eastAsia="zh-CN"/>
        </w:rPr>
        <w:t>除臭剂，</w:t>
      </w:r>
      <w:r>
        <w:rPr>
          <w:rFonts w:hint="default" w:ascii="Times New Roman" w:hAnsi="Times New Roman" w:cs="Times New Roman"/>
          <w:color w:val="auto"/>
          <w:highlight w:val="none"/>
        </w:rPr>
        <w:t>减少臭气的散发；加强圈舍消毒杀菌， 减少微生物发酵，防止恶臭产生；</w:t>
      </w:r>
    </w:p>
    <w:p>
      <w:pPr>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④ 养殖区重视绿化工作，保持道路清洁、排水沟畅通、地面不积水；</w:t>
      </w:r>
    </w:p>
    <w:p>
      <w:pPr>
        <w:pageBreakBefore w:val="0"/>
        <w:wordWrap/>
        <w:bidi w:val="0"/>
        <w:adjustRightInd w:val="0"/>
        <w:ind w:left="0" w:leftChars="0" w:right="0" w:rightChars="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lang w:eastAsia="zh-CN"/>
        </w:rPr>
        <w:t>）产品指标</w:t>
      </w:r>
    </w:p>
    <w:p>
      <w:pPr>
        <w:pageBreakBefore w:val="0"/>
        <w:wordWrap/>
        <w:bidi w:val="0"/>
        <w:adjustRightInd w:val="0"/>
        <w:ind w:left="0" w:leftChars="0" w:right="0" w:rightChars="0"/>
        <w:jc w:val="left"/>
        <w:rPr>
          <w:rFonts w:hint="default" w:ascii="Times New Roman" w:hAnsi="Times New Roman" w:cs="Times New Roman"/>
          <w:color w:val="auto"/>
          <w:spacing w:val="-6"/>
          <w:sz w:val="24"/>
          <w:highlight w:val="none"/>
        </w:rPr>
      </w:pPr>
      <w:r>
        <w:rPr>
          <w:rFonts w:hint="default" w:ascii="Times New Roman" w:hAnsi="Times New Roman" w:cs="Times New Roman"/>
          <w:color w:val="auto"/>
          <w:highlight w:val="none"/>
        </w:rPr>
        <w:t>全面提高养畜水平，加强动物卫生防疫和健康养殖监督。建立健全健康养殖管理制度，加强疫病防治和监控，加强上市产品检疫监测，确保产品的质量安全、计量及卫生标准。严格按照绿色产品生产模式生产，并积极申报绿色产品和产地认证，不断提高产品竞争能力。</w:t>
      </w:r>
      <w:r>
        <w:rPr>
          <w:rFonts w:hint="default" w:ascii="Times New Roman" w:hAnsi="Times New Roman" w:cs="Times New Roman"/>
          <w:color w:val="auto"/>
          <w:spacing w:val="-6"/>
          <w:sz w:val="24"/>
          <w:highlight w:val="none"/>
        </w:rPr>
        <w:t>通过不断提高饲管水平，达到提高饲养水平和经济效益目的。</w:t>
      </w:r>
    </w:p>
    <w:p>
      <w:pPr>
        <w:pageBreakBefore w:val="0"/>
        <w:wordWrap/>
        <w:bidi w:val="0"/>
        <w:adjustRightInd w:val="0"/>
        <w:ind w:left="0" w:leftChars="0" w:right="0" w:rightChars="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eastAsia="zh-CN"/>
        </w:rPr>
        <w:t>）原辅材料的选用</w:t>
      </w:r>
    </w:p>
    <w:p>
      <w:pPr>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原材料的选用是清洁生产首先要考虑的问题，只有从源头上加强控制和管理，减少有毒有害原料的种类和使用量。本项目饲料选用优质的饲料，既保证了牛生长需求，又可以抑制恶臭气体产生；消毒药品选用高效、低毒、无公害的消毒药剂。</w:t>
      </w:r>
    </w:p>
    <w:p>
      <w:pPr>
        <w:pStyle w:val="6"/>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循环经济分析</w:t>
      </w:r>
    </w:p>
    <w:p>
      <w:pPr>
        <w:pageBreakBefore w:val="0"/>
        <w:wordWrap/>
        <w:bidi w:val="0"/>
        <w:adjustRightInd w:val="0"/>
        <w:ind w:left="0" w:leftChars="0" w:right="0" w:rightChars="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（1）资源与能源利用</w:t>
      </w:r>
    </w:p>
    <w:p>
      <w:pPr>
        <w:pageBreakBefore w:val="0"/>
        <w:wordWrap/>
        <w:bidi w:val="0"/>
        <w:adjustRightInd w:val="0"/>
        <w:ind w:left="0" w:leftChars="0" w:right="0" w:rightChars="0" w:firstLine="480"/>
        <w:rPr>
          <w:rFonts w:hint="default" w:ascii="Times New Roman" w:hAnsi="Times New Roman" w:cs="Times New Roman"/>
          <w:color w:val="auto"/>
          <w:spacing w:val="-6"/>
          <w:sz w:val="24"/>
          <w:highlight w:val="none"/>
        </w:rPr>
      </w:pPr>
      <w:r>
        <w:rPr>
          <w:rFonts w:hint="default" w:ascii="Times New Roman" w:hAnsi="Times New Roman" w:cs="Times New Roman"/>
          <w:color w:val="auto"/>
          <w:spacing w:val="-6"/>
          <w:sz w:val="24"/>
          <w:highlight w:val="none"/>
        </w:rPr>
        <w:t>本项目圈舍采用干清粪工艺，</w:t>
      </w:r>
      <w:r>
        <w:rPr>
          <w:rFonts w:hint="default" w:ascii="Times New Roman" w:hAnsi="Times New Roman" w:cs="Times New Roman"/>
          <w:color w:val="auto"/>
          <w:spacing w:val="-6"/>
          <w:sz w:val="24"/>
          <w:highlight w:val="none"/>
          <w:lang w:val="en-US" w:eastAsia="zh-CN"/>
        </w:rPr>
        <w:t>日产日清</w:t>
      </w:r>
      <w:r>
        <w:rPr>
          <w:rFonts w:hint="default" w:ascii="Times New Roman" w:hAnsi="Times New Roman" w:cs="Times New Roman"/>
          <w:color w:val="auto"/>
          <w:spacing w:val="-6"/>
          <w:sz w:val="24"/>
          <w:highlight w:val="none"/>
        </w:rPr>
        <w:t>，不产生圈舍冲洗废水</w:t>
      </w:r>
      <w:r>
        <w:rPr>
          <w:rFonts w:hint="default" w:ascii="Times New Roman" w:hAnsi="Times New Roman" w:cs="Times New Roman"/>
          <w:color w:val="auto"/>
          <w:spacing w:val="-6"/>
          <w:sz w:val="24"/>
          <w:highlight w:val="none"/>
          <w:lang w:val="en-US" w:eastAsia="zh-CN"/>
        </w:rPr>
        <w:t>，</w:t>
      </w:r>
      <w:r>
        <w:rPr>
          <w:rFonts w:hint="default" w:ascii="Times New Roman" w:hAnsi="Times New Roman" w:cs="Times New Roman"/>
          <w:color w:val="auto"/>
          <w:spacing w:val="-6"/>
          <w:sz w:val="24"/>
          <w:highlight w:val="none"/>
          <w:lang w:eastAsia="zh-CN"/>
        </w:rPr>
        <w:t>减少了</w:t>
      </w:r>
      <w:r>
        <w:rPr>
          <w:rFonts w:hint="default" w:ascii="Times New Roman" w:hAnsi="Times New Roman" w:cs="Times New Roman"/>
          <w:color w:val="auto"/>
          <w:spacing w:val="-6"/>
          <w:sz w:val="24"/>
          <w:highlight w:val="none"/>
        </w:rPr>
        <w:t>排放，减</w:t>
      </w:r>
      <w:r>
        <w:rPr>
          <w:rFonts w:hint="default" w:ascii="Times New Roman" w:hAnsi="Times New Roman" w:cs="Times New Roman"/>
          <w:color w:val="auto"/>
          <w:spacing w:val="-6"/>
          <w:sz w:val="24"/>
          <w:highlight w:val="none"/>
          <w:lang w:eastAsia="zh-CN"/>
        </w:rPr>
        <w:t>轻了</w:t>
      </w:r>
      <w:r>
        <w:rPr>
          <w:rFonts w:hint="default" w:ascii="Times New Roman" w:hAnsi="Times New Roman" w:cs="Times New Roman"/>
          <w:color w:val="auto"/>
          <w:spacing w:val="-6"/>
          <w:sz w:val="24"/>
          <w:highlight w:val="none"/>
        </w:rPr>
        <w:t>环境负荷。</w:t>
      </w:r>
      <w:r>
        <w:rPr>
          <w:rFonts w:hint="default" w:ascii="Times New Roman" w:hAnsi="Times New Roman" w:cs="Times New Roman"/>
          <w:color w:val="auto"/>
          <w:spacing w:val="-6"/>
          <w:sz w:val="24"/>
          <w:highlight w:val="none"/>
          <w:lang w:eastAsia="zh-CN"/>
        </w:rPr>
        <w:t>粪污</w:t>
      </w:r>
      <w:r>
        <w:rPr>
          <w:rFonts w:hint="eastAsia" w:cs="Times New Roman"/>
          <w:color w:val="auto"/>
          <w:spacing w:val="-6"/>
          <w:sz w:val="24"/>
          <w:highlight w:val="none"/>
          <w:lang w:val="en-US" w:eastAsia="zh-CN"/>
        </w:rPr>
        <w:t>及垫料</w:t>
      </w:r>
      <w:r>
        <w:rPr>
          <w:rFonts w:hint="default" w:ascii="Times New Roman" w:hAnsi="Times New Roman" w:cs="Times New Roman"/>
          <w:color w:val="auto"/>
          <w:spacing w:val="-6"/>
          <w:sz w:val="24"/>
          <w:highlight w:val="none"/>
        </w:rPr>
        <w:t>进入</w:t>
      </w:r>
      <w:r>
        <w:rPr>
          <w:rFonts w:hint="default" w:ascii="Times New Roman" w:hAnsi="Times New Roman" w:cs="Times New Roman"/>
          <w:color w:val="auto"/>
          <w:spacing w:val="-6"/>
          <w:sz w:val="24"/>
          <w:highlight w:val="none"/>
          <w:lang w:eastAsia="zh-CN"/>
        </w:rPr>
        <w:t>堆粪场</w:t>
      </w:r>
      <w:r>
        <w:rPr>
          <w:rFonts w:hint="default" w:ascii="Times New Roman" w:hAnsi="Times New Roman" w:cs="Times New Roman"/>
          <w:color w:val="auto"/>
          <w:spacing w:val="-6"/>
          <w:sz w:val="24"/>
          <w:highlight w:val="none"/>
        </w:rPr>
        <w:t>进行堆肥处理，采用</w:t>
      </w:r>
      <w:r>
        <w:rPr>
          <w:rFonts w:hint="default" w:ascii="Times New Roman" w:hAnsi="Times New Roman" w:cs="Times New Roman"/>
          <w:color w:val="auto"/>
          <w:spacing w:val="-6"/>
          <w:sz w:val="24"/>
          <w:highlight w:val="none"/>
          <w:lang w:eastAsia="zh-CN"/>
        </w:rPr>
        <w:t>好氧发酵</w:t>
      </w:r>
      <w:r>
        <w:rPr>
          <w:rFonts w:hint="default" w:ascii="Times New Roman" w:hAnsi="Times New Roman" w:cs="Times New Roman"/>
          <w:color w:val="auto"/>
          <w:spacing w:val="-6"/>
          <w:sz w:val="24"/>
          <w:highlight w:val="none"/>
        </w:rPr>
        <w:t>后</w:t>
      </w:r>
      <w:r>
        <w:rPr>
          <w:rFonts w:hint="eastAsia" w:cs="Times New Roman"/>
          <w:color w:val="auto"/>
          <w:spacing w:val="-6"/>
          <w:sz w:val="24"/>
          <w:highlight w:val="none"/>
          <w:lang w:eastAsia="zh-CN"/>
        </w:rPr>
        <w:t>用于垫料及还田利用</w:t>
      </w:r>
      <w:r>
        <w:rPr>
          <w:rFonts w:hint="default" w:ascii="Times New Roman" w:hAnsi="Times New Roman" w:cs="Times New Roman"/>
          <w:color w:val="auto"/>
          <w:spacing w:val="-6"/>
          <w:sz w:val="24"/>
          <w:highlight w:val="none"/>
        </w:rPr>
        <w:t>。</w:t>
      </w:r>
    </w:p>
    <w:p>
      <w:pPr>
        <w:pageBreakBefore w:val="0"/>
        <w:wordWrap/>
        <w:bidi w:val="0"/>
        <w:adjustRightInd w:val="0"/>
        <w:ind w:left="0" w:leftChars="0" w:right="0" w:rightChars="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（2）末端治理措施</w:t>
      </w:r>
    </w:p>
    <w:p>
      <w:pPr>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运营期</w:t>
      </w:r>
      <w:r>
        <w:rPr>
          <w:rFonts w:hint="default" w:ascii="Times New Roman" w:hAnsi="Times New Roman" w:cs="Times New Roman"/>
          <w:color w:val="auto"/>
          <w:highlight w:val="none"/>
          <w:lang w:eastAsia="zh-CN"/>
        </w:rPr>
        <w:t>养殖基地</w:t>
      </w:r>
      <w:r>
        <w:rPr>
          <w:rFonts w:hint="default" w:ascii="Times New Roman" w:hAnsi="Times New Roman" w:cs="Times New Roman"/>
          <w:color w:val="auto"/>
          <w:highlight w:val="none"/>
        </w:rPr>
        <w:t>恶臭通过加强圈舍管理和通风、科学设计日粮、选择优质的饲料、种植绿化隔离带、严格划定卫生防护距离等措施进行控制；本项目采用干清粪处理工艺，</w:t>
      </w:r>
      <w:r>
        <w:rPr>
          <w:rFonts w:hint="eastAsia" w:cs="Times New Roman"/>
          <w:color w:val="auto"/>
          <w:highlight w:val="none"/>
          <w:lang w:eastAsia="zh-CN"/>
        </w:rPr>
        <w:t>挤奶厅设备和地面清洗废水</w:t>
      </w:r>
      <w:r>
        <w:rPr>
          <w:rFonts w:hint="default" w:ascii="Times New Roman" w:hAnsi="Times New Roman" w:cs="Times New Roman"/>
          <w:color w:val="auto"/>
          <w:highlight w:val="none"/>
          <w:lang w:eastAsia="zh-CN"/>
        </w:rPr>
        <w:t>及</w:t>
      </w:r>
      <w:r>
        <w:rPr>
          <w:rFonts w:hint="default" w:ascii="Times New Roman" w:hAnsi="Times New Roman" w:eastAsia="宋体" w:cs="Times New Roman"/>
          <w:color w:val="auto"/>
          <w:highlight w:val="none"/>
          <w:lang w:val="en-US" w:eastAsia="zh-CN"/>
        </w:rPr>
        <w:t>生活污水进入</w:t>
      </w:r>
      <w:r>
        <w:rPr>
          <w:rFonts w:hint="default" w:ascii="Times New Roman" w:hAnsi="Times New Roman" w:cs="Times New Roman"/>
          <w:color w:val="auto"/>
          <w:highlight w:val="none"/>
          <w:lang w:val="en-US" w:eastAsia="zh-CN"/>
        </w:rPr>
        <w:t>集污池收集</w:t>
      </w:r>
      <w:r>
        <w:rPr>
          <w:rFonts w:hint="default" w:ascii="Times New Roman" w:hAnsi="Times New Roman" w:eastAsia="宋体" w:cs="Times New Roman"/>
          <w:color w:val="auto"/>
          <w:highlight w:val="none"/>
          <w:lang w:val="en-US" w:eastAsia="zh-CN"/>
        </w:rPr>
        <w:t>后</w:t>
      </w:r>
      <w:r>
        <w:rPr>
          <w:rFonts w:hint="eastAsia" w:cs="Times New Roman"/>
          <w:color w:val="auto"/>
          <w:highlight w:val="none"/>
          <w:lang w:val="en-US" w:eastAsia="zh-CN"/>
        </w:rPr>
        <w:t>清掏拉运</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不外排。项目外排的主要是</w:t>
      </w:r>
      <w:r>
        <w:rPr>
          <w:rFonts w:hint="default" w:ascii="Times New Roman" w:hAnsi="Times New Roman" w:cs="Times New Roman"/>
          <w:color w:val="auto"/>
          <w:highlight w:val="none"/>
          <w:lang w:val="en-US" w:eastAsia="zh-CN"/>
        </w:rPr>
        <w:t>有组织排放的颗粒物及</w:t>
      </w:r>
      <w:r>
        <w:rPr>
          <w:rFonts w:hint="default" w:ascii="Times New Roman" w:hAnsi="Times New Roman" w:cs="Times New Roman"/>
          <w:color w:val="auto"/>
          <w:highlight w:val="none"/>
        </w:rPr>
        <w:t>无组织排放的</w:t>
      </w:r>
      <w:r>
        <w:rPr>
          <w:rFonts w:hint="default" w:ascii="Times New Roman" w:hAnsi="Times New Roman" w:cs="Times New Roman"/>
          <w:color w:val="auto"/>
          <w:highlight w:val="none"/>
          <w:lang w:val="en-US" w:eastAsia="zh-CN"/>
        </w:rPr>
        <w:t>颗粒物、</w:t>
      </w:r>
      <w:r>
        <w:rPr>
          <w:rFonts w:hint="default" w:ascii="Times New Roman" w:hAnsi="Times New Roman" w:cs="Times New Roman"/>
          <w:color w:val="auto"/>
          <w:highlight w:val="none"/>
        </w:rPr>
        <w:t>恶臭气体、NH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S，通过采取相应的治理措施后，均可达标排放</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本项目主要污染防治措施均本着实现资源合理利用的原则，将污染物通过治理转化为有用资源进行利用。</w:t>
      </w:r>
    </w:p>
    <w:p>
      <w:pPr>
        <w:pageBreakBefore w:val="0"/>
        <w:wordWrap/>
        <w:bidi w:val="0"/>
        <w:adjustRightInd w:val="0"/>
        <w:ind w:left="0" w:leftChars="0" w:right="0" w:rightChars="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（3）环境管理</w:t>
      </w:r>
    </w:p>
    <w:p>
      <w:pPr>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的建设符合国家产业政策，选址、平面布置及污染防治措施符合《畜禽养殖业污染防治技术规范》（HJ/T81-2001）、《畜禽规模养殖污染防治条例》、《畜禽养殖业污染治理工程技术规范》（HJ497-2009）等技术文件的要求。</w:t>
      </w:r>
    </w:p>
    <w:p>
      <w:pPr>
        <w:pageBreakBefore w:val="0"/>
        <w:wordWrap/>
        <w:bidi w:val="0"/>
        <w:adjustRightInd w:val="0"/>
        <w:ind w:left="0" w:leftChars="0" w:right="0" w:rightChars="0"/>
        <w:rPr>
          <w:rFonts w:hint="default" w:ascii="Times New Roman" w:hAnsi="Times New Roman" w:cs="Times New Roman"/>
          <w:color w:val="auto"/>
          <w:highlight w:val="none"/>
        </w:rPr>
      </w:pPr>
      <w:r>
        <w:rPr>
          <w:rFonts w:hint="eastAsia" w:cs="Times New Roman"/>
          <w:color w:val="auto"/>
          <w:highlight w:val="none"/>
          <w:lang w:val="en-US" w:eastAsia="zh-CN"/>
        </w:rPr>
        <w:t>本</w:t>
      </w:r>
      <w:r>
        <w:rPr>
          <w:rFonts w:hint="default" w:ascii="Times New Roman" w:hAnsi="Times New Roman" w:cs="Times New Roman"/>
          <w:color w:val="auto"/>
          <w:highlight w:val="none"/>
        </w:rPr>
        <w:t>项目建成后企业将设立健全的环境管理机构和专职管理人员，制订较完善环境管理制度，严格控制各种污染物的产生及排放，严格控制风险事故的发生。</w:t>
      </w:r>
    </w:p>
    <w:p>
      <w:pPr>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坚持预防为主、防治结合、综合治理的原则，坚持推行清洁生产，实行生产全过程污染控制。环境管理工作内容包括：</w:t>
      </w:r>
    </w:p>
    <w:p>
      <w:pPr>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① 有效处理生产过程中产生的废水、废气、固体废物，防止对周围环境造成污染或有害影响。</w:t>
      </w:r>
    </w:p>
    <w:p>
      <w:pPr>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② 生产部具体负责日常的“三废”治理和环境保护工作，符合达标的排放源应树立合格排放标志。</w:t>
      </w:r>
    </w:p>
    <w:p>
      <w:pPr>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③ 设立“三废”处理人员岗位负责制，实行严格的奖罚制度。</w:t>
      </w:r>
    </w:p>
    <w:p>
      <w:pPr>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④ 环保人员负责维护环保治理设施，在环保治理设施一旦出现故障时，必须立即采取应急措施，以杜绝污染物排放的出现。</w:t>
      </w:r>
    </w:p>
    <w:p>
      <w:pPr>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⑤ 定期进行环保技术业务培训，以提高工作人员的技术素质水平。积极开展环境保护宣传教育活动，普及环保知识，提高全员的环保意识。</w:t>
      </w:r>
    </w:p>
    <w:p>
      <w:pPr>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⑥ 搞好场区绿化，改善生产区及周围环境，接受</w:t>
      </w:r>
      <w:r>
        <w:rPr>
          <w:rFonts w:hint="default" w:ascii="Times New Roman" w:hAnsi="Times New Roman" w:cs="Times New Roman"/>
          <w:color w:val="auto"/>
          <w:highlight w:val="none"/>
          <w:lang w:eastAsia="zh-CN"/>
        </w:rPr>
        <w:t>生态环境主管部门</w:t>
      </w:r>
      <w:r>
        <w:rPr>
          <w:rFonts w:hint="default" w:ascii="Times New Roman" w:hAnsi="Times New Roman" w:cs="Times New Roman"/>
          <w:color w:val="auto"/>
          <w:highlight w:val="none"/>
        </w:rPr>
        <w:t>的检查和指导。</w:t>
      </w:r>
    </w:p>
    <w:p>
      <w:pPr>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⑦ 场内原料必须按照有关管理规定贮存、保管等，不得对生产区及其周围环境造成。</w:t>
      </w:r>
    </w:p>
    <w:p>
      <w:pPr>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⑧ 在生产中，由于突发性事件造成排污异常，要立即采取应急措施，防止污染扩大，并及时向</w:t>
      </w:r>
      <w:r>
        <w:rPr>
          <w:rFonts w:hint="default" w:ascii="Times New Roman" w:hAnsi="Times New Roman" w:cs="Times New Roman"/>
          <w:color w:val="auto"/>
          <w:highlight w:val="none"/>
          <w:lang w:eastAsia="zh-CN"/>
        </w:rPr>
        <w:t>生态环境主管部门</w:t>
      </w:r>
      <w:r>
        <w:rPr>
          <w:rFonts w:hint="default" w:ascii="Times New Roman" w:hAnsi="Times New Roman" w:cs="Times New Roman"/>
          <w:color w:val="auto"/>
          <w:highlight w:val="none"/>
        </w:rPr>
        <w:t>汇报，以便做好协调处置工作。</w:t>
      </w:r>
    </w:p>
    <w:p>
      <w:pPr>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综上所述，本项目符合“清洁生产”以及“循环经济”要求，贯彻了清洁生产原则。</w:t>
      </w:r>
    </w:p>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178" w:name="3.4.3_清洁生产建议"/>
      <w:bookmarkEnd w:id="178"/>
      <w:bookmarkStart w:id="179" w:name="_Toc8887"/>
      <w:r>
        <w:rPr>
          <w:rFonts w:hint="default" w:ascii="Times New Roman" w:hAnsi="Times New Roman" w:cs="Times New Roman"/>
          <w:color w:val="auto"/>
          <w:highlight w:val="none"/>
        </w:rPr>
        <w:t>清洁生产及循环经济建议</w:t>
      </w:r>
      <w:bookmarkEnd w:id="179"/>
    </w:p>
    <w:p>
      <w:pPr>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建设单位要确保建立健全的环境管理体制和工作制度，建议公司在今后的发展过程中，按照质量管理体系的相关要求，切实贯彻落实各项清洁生产措施，保障清洁生产的推行，不断进步。</w:t>
      </w:r>
    </w:p>
    <w:p>
      <w:pPr>
        <w:pageBreakBefore w:val="0"/>
        <w:wordWrap/>
        <w:bidi w:val="0"/>
        <w:adjustRightInd w:val="0"/>
        <w:ind w:left="0" w:leftChars="0" w:right="0" w:rightChars="0"/>
        <w:rPr>
          <w:rFonts w:hint="default" w:ascii="Times New Roman" w:hAnsi="Times New Roman" w:cs="Times New Roman"/>
          <w:color w:val="auto"/>
          <w:spacing w:val="-6"/>
          <w:sz w:val="24"/>
          <w:highlight w:val="none"/>
        </w:rPr>
      </w:pPr>
      <w:r>
        <w:rPr>
          <w:rFonts w:hint="default" w:ascii="Times New Roman" w:hAnsi="Times New Roman" w:cs="Times New Roman"/>
          <w:color w:val="auto"/>
          <w:spacing w:val="-6"/>
          <w:sz w:val="24"/>
          <w:highlight w:val="none"/>
        </w:rPr>
        <w:t>为了更好的执行清洁生产及循环经济方针，本环评建议建设单位考虑以下的措施：</w:t>
      </w:r>
    </w:p>
    <w:p>
      <w:pPr>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① 成立清洁生产领导小组，每年根据本单位的实际情况制定清洁生产工作计划，持续不断地开展清洁生产工作。定期开展污染源调查和环境保护设施运行标定，有计划、有步骤地开展生产装置环境保护审计工作。</w:t>
      </w:r>
    </w:p>
    <w:p>
      <w:pPr>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② 提高原料的利用率；完善企业内部管理，减少物料消耗，建立严格的管理制度，落实岗位责任制，加强生产中的现场管理。</w:t>
      </w:r>
    </w:p>
    <w:p>
      <w:pPr>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③ 加强生产设备</w:t>
      </w:r>
      <w:r>
        <w:rPr>
          <w:rFonts w:hint="eastAsia" w:cs="Times New Roman"/>
          <w:color w:val="auto"/>
          <w:highlight w:val="none"/>
          <w:lang w:val="en-US" w:eastAsia="zh-CN"/>
        </w:rPr>
        <w:t>保养</w:t>
      </w:r>
      <w:r>
        <w:rPr>
          <w:rFonts w:hint="default" w:ascii="Times New Roman" w:hAnsi="Times New Roman" w:cs="Times New Roman"/>
          <w:color w:val="auto"/>
          <w:highlight w:val="none"/>
        </w:rPr>
        <w:t>，及时检修、更换破损的管道和污染治理设备，尽量减少和防止生产过程中的跑冒滴漏。</w:t>
      </w:r>
    </w:p>
    <w:p>
      <w:pPr>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④ 每日及时清粪，可有效减轻恶臭气体的产生，改善培育舍内环境，减少牛疾病发病率和死亡率。</w:t>
      </w:r>
      <w:r>
        <w:rPr>
          <w:rFonts w:hint="eastAsia"/>
          <w:color w:val="auto"/>
          <w:lang w:eastAsia="zh-CN"/>
        </w:rPr>
        <w:t>粪污</w:t>
      </w:r>
      <w:r>
        <w:rPr>
          <w:color w:val="auto"/>
        </w:rPr>
        <w:t>进入堆粪场进行堆肥处理，在达到《畜禽养殖业污染物排放标准》</w:t>
      </w:r>
      <w:r>
        <w:rPr>
          <w:rFonts w:hint="eastAsia"/>
          <w:color w:val="auto"/>
          <w:lang w:eastAsia="zh-CN"/>
        </w:rPr>
        <w:t>（</w:t>
      </w:r>
      <w:r>
        <w:rPr>
          <w:color w:val="auto"/>
        </w:rPr>
        <w:t>GB18596-2001</w:t>
      </w:r>
      <w:r>
        <w:rPr>
          <w:rFonts w:hint="eastAsia"/>
          <w:color w:val="auto"/>
          <w:lang w:eastAsia="zh-CN"/>
        </w:rPr>
        <w:t>）</w:t>
      </w:r>
      <w:r>
        <w:rPr>
          <w:color w:val="auto"/>
        </w:rPr>
        <w:t>中关于</w:t>
      </w:r>
      <w:r>
        <w:rPr>
          <w:rFonts w:hint="eastAsia"/>
          <w:color w:val="auto"/>
          <w:lang w:eastAsia="zh-CN"/>
        </w:rPr>
        <w:t>粪污</w:t>
      </w:r>
      <w:r>
        <w:rPr>
          <w:color w:val="auto"/>
        </w:rPr>
        <w:t>无害化处理的要求之后（蛔虫卵死亡率≥95%；粪大肠菌群数≤10</w:t>
      </w:r>
      <w:r>
        <w:rPr>
          <w:color w:val="auto"/>
          <w:vertAlign w:val="superscript"/>
        </w:rPr>
        <w:t>5</w:t>
      </w:r>
      <w:r>
        <w:rPr>
          <w:color w:val="auto"/>
        </w:rPr>
        <w:t>个/kg）</w:t>
      </w:r>
      <w:r>
        <w:rPr>
          <w:rFonts w:hint="eastAsia"/>
          <w:color w:val="auto"/>
          <w:lang w:val="en-US" w:eastAsia="zh-CN"/>
        </w:rPr>
        <w:t>还田</w:t>
      </w:r>
      <w:r>
        <w:rPr>
          <w:color w:val="auto"/>
        </w:rPr>
        <w:t>。</w:t>
      </w:r>
    </w:p>
    <w:p>
      <w:pPr>
        <w:pageBreakBefore w:val="0"/>
        <w:wordWrap/>
        <w:bidi w:val="0"/>
        <w:adjustRightInd w:val="0"/>
        <w:ind w:left="0" w:leftChars="0" w:right="0" w:rightChars="0"/>
        <w:rPr>
          <w:rFonts w:hint="default"/>
          <w:color w:val="auto"/>
        </w:rPr>
      </w:pPr>
      <w:r>
        <w:rPr>
          <w:rFonts w:hint="default" w:ascii="Times New Roman" w:hAnsi="Times New Roman" w:cs="Times New Roman"/>
          <w:color w:val="auto"/>
          <w:highlight w:val="none"/>
        </w:rPr>
        <w:t>⑤ 做好病死牛的处置，病死牛按规范要求</w:t>
      </w:r>
      <w:r>
        <w:rPr>
          <w:rFonts w:hint="default" w:ascii="Times New Roman" w:hAnsi="Times New Roman" w:cs="Times New Roman"/>
          <w:color w:val="auto"/>
          <w:highlight w:val="none"/>
          <w:lang w:val="en-US" w:eastAsia="zh-CN"/>
        </w:rPr>
        <w:t>进行</w:t>
      </w:r>
      <w:r>
        <w:rPr>
          <w:rFonts w:hint="default" w:ascii="Times New Roman" w:hAnsi="Times New Roman" w:cs="Times New Roman"/>
          <w:color w:val="auto"/>
          <w:highlight w:val="none"/>
        </w:rPr>
        <w:t>无害化处理。</w:t>
      </w:r>
      <w:r>
        <w:rPr>
          <w:rFonts w:hint="default" w:ascii="Times New Roman" w:hAnsi="Times New Roman" w:eastAsia="宋体" w:cs="Times New Roman"/>
          <w:color w:val="auto"/>
          <w:kern w:val="2"/>
          <w:sz w:val="24"/>
          <w:szCs w:val="24"/>
          <w:highlight w:val="none"/>
          <w:lang w:val="en-US" w:eastAsia="zh-CN" w:bidi="ar-SA"/>
        </w:rPr>
        <w:t>病死牛尸体</w:t>
      </w:r>
      <w:r>
        <w:rPr>
          <w:rFonts w:hint="default" w:ascii="Times New Roman" w:hAnsi="Times New Roman" w:eastAsia="宋体" w:cs="Times New Roman"/>
          <w:color w:val="auto"/>
          <w:highlight w:val="none"/>
        </w:rPr>
        <w:t>由</w:t>
      </w:r>
      <w:r>
        <w:rPr>
          <w:rFonts w:hint="default" w:ascii="Times New Roman" w:hAnsi="Times New Roman" w:cs="Times New Roman"/>
          <w:color w:val="auto"/>
          <w:highlight w:val="none"/>
          <w:lang w:val="en-US" w:eastAsia="zh-CN"/>
        </w:rPr>
        <w:t>安全填埋井填埋</w:t>
      </w:r>
      <w:r>
        <w:rPr>
          <w:rFonts w:hint="default" w:ascii="Times New Roman" w:hAnsi="Times New Roman" w:eastAsia="宋体" w:cs="Times New Roman"/>
          <w:color w:val="auto"/>
          <w:highlight w:val="none"/>
          <w:lang w:val="en-US" w:eastAsia="zh-CN"/>
        </w:rPr>
        <w:t>。因重大</w:t>
      </w:r>
      <w:r>
        <w:rPr>
          <w:rFonts w:hint="default" w:ascii="Times New Roman" w:hAnsi="Times New Roman" w:cs="Times New Roman"/>
          <w:color w:val="auto"/>
          <w:highlight w:val="none"/>
        </w:rPr>
        <w:t>疫病及人畜共患病死亡的牛尸体应先上报当地</w:t>
      </w:r>
      <w:r>
        <w:rPr>
          <w:rFonts w:hint="default" w:ascii="Times New Roman" w:hAnsi="Times New Roman" w:eastAsia="宋体" w:cs="Times New Roman"/>
          <w:color w:val="auto"/>
          <w:highlight w:val="none"/>
          <w:lang w:val="en-US" w:eastAsia="zh-CN"/>
        </w:rPr>
        <w:t>农业农村局</w:t>
      </w:r>
      <w:r>
        <w:rPr>
          <w:rFonts w:hint="default" w:ascii="Times New Roman" w:hAnsi="Times New Roman" w:cs="Times New Roman"/>
          <w:color w:val="auto"/>
          <w:highlight w:val="none"/>
        </w:rPr>
        <w:t>、动物疾病预防控制中心，后由动物疫病预防控制中心、</w:t>
      </w:r>
      <w:r>
        <w:rPr>
          <w:rFonts w:hint="default" w:ascii="Times New Roman" w:hAnsi="Times New Roman" w:eastAsia="宋体" w:cs="Times New Roman"/>
          <w:color w:val="auto"/>
          <w:highlight w:val="none"/>
          <w:lang w:val="en-US" w:eastAsia="zh-CN"/>
        </w:rPr>
        <w:t>农业农村局</w:t>
      </w:r>
      <w:r>
        <w:rPr>
          <w:rFonts w:hint="default" w:ascii="Times New Roman" w:hAnsi="Times New Roman" w:cs="Times New Roman"/>
          <w:color w:val="auto"/>
          <w:highlight w:val="none"/>
        </w:rPr>
        <w:t>等有关部门组织对病死牛做统一集中无害化处理，不可私自处置、外卖或私自屠宰。</w:t>
      </w:r>
      <w:bookmarkEnd w:id="168"/>
      <w:bookmarkEnd w:id="169"/>
      <w:bookmarkEnd w:id="170"/>
      <w:bookmarkEnd w:id="171"/>
      <w:bookmarkEnd w:id="172"/>
      <w:bookmarkEnd w:id="173"/>
    </w:p>
    <w:p>
      <w:pPr>
        <w:pStyle w:val="3"/>
        <w:pageBreakBefore w:val="0"/>
        <w:wordWrap/>
        <w:bidi w:val="0"/>
        <w:adjustRightInd w:val="0"/>
        <w:ind w:left="0" w:leftChars="0" w:right="0" w:rightChars="0" w:hanging="432"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bookmarkStart w:id="180" w:name="_Toc31160"/>
      <w:bookmarkStart w:id="181" w:name="_Toc10696"/>
      <w:bookmarkStart w:id="182" w:name="_Toc8452"/>
      <w:r>
        <w:rPr>
          <w:rFonts w:hint="default" w:ascii="Times New Roman" w:hAnsi="Times New Roman" w:cs="Times New Roman"/>
          <w:color w:val="auto"/>
          <w:highlight w:val="none"/>
        </w:rPr>
        <w:t>环境现状调查</w:t>
      </w:r>
      <w:bookmarkEnd w:id="161"/>
      <w:r>
        <w:rPr>
          <w:rFonts w:hint="default" w:ascii="Times New Roman" w:hAnsi="Times New Roman" w:cs="Times New Roman"/>
          <w:color w:val="auto"/>
          <w:highlight w:val="none"/>
        </w:rPr>
        <w:t>与评价</w:t>
      </w:r>
      <w:bookmarkEnd w:id="180"/>
      <w:bookmarkEnd w:id="181"/>
      <w:bookmarkEnd w:id="182"/>
    </w:p>
    <w:p>
      <w:pPr>
        <w:pStyle w:val="4"/>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183" w:name="_Toc256788952"/>
      <w:bookmarkStart w:id="184" w:name="_Toc256786426"/>
      <w:bookmarkStart w:id="185" w:name="_Toc4920"/>
      <w:bookmarkStart w:id="186" w:name="_Toc487133251"/>
      <w:bookmarkStart w:id="187" w:name="_Toc258323662"/>
      <w:bookmarkStart w:id="188" w:name="_Toc11586"/>
      <w:bookmarkStart w:id="189" w:name="_Toc387508970"/>
      <w:bookmarkStart w:id="190" w:name="_Toc489292051"/>
      <w:bookmarkStart w:id="191" w:name="_Toc17793"/>
      <w:bookmarkStart w:id="192" w:name="_Toc5570"/>
      <w:bookmarkStart w:id="193" w:name="_Toc19359"/>
      <w:bookmarkStart w:id="194" w:name="_Toc5012"/>
      <w:r>
        <w:rPr>
          <w:rFonts w:hint="default" w:ascii="Times New Roman" w:hAnsi="Times New Roman" w:cs="Times New Roman"/>
          <w:color w:val="auto"/>
          <w:highlight w:val="none"/>
        </w:rPr>
        <w:t>自然环境</w:t>
      </w:r>
      <w:bookmarkEnd w:id="183"/>
      <w:bookmarkEnd w:id="184"/>
      <w:bookmarkEnd w:id="185"/>
      <w:bookmarkEnd w:id="186"/>
      <w:bookmarkEnd w:id="187"/>
      <w:bookmarkEnd w:id="188"/>
      <w:bookmarkEnd w:id="189"/>
      <w:bookmarkEnd w:id="190"/>
      <w:bookmarkEnd w:id="191"/>
      <w:r>
        <w:rPr>
          <w:rFonts w:hint="default" w:ascii="Times New Roman" w:hAnsi="Times New Roman" w:cs="Times New Roman"/>
          <w:color w:val="auto"/>
          <w:highlight w:val="none"/>
        </w:rPr>
        <w:t>概况</w:t>
      </w:r>
      <w:bookmarkEnd w:id="192"/>
      <w:bookmarkEnd w:id="193"/>
      <w:bookmarkEnd w:id="194"/>
    </w:p>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195" w:name="_Toc256788953"/>
      <w:bookmarkStart w:id="196" w:name="_Toc23624"/>
      <w:bookmarkStart w:id="197" w:name="_Toc30293"/>
      <w:bookmarkStart w:id="198" w:name="_Toc487133252"/>
      <w:bookmarkStart w:id="199" w:name="_Toc258323663"/>
      <w:r>
        <w:rPr>
          <w:rFonts w:hint="default" w:ascii="Times New Roman" w:hAnsi="Times New Roman" w:cs="Times New Roman"/>
          <w:color w:val="auto"/>
          <w:highlight w:val="none"/>
        </w:rPr>
        <w:t>地理位置</w:t>
      </w:r>
      <w:bookmarkEnd w:id="195"/>
      <w:bookmarkEnd w:id="196"/>
      <w:bookmarkEnd w:id="197"/>
      <w:bookmarkEnd w:id="198"/>
      <w:bookmarkEnd w:id="199"/>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塔城地区位于新疆维吾尔自治区的西北部、伊犁哈萨克自治州的中部，地处东经82°16′-87°21′、北纬61°25′-47°15′之间。东北与阿勒泰地区相邻，东部以玛纳斯河为界与昌吉回族自治州及石河子市相连，南以依连哈比尔尕山和婆罗科努山为界与巴音郭楞蒙古自治州和伊犁地区为邻，西南毗邻博尔塔拉蒙古自治州，西北部与哈萨克斯坦共和国接壤，边境线长480km；在地区腹心地带，有自治区直属的克拉玛依市与伊犁哈萨克自治州属的奎屯市。塔城地区所辖的塔城市位于地区的西北角，额敏县位于北部，和布克赛尔蒙古自治县在东北部，南部由东向西依次为沙湾县和乌苏市，托里县在区境的西南，裕民县在西部。</w:t>
      </w:r>
    </w:p>
    <w:p>
      <w:pPr>
        <w:pageBreakBefore w:val="0"/>
        <w:wordWrap/>
        <w:bidi w:val="0"/>
        <w:adjustRightInd w:val="0"/>
        <w:ind w:left="0" w:leftChars="0" w:right="0" w:rightChars="0" w:firstLine="480"/>
        <w:rPr>
          <w:rFonts w:hint="default" w:ascii="Times New Roman" w:hAnsi="Times New Roman" w:cs="Times New Roman"/>
          <w:color w:val="auto"/>
          <w:sz w:val="24"/>
        </w:rPr>
      </w:pPr>
      <w:r>
        <w:rPr>
          <w:rFonts w:hint="default" w:ascii="Times New Roman" w:hAnsi="Times New Roman" w:cs="Times New Roman"/>
          <w:color w:val="auto"/>
          <w:sz w:val="24"/>
        </w:rPr>
        <w:t>中共塔城地委和伊犁哈萨克自治州塔城地区行政公署驻塔城市。市区距自治区首府乌鲁木齐637km；距自治州人民政府所在地伊宁市832km，距巴克图口岸17km；距地区所属各县县城分别为：至裕民73km；至额敏57km；至托里123km；至乌苏398km；至沙湾451km；至和布克赛尔502km（以上均为公路里程）。</w:t>
      </w:r>
    </w:p>
    <w:p>
      <w:pPr>
        <w:pageBreakBefore w:val="0"/>
        <w:wordWrap/>
        <w:bidi w:val="0"/>
        <w:adjustRightInd w:val="0"/>
        <w:ind w:left="0" w:leftChars="0" w:right="0" w:rightChars="0" w:firstLine="480"/>
        <w:rPr>
          <w:rFonts w:hint="default" w:ascii="Times New Roman" w:hAnsi="Times New Roman" w:cs="Times New Roman"/>
          <w:b/>
          <w:color w:val="auto"/>
          <w:szCs w:val="21"/>
          <w:highlight w:val="none"/>
          <w:lang w:val="en-US"/>
        </w:rPr>
      </w:pPr>
      <w:r>
        <w:rPr>
          <w:rFonts w:hint="default" w:ascii="Times New Roman" w:hAnsi="Times New Roman" w:cs="Times New Roman"/>
          <w:color w:val="auto"/>
          <w:highlight w:val="none"/>
        </w:rPr>
        <w:t>本项目选址位于</w:t>
      </w:r>
      <w:r>
        <w:rPr>
          <w:rFonts w:hint="default" w:ascii="Times New Roman" w:hAnsi="Times New Roman" w:cs="Times New Roman"/>
          <w:color w:val="auto"/>
          <w:highlight w:val="none"/>
          <w:lang w:eastAsia="zh-CN"/>
        </w:rPr>
        <w:t>塔城市博孜达克镇三园子村</w:t>
      </w:r>
      <w:r>
        <w:rPr>
          <w:rFonts w:hint="default" w:ascii="Times New Roman" w:hAnsi="Times New Roman" w:cs="Times New Roman"/>
          <w:color w:val="auto"/>
          <w:highlight w:val="none"/>
        </w:rPr>
        <w:t>，</w:t>
      </w:r>
      <w:r>
        <w:rPr>
          <w:rFonts w:hint="eastAsia" w:cs="Times New Roman"/>
          <w:color w:val="auto"/>
          <w:highlight w:val="none"/>
          <w:lang w:val="en-US" w:eastAsia="zh-CN"/>
        </w:rPr>
        <w:t>周边均为空地，</w:t>
      </w:r>
      <w:r>
        <w:rPr>
          <w:rFonts w:hint="default" w:ascii="Times New Roman" w:hAnsi="Times New Roman" w:cs="Times New Roman"/>
          <w:color w:val="auto"/>
          <w:highlight w:val="none"/>
        </w:rPr>
        <w:t>地势</w:t>
      </w:r>
      <w:r>
        <w:rPr>
          <w:rFonts w:hint="default" w:ascii="Times New Roman" w:hAnsi="Times New Roman" w:cs="Times New Roman"/>
          <w:color w:val="auto"/>
          <w:highlight w:val="none"/>
          <w:lang w:eastAsia="zh-CN"/>
        </w:rPr>
        <w:t>较为平坦，</w:t>
      </w:r>
      <w:r>
        <w:rPr>
          <w:rFonts w:hint="default" w:ascii="Times New Roman" w:hAnsi="Times New Roman" w:cs="Times New Roman"/>
          <w:color w:val="auto"/>
          <w:highlight w:val="none"/>
        </w:rPr>
        <w:t>干燥、背风、向阳、排水方便、供电和交通方便</w:t>
      </w:r>
      <w:r>
        <w:rPr>
          <w:rFonts w:hint="default" w:ascii="Times New Roman" w:hAnsi="Times New Roman" w:cs="Times New Roman"/>
          <w:color w:val="auto"/>
          <w:kern w:val="0"/>
          <w:highlight w:val="none"/>
        </w:rPr>
        <w:t>。地理位置图</w:t>
      </w:r>
      <w:r>
        <w:rPr>
          <w:rFonts w:hint="eastAsia" w:cs="Times New Roman"/>
          <w:color w:val="auto"/>
          <w:kern w:val="0"/>
          <w:highlight w:val="none"/>
          <w:lang w:val="en-US" w:eastAsia="zh-CN"/>
        </w:rPr>
        <w:t>见图4.1-1，周边关系图见图4.1-2。</w:t>
      </w:r>
    </w:p>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200" w:name="_Toc22086"/>
      <w:bookmarkStart w:id="201" w:name="_Toc487133253"/>
      <w:bookmarkStart w:id="202" w:name="_Toc19153"/>
      <w:r>
        <w:rPr>
          <w:rFonts w:hint="default" w:ascii="Times New Roman" w:hAnsi="Times New Roman" w:cs="Times New Roman"/>
          <w:color w:val="auto"/>
          <w:highlight w:val="none"/>
        </w:rPr>
        <w:t>地形地貌</w:t>
      </w:r>
      <w:bookmarkEnd w:id="200"/>
      <w:bookmarkEnd w:id="201"/>
      <w:bookmarkEnd w:id="202"/>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szCs w:val="28"/>
          <w:highlight w:val="none"/>
        </w:rPr>
        <w:t>塔城市地处塔额盆地西北部，三面环山，向西开口，地形北高南低，由东北向西南倾斜。塔尔巴哈台山横亘于北缘，巴克图山纵贯于西，喀浪古尔、阿不都拉、锡伯图、乌拉斯台四条河由北向南纵贯市境，注入额敏河后由东向西出境。市境北部高山绵延，丘陵起伏；中部系广阔的洪积扇平原，兼具有“垄岗”地貌特征；南部沼泽、洼地，星罗棋布，形成闻名的库鲁斯台大草原。海拔高度由南向北从403m逐渐上升到2836m，根据地貌特征，分为中低山地，黄土丘陵，山前倾斜平原与河谷冲积平原四个地貌单元。</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项目所在区域地势较为平坦。</w:t>
      </w:r>
    </w:p>
    <w:p>
      <w:pPr>
        <w:pageBreakBefore w:val="0"/>
        <w:wordWrap/>
        <w:bidi w:val="0"/>
        <w:adjustRightInd w:val="0"/>
        <w:ind w:left="0" w:leftChars="0" w:right="0" w:rightChars="0" w:firstLine="480"/>
        <w:rPr>
          <w:rFonts w:hint="default"/>
          <w:color w:val="auto"/>
        </w:rPr>
      </w:pPr>
    </w:p>
    <w:p>
      <w:pPr>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ascii="Times New Roman" w:hAnsi="Times New Roman" w:cs="Times New Roman"/>
          <w:color w:val="auto"/>
          <w:highlight w:val="none"/>
        </w:rPr>
      </w:pPr>
    </w:p>
    <w:p>
      <w:pPr>
        <w:pageBreakBefore w:val="0"/>
        <w:wordWrap/>
        <w:bidi w:val="0"/>
        <w:adjustRightInd w:val="0"/>
        <w:ind w:left="0" w:leftChars="0" w:right="0" w:rightChars="0" w:firstLine="0" w:firstLineChars="0"/>
        <w:jc w:val="center"/>
        <w:rPr>
          <w:rFonts w:hint="eastAsia" w:ascii="Times New Roman" w:hAnsi="Times New Roman" w:eastAsia="宋体" w:cs="Times New Roman"/>
          <w:b/>
          <w:bCs/>
          <w:color w:val="auto"/>
          <w:highlight w:val="none"/>
          <w:lang w:val="en-US" w:eastAsia="zh-CN"/>
        </w:rPr>
      </w:pPr>
      <w:r>
        <w:rPr>
          <w:color w:val="auto"/>
        </w:rPr>
        <w:drawing>
          <wp:anchor distT="0" distB="0" distL="114300" distR="114300" simplePos="0" relativeHeight="251694080" behindDoc="0" locked="0" layoutInCell="1" allowOverlap="1">
            <wp:simplePos x="0" y="0"/>
            <wp:positionH relativeFrom="column">
              <wp:posOffset>4437380</wp:posOffset>
            </wp:positionH>
            <wp:positionV relativeFrom="paragraph">
              <wp:posOffset>582930</wp:posOffset>
            </wp:positionV>
            <wp:extent cx="600710" cy="845820"/>
            <wp:effectExtent l="0" t="0" r="8890" b="11430"/>
            <wp:wrapNone/>
            <wp:docPr id="8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5"/>
                    <pic:cNvPicPr>
                      <a:picLocks noChangeAspect="1"/>
                    </pic:cNvPicPr>
                  </pic:nvPicPr>
                  <pic:blipFill>
                    <a:blip r:embed="rId40"/>
                    <a:stretch>
                      <a:fillRect/>
                    </a:stretch>
                  </pic:blipFill>
                  <pic:spPr>
                    <a:xfrm>
                      <a:off x="0" y="0"/>
                      <a:ext cx="600710" cy="845820"/>
                    </a:xfrm>
                    <a:prstGeom prst="rect">
                      <a:avLst/>
                    </a:prstGeom>
                    <a:noFill/>
                    <a:ln>
                      <a:noFill/>
                    </a:ln>
                  </pic:spPr>
                </pic:pic>
              </a:graphicData>
            </a:graphic>
          </wp:anchor>
        </w:drawing>
      </w:r>
      <w:r>
        <w:rPr>
          <w:rFonts w:hint="eastAsia" w:ascii="Times New Roman" w:hAnsi="Times New Roman" w:eastAsia="宋体" w:cs="Times New Roman"/>
          <w:b/>
          <w:bCs/>
          <w:color w:val="auto"/>
          <w:highlight w:val="none"/>
          <w:lang w:val="en-US" w:eastAsia="zh-CN"/>
        </w:rPr>
        <w:drawing>
          <wp:inline distT="0" distB="0" distL="114300" distR="114300">
            <wp:extent cx="5586730" cy="7959725"/>
            <wp:effectExtent l="0" t="0" r="13970" b="3175"/>
            <wp:docPr id="23" name="图片 23" descr="塔城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塔城市"/>
                    <pic:cNvPicPr>
                      <a:picLocks noChangeAspect="1"/>
                    </pic:cNvPicPr>
                  </pic:nvPicPr>
                  <pic:blipFill>
                    <a:blip r:embed="rId41"/>
                    <a:stretch>
                      <a:fillRect/>
                    </a:stretch>
                  </pic:blipFill>
                  <pic:spPr>
                    <a:xfrm>
                      <a:off x="0" y="0"/>
                      <a:ext cx="5586730" cy="7959725"/>
                    </a:xfrm>
                    <a:prstGeom prst="rect">
                      <a:avLst/>
                    </a:prstGeom>
                  </pic:spPr>
                </pic:pic>
              </a:graphicData>
            </a:graphic>
          </wp:inline>
        </w:drawing>
      </w:r>
      <w:r>
        <w:rPr>
          <w:color w:val="auto"/>
          <w:sz w:val="24"/>
        </w:rPr>
        <mc:AlternateContent>
          <mc:Choice Requires="wps">
            <w:drawing>
              <wp:anchor distT="0" distB="0" distL="114300" distR="114300" simplePos="0" relativeHeight="251687936" behindDoc="0" locked="0" layoutInCell="1" allowOverlap="1">
                <wp:simplePos x="0" y="0"/>
                <wp:positionH relativeFrom="column">
                  <wp:posOffset>2780665</wp:posOffset>
                </wp:positionH>
                <wp:positionV relativeFrom="paragraph">
                  <wp:posOffset>5450840</wp:posOffset>
                </wp:positionV>
                <wp:extent cx="817245" cy="270510"/>
                <wp:effectExtent l="0" t="0" r="0" b="0"/>
                <wp:wrapNone/>
                <wp:docPr id="66" name="文本框 66"/>
                <wp:cNvGraphicFramePr/>
                <a:graphic xmlns:a="http://schemas.openxmlformats.org/drawingml/2006/main">
                  <a:graphicData uri="http://schemas.microsoft.com/office/word/2010/wordprocessingShape">
                    <wps:wsp>
                      <wps:cNvSpPr txBox="1"/>
                      <wps:spPr>
                        <a:xfrm>
                          <a:off x="4019550" y="6530975"/>
                          <a:ext cx="817245" cy="2705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b/>
                                <w:bCs/>
                                <w:lang w:val="en-US" w:eastAsia="zh-CN"/>
                              </w:rPr>
                            </w:pPr>
                            <w:r>
                              <w:rPr>
                                <w:rFonts w:hint="eastAsia"/>
                                <w:b/>
                                <w:bCs/>
                                <w:lang w:val="en-US" w:eastAsia="zh-CN"/>
                              </w:rPr>
                              <w:t>项目位置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8.95pt;margin-top:429.2pt;height:21.3pt;width:64.35pt;z-index:251687936;mso-width-relative:page;mso-height-relative:page;" filled="f" stroked="f" coordsize="21600,21600" o:gfxdata="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OIiaKLdAAAACwEAAA8AAAAA&#10;AAAAAQAgAAAAIgAAAGRycy9kb3ducmV2LnhtbFBLAQIUABQAAAAIAIdO4kCGl2OESAIAAHMEAAAO&#10;AAAAAAAAAAEAIAAAACwBAABkcnMvZTJvRG9jLnhtbFBLBQYAAAAABgAGAFkBAADmBQAAAAA=&#10;">
                <v:fill on="f" focussize="0,0"/>
                <v:stroke on="f" weight="0.5pt"/>
                <v:imagedata o:title=""/>
                <o:lock v:ext="edit" aspectratio="f"/>
                <v:textbox>
                  <w:txbxContent>
                    <w:p>
                      <w:pPr>
                        <w:ind w:left="0" w:leftChars="0" w:firstLine="0" w:firstLineChars="0"/>
                        <w:rPr>
                          <w:rFonts w:hint="eastAsia" w:eastAsia="宋体"/>
                          <w:b/>
                          <w:bCs/>
                          <w:lang w:val="en-US" w:eastAsia="zh-CN"/>
                        </w:rPr>
                      </w:pPr>
                      <w:r>
                        <w:rPr>
                          <w:rFonts w:hint="eastAsia"/>
                          <w:b/>
                          <w:bCs/>
                          <w:lang w:val="en-US" w:eastAsia="zh-CN"/>
                        </w:rPr>
                        <w:t>项目位置</w:t>
                      </w:r>
                    </w:p>
                  </w:txbxContent>
                </v:textbox>
              </v:shape>
            </w:pict>
          </mc:Fallback>
        </mc:AlternateContent>
      </w:r>
      <w:r>
        <w:rPr>
          <w:color w:val="auto"/>
          <w:sz w:val="24"/>
        </w:rPr>
        <mc:AlternateContent>
          <mc:Choice Requires="wps">
            <w:drawing>
              <wp:anchor distT="0" distB="0" distL="114300" distR="114300" simplePos="0" relativeHeight="251686912" behindDoc="0" locked="0" layoutInCell="1" allowOverlap="1">
                <wp:simplePos x="0" y="0"/>
                <wp:positionH relativeFrom="column">
                  <wp:posOffset>2755900</wp:posOffset>
                </wp:positionH>
                <wp:positionV relativeFrom="paragraph">
                  <wp:posOffset>5556250</wp:posOffset>
                </wp:positionV>
                <wp:extent cx="76200" cy="76200"/>
                <wp:effectExtent l="12700" t="12700" r="25400" b="25400"/>
                <wp:wrapNone/>
                <wp:docPr id="65" name="椭圆 65"/>
                <wp:cNvGraphicFramePr/>
                <a:graphic xmlns:a="http://schemas.openxmlformats.org/drawingml/2006/main">
                  <a:graphicData uri="http://schemas.microsoft.com/office/word/2010/wordprocessingShape">
                    <wps:wsp>
                      <wps:cNvSpPr/>
                      <wps:spPr>
                        <a:xfrm>
                          <a:off x="3126740" y="5996940"/>
                          <a:ext cx="76200" cy="762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17pt;margin-top:437.5pt;height:6pt;width:6pt;z-index:251686912;v-text-anchor:middle;mso-width-relative:page;mso-height-relative:page;" fillcolor="#FF0000" filled="t" stroked="t" coordsize="21600,21600" o:gfxdata="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24tbr1wAAAAsBAAAPAAAAAAAAAAEAIAAAACIAAABkcnMvZG93bnJldi54bWxQ&#10;SwECFAAUAAAACACHTuJADQSngWoCAADrBAAADgAAAAAAAAABACAAAAAmAQAAZHJzL2Uyb0RvYy54&#10;bWxQSwUGAAAAAAYABgBZAQAAAgYAAAAA&#10;">
                <v:fill on="t" focussize="0,0"/>
                <v:stroke weight="2pt" color="#FF0000 [3204]" joinstyle="round"/>
                <v:imagedata o:title=""/>
                <o:lock v:ext="edit" aspectratio="f"/>
              </v:shape>
            </w:pict>
          </mc:Fallback>
        </mc:AlternateContent>
      </w:r>
    </w:p>
    <w:p>
      <w:pPr>
        <w:pageBreakBefore w:val="0"/>
        <w:wordWrap/>
        <w:bidi w:val="0"/>
        <w:adjustRightInd w:val="0"/>
        <w:ind w:left="0" w:leftChars="0" w:right="0" w:rightChars="0" w:firstLine="0" w:firstLineChars="0"/>
        <w:jc w:val="center"/>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 xml:space="preserve">图4.1-1   </w:t>
      </w:r>
      <w:r>
        <w:rPr>
          <w:rFonts w:hint="default" w:ascii="Times New Roman" w:hAnsi="Times New Roman" w:eastAsia="宋体" w:cs="Times New Roman"/>
          <w:b/>
          <w:bCs/>
          <w:color w:val="auto"/>
          <w:highlight w:val="none"/>
        </w:rPr>
        <w:t>地理位置</w:t>
      </w:r>
      <w:r>
        <w:rPr>
          <w:rFonts w:hint="eastAsia" w:ascii="Times New Roman" w:hAnsi="Times New Roman" w:eastAsia="宋体" w:cs="Times New Roman"/>
          <w:b/>
          <w:bCs/>
          <w:color w:val="auto"/>
          <w:highlight w:val="none"/>
          <w:lang w:val="en-US" w:eastAsia="zh-CN"/>
        </w:rPr>
        <w:t>图</w:t>
      </w:r>
    </w:p>
    <w:p>
      <w:pPr>
        <w:pageBreakBefore w:val="0"/>
        <w:wordWrap/>
        <w:bidi w:val="0"/>
        <w:adjustRightInd w:val="0"/>
        <w:ind w:left="0" w:leftChars="0" w:right="0" w:rightChars="0" w:firstLine="0" w:firstLineChars="0"/>
        <w:jc w:val="center"/>
        <w:rPr>
          <w:color w:val="auto"/>
        </w:rPr>
      </w:pPr>
      <w:r>
        <w:rPr>
          <w:color w:val="auto"/>
        </w:rPr>
        <w:drawing>
          <wp:anchor distT="0" distB="0" distL="114300" distR="114300" simplePos="0" relativeHeight="251695104" behindDoc="0" locked="0" layoutInCell="1" allowOverlap="1">
            <wp:simplePos x="0" y="0"/>
            <wp:positionH relativeFrom="column">
              <wp:posOffset>4395470</wp:posOffset>
            </wp:positionH>
            <wp:positionV relativeFrom="paragraph">
              <wp:posOffset>256540</wp:posOffset>
            </wp:positionV>
            <wp:extent cx="600710" cy="845820"/>
            <wp:effectExtent l="0" t="0" r="8890" b="11430"/>
            <wp:wrapNone/>
            <wp:docPr id="8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
                    <pic:cNvPicPr>
                      <a:picLocks noChangeAspect="1"/>
                    </pic:cNvPicPr>
                  </pic:nvPicPr>
                  <pic:blipFill>
                    <a:blip r:embed="rId40"/>
                    <a:stretch>
                      <a:fillRect/>
                    </a:stretch>
                  </pic:blipFill>
                  <pic:spPr>
                    <a:xfrm>
                      <a:off x="0" y="0"/>
                      <a:ext cx="600710" cy="845820"/>
                    </a:xfrm>
                    <a:prstGeom prst="rect">
                      <a:avLst/>
                    </a:prstGeom>
                    <a:noFill/>
                    <a:ln>
                      <a:noFill/>
                    </a:ln>
                  </pic:spPr>
                </pic:pic>
              </a:graphicData>
            </a:graphic>
          </wp:anchor>
        </w:drawing>
      </w:r>
      <w:r>
        <w:rPr>
          <w:color w:val="auto"/>
          <w:sz w:val="24"/>
        </w:rPr>
        <mc:AlternateContent>
          <mc:Choice Requires="wps">
            <w:drawing>
              <wp:anchor distT="0" distB="0" distL="114300" distR="114300" simplePos="0" relativeHeight="251693056" behindDoc="0" locked="0" layoutInCell="1" allowOverlap="1">
                <wp:simplePos x="0" y="0"/>
                <wp:positionH relativeFrom="column">
                  <wp:posOffset>2202815</wp:posOffset>
                </wp:positionH>
                <wp:positionV relativeFrom="paragraph">
                  <wp:posOffset>1937385</wp:posOffset>
                </wp:positionV>
                <wp:extent cx="353060" cy="55245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353060" cy="552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宋体"/>
                                <w:b/>
                                <w:bCs/>
                                <w:lang w:val="en-US" w:eastAsia="zh-CN"/>
                              </w:rPr>
                            </w:pPr>
                            <w:r>
                              <w:rPr>
                                <w:rFonts w:hint="eastAsia"/>
                                <w:b/>
                                <w:bCs/>
                                <w:lang w:val="en-US" w:eastAsia="zh-CN"/>
                              </w:rPr>
                              <w:t>道路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3.45pt;margin-top:152.55pt;height:43.5pt;width:27.8pt;z-index:251693056;mso-width-relative:page;mso-height-relative:page;" filled="f" stroked="f" coordsize="21600,21600" o:gfxdata="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Go4pbbAAAACwEAAA8AAAAAAAAAAQAgAAAAIgAAAGRy&#10;cy9kb3ducmV2LnhtbFBLAQIUABQAAAAIAIdO4kARSjrKOwIAAGcEAAAOAAAAAAAAAAEAIAAAACoB&#10;AABkcnMvZTJvRG9jLnhtbFBLBQYAAAAABgAGAFkBAADXBQAAAAA=&#10;">
                <v:fill on="f" focussize="0,0"/>
                <v:stroke on="f" weight="0.5pt"/>
                <v:imagedata o:title=""/>
                <o:lock v:ext="edit" aspectratio="f"/>
                <v:textbox>
                  <w:txbxContent>
                    <w:p>
                      <w:pPr>
                        <w:ind w:left="0" w:leftChars="0" w:firstLine="0" w:firstLineChars="0"/>
                        <w:rPr>
                          <w:rFonts w:hint="default" w:eastAsia="宋体"/>
                          <w:b/>
                          <w:bCs/>
                          <w:lang w:val="en-US" w:eastAsia="zh-CN"/>
                        </w:rPr>
                      </w:pPr>
                      <w:r>
                        <w:rPr>
                          <w:rFonts w:hint="eastAsia"/>
                          <w:b/>
                          <w:bCs/>
                          <w:lang w:val="en-US" w:eastAsia="zh-CN"/>
                        </w:rPr>
                        <w:t>道路</w:t>
                      </w:r>
                    </w:p>
                  </w:txbxContent>
                </v:textbox>
              </v:shape>
            </w:pict>
          </mc:Fallback>
        </mc:AlternateContent>
      </w:r>
      <w:r>
        <w:rPr>
          <w:color w:val="auto"/>
          <w:sz w:val="24"/>
        </w:rPr>
        <mc:AlternateContent>
          <mc:Choice Requires="wps">
            <w:drawing>
              <wp:anchor distT="0" distB="0" distL="114300" distR="114300" simplePos="0" relativeHeight="251692032" behindDoc="0" locked="0" layoutInCell="1" allowOverlap="1">
                <wp:simplePos x="0" y="0"/>
                <wp:positionH relativeFrom="column">
                  <wp:posOffset>2707640</wp:posOffset>
                </wp:positionH>
                <wp:positionV relativeFrom="paragraph">
                  <wp:posOffset>3528060</wp:posOffset>
                </wp:positionV>
                <wp:extent cx="647700" cy="333375"/>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647700" cy="333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b/>
                                <w:bCs/>
                                <w:lang w:val="en-US" w:eastAsia="zh-CN"/>
                              </w:rPr>
                            </w:pPr>
                            <w:r>
                              <w:rPr>
                                <w:rFonts w:hint="eastAsia"/>
                                <w:b/>
                                <w:bCs/>
                                <w:lang w:val="en-US" w:eastAsia="zh-CN"/>
                              </w:rPr>
                              <w:t>空地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3.2pt;margin-top:277.8pt;height:26.25pt;width:51pt;z-index:251692032;mso-width-relative:page;mso-height-relative:page;" filled="f" stroked="f" coordsize="21600,21600" o:gfxdata="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Vyf2XbAAAACwEAAA8AAAAAAAAAAQAgAAAAIgAAAGRy&#10;cy9kb3ducmV2LnhtbFBLAQIUABQAAAAIAIdO4kAnagVKOwIAAGcEAAAOAAAAAAAAAAEAIAAAACoB&#10;AABkcnMvZTJvRG9jLnhtbFBLBQYAAAAABgAGAFkBAADXBQAAAAA=&#10;">
                <v:fill on="f" focussize="0,0"/>
                <v:stroke on="f" weight="0.5pt"/>
                <v:imagedata o:title=""/>
                <o:lock v:ext="edit" aspectratio="f"/>
                <v:textbox>
                  <w:txbxContent>
                    <w:p>
                      <w:pPr>
                        <w:ind w:left="0" w:leftChars="0" w:firstLine="0" w:firstLineChars="0"/>
                        <w:rPr>
                          <w:rFonts w:hint="eastAsia" w:eastAsia="宋体"/>
                          <w:b/>
                          <w:bCs/>
                          <w:lang w:val="en-US" w:eastAsia="zh-CN"/>
                        </w:rPr>
                      </w:pPr>
                      <w:r>
                        <w:rPr>
                          <w:rFonts w:hint="eastAsia"/>
                          <w:b/>
                          <w:bCs/>
                          <w:lang w:val="en-US" w:eastAsia="zh-CN"/>
                        </w:rPr>
                        <w:t>空地</w:t>
                      </w:r>
                    </w:p>
                  </w:txbxContent>
                </v:textbox>
              </v:shape>
            </w:pict>
          </mc:Fallback>
        </mc:AlternateContent>
      </w:r>
      <w:r>
        <w:rPr>
          <w:color w:val="auto"/>
          <w:sz w:val="24"/>
        </w:rPr>
        <mc:AlternateContent>
          <mc:Choice Requires="wps">
            <w:drawing>
              <wp:anchor distT="0" distB="0" distL="114300" distR="114300" simplePos="0" relativeHeight="251691008" behindDoc="0" locked="0" layoutInCell="1" allowOverlap="1">
                <wp:simplePos x="0" y="0"/>
                <wp:positionH relativeFrom="column">
                  <wp:posOffset>1497965</wp:posOffset>
                </wp:positionH>
                <wp:positionV relativeFrom="paragraph">
                  <wp:posOffset>5004435</wp:posOffset>
                </wp:positionV>
                <wp:extent cx="647700" cy="333375"/>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647700" cy="333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b/>
                                <w:bCs/>
                                <w:lang w:val="en-US" w:eastAsia="zh-CN"/>
                              </w:rPr>
                            </w:pPr>
                            <w:r>
                              <w:rPr>
                                <w:rFonts w:hint="eastAsia"/>
                                <w:b/>
                                <w:bCs/>
                                <w:lang w:val="en-US" w:eastAsia="zh-CN"/>
                              </w:rPr>
                              <w:t>空地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95pt;margin-top:394.05pt;height:26.25pt;width:51pt;z-index:251691008;mso-width-relative:page;mso-height-relative:page;" filled="f" stroked="f" coordsize="21600,21600" o:gfxdata="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&#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wEjpB3AAAAAsBAAAPAAAAAAAAAAEAIAAAACIAAABk&#10;cnMvZG93bnJldi54bWxQSwECFAAUAAAACACHTuJAfRXGojsCAABnBAAADgAAAAAAAAABACAAAAAr&#10;AQAAZHJzL2Uyb0RvYy54bWxQSwUGAAAAAAYABgBZAQAA2AUAAAAA&#10;">
                <v:fill on="f" focussize="0,0"/>
                <v:stroke on="f" weight="0.5pt"/>
                <v:imagedata o:title=""/>
                <o:lock v:ext="edit" aspectratio="f"/>
                <v:textbox>
                  <w:txbxContent>
                    <w:p>
                      <w:pPr>
                        <w:ind w:left="0" w:leftChars="0" w:firstLine="0" w:firstLineChars="0"/>
                        <w:rPr>
                          <w:rFonts w:hint="eastAsia" w:eastAsia="宋体"/>
                          <w:b/>
                          <w:bCs/>
                          <w:lang w:val="en-US" w:eastAsia="zh-CN"/>
                        </w:rPr>
                      </w:pPr>
                      <w:r>
                        <w:rPr>
                          <w:rFonts w:hint="eastAsia"/>
                          <w:b/>
                          <w:bCs/>
                          <w:lang w:val="en-US" w:eastAsia="zh-CN"/>
                        </w:rPr>
                        <w:t>空地</w:t>
                      </w:r>
                    </w:p>
                  </w:txbxContent>
                </v:textbox>
              </v:shape>
            </w:pict>
          </mc:Fallback>
        </mc:AlternateContent>
      </w:r>
      <w:r>
        <w:rPr>
          <w:color w:val="auto"/>
          <w:sz w:val="24"/>
        </w:rPr>
        <mc:AlternateContent>
          <mc:Choice Requires="wps">
            <w:drawing>
              <wp:anchor distT="0" distB="0" distL="114300" distR="114300" simplePos="0" relativeHeight="251689984" behindDoc="0" locked="0" layoutInCell="1" allowOverlap="1">
                <wp:simplePos x="0" y="0"/>
                <wp:positionH relativeFrom="column">
                  <wp:posOffset>12065</wp:posOffset>
                </wp:positionH>
                <wp:positionV relativeFrom="paragraph">
                  <wp:posOffset>3766185</wp:posOffset>
                </wp:positionV>
                <wp:extent cx="647700" cy="333375"/>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647700" cy="333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b/>
                                <w:bCs/>
                                <w:lang w:val="en-US" w:eastAsia="zh-CN"/>
                              </w:rPr>
                            </w:pPr>
                            <w:r>
                              <w:rPr>
                                <w:rFonts w:hint="eastAsia"/>
                                <w:b/>
                                <w:bCs/>
                                <w:lang w:val="en-US" w:eastAsia="zh-CN"/>
                              </w:rPr>
                              <w:t>空地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95pt;margin-top:296.55pt;height:26.25pt;width:51pt;z-index:251689984;mso-width-relative:page;mso-height-relative:page;" filled="f" stroked="f" coordsize="21600,21600" o:gfxdata="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HogWh2gAAAAkBAAAPAAAAAAAAAAEAIAAAACIAAABkcnMv&#10;ZG93bnJldi54bWxQSwECFAAUAAAACACHTuJA0pLyQDoCAABnBAAADgAAAAAAAAABACAAAAApAQAA&#10;ZHJzL2Uyb0RvYy54bWxQSwUGAAAAAAYABgBZAQAA1QUAAAAA&#10;">
                <v:fill on="f" focussize="0,0"/>
                <v:stroke on="f" weight="0.5pt"/>
                <v:imagedata o:title=""/>
                <o:lock v:ext="edit" aspectratio="f"/>
                <v:textbox>
                  <w:txbxContent>
                    <w:p>
                      <w:pPr>
                        <w:ind w:left="0" w:leftChars="0" w:firstLine="0" w:firstLineChars="0"/>
                        <w:rPr>
                          <w:rFonts w:hint="eastAsia" w:eastAsia="宋体"/>
                          <w:b/>
                          <w:bCs/>
                          <w:lang w:val="en-US" w:eastAsia="zh-CN"/>
                        </w:rPr>
                      </w:pPr>
                      <w:r>
                        <w:rPr>
                          <w:rFonts w:hint="eastAsia"/>
                          <w:b/>
                          <w:bCs/>
                          <w:lang w:val="en-US" w:eastAsia="zh-CN"/>
                        </w:rPr>
                        <w:t>空地</w:t>
                      </w:r>
                    </w:p>
                  </w:txbxContent>
                </v:textbox>
              </v:shape>
            </w:pict>
          </mc:Fallback>
        </mc:AlternateContent>
      </w:r>
      <w:r>
        <w:rPr>
          <w:color w:val="auto"/>
          <w:sz w:val="24"/>
        </w:rPr>
        <mc:AlternateContent>
          <mc:Choice Requires="wps">
            <w:drawing>
              <wp:anchor distT="0" distB="0" distL="114300" distR="114300" simplePos="0" relativeHeight="251688960" behindDoc="0" locked="0" layoutInCell="1" allowOverlap="1">
                <wp:simplePos x="0" y="0"/>
                <wp:positionH relativeFrom="column">
                  <wp:posOffset>1088390</wp:posOffset>
                </wp:positionH>
                <wp:positionV relativeFrom="paragraph">
                  <wp:posOffset>2051685</wp:posOffset>
                </wp:positionV>
                <wp:extent cx="647700" cy="333375"/>
                <wp:effectExtent l="0" t="0" r="0" b="0"/>
                <wp:wrapNone/>
                <wp:docPr id="74" name="文本框 74"/>
                <wp:cNvGraphicFramePr/>
                <a:graphic xmlns:a="http://schemas.openxmlformats.org/drawingml/2006/main">
                  <a:graphicData uri="http://schemas.microsoft.com/office/word/2010/wordprocessingShape">
                    <wps:wsp>
                      <wps:cNvSpPr txBox="1"/>
                      <wps:spPr>
                        <a:xfrm>
                          <a:off x="2229485" y="2966085"/>
                          <a:ext cx="647700" cy="333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b/>
                                <w:bCs/>
                                <w:lang w:val="en-US" w:eastAsia="zh-CN"/>
                              </w:rPr>
                            </w:pPr>
                            <w:r>
                              <w:rPr>
                                <w:rFonts w:hint="eastAsia"/>
                                <w:b/>
                                <w:bCs/>
                                <w:lang w:val="en-US" w:eastAsia="zh-CN"/>
                              </w:rPr>
                              <w:t>空地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7pt;margin-top:161.55pt;height:26.25pt;width:51pt;z-index:251688960;mso-width-relative:page;mso-height-relative:page;" filled="f" stroked="f" coordsize="21600,21600" o:gfxdata="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zxloTNoAAAALAQAADwAAAAAAAAAB&#10;ACAAAAAiAAAAZHJzL2Rvd25yZXYueG1sUEsBAhQAFAAAAAgAh07iQHWZ31VHAgAAcwQAAA4AAAAA&#10;AAAAAQAgAAAAKQEAAGRycy9lMm9Eb2MueG1sUEsFBgAAAAAGAAYAWQEAAOIFAAAAAA==&#10;">
                <v:fill on="f" focussize="0,0"/>
                <v:stroke on="f" weight="0.5pt"/>
                <v:imagedata o:title=""/>
                <o:lock v:ext="edit" aspectratio="f"/>
                <v:textbox>
                  <w:txbxContent>
                    <w:p>
                      <w:pPr>
                        <w:ind w:left="0" w:leftChars="0" w:firstLine="0" w:firstLineChars="0"/>
                        <w:rPr>
                          <w:rFonts w:hint="eastAsia" w:eastAsia="宋体"/>
                          <w:b/>
                          <w:bCs/>
                          <w:lang w:val="en-US" w:eastAsia="zh-CN"/>
                        </w:rPr>
                      </w:pPr>
                      <w:r>
                        <w:rPr>
                          <w:rFonts w:hint="eastAsia"/>
                          <w:b/>
                          <w:bCs/>
                          <w:lang w:val="en-US" w:eastAsia="zh-CN"/>
                        </w:rPr>
                        <w:t>空地</w:t>
                      </w:r>
                    </w:p>
                  </w:txbxContent>
                </v:textbox>
              </v:shape>
            </w:pict>
          </mc:Fallback>
        </mc:AlternateContent>
      </w:r>
      <w:r>
        <w:rPr>
          <w:color w:val="auto"/>
        </w:rPr>
        <w:drawing>
          <wp:inline distT="0" distB="0" distL="114300" distR="114300">
            <wp:extent cx="5551805" cy="7196455"/>
            <wp:effectExtent l="0" t="0" r="10795" b="4445"/>
            <wp:docPr id="7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
                    <pic:cNvPicPr>
                      <a:picLocks noChangeAspect="1"/>
                    </pic:cNvPicPr>
                  </pic:nvPicPr>
                  <pic:blipFill>
                    <a:blip r:embed="rId42"/>
                    <a:srcRect l="19468"/>
                    <a:stretch>
                      <a:fillRect/>
                    </a:stretch>
                  </pic:blipFill>
                  <pic:spPr>
                    <a:xfrm>
                      <a:off x="0" y="0"/>
                      <a:ext cx="5551805" cy="7196455"/>
                    </a:xfrm>
                    <a:prstGeom prst="rect">
                      <a:avLst/>
                    </a:prstGeom>
                    <a:noFill/>
                    <a:ln>
                      <a:noFill/>
                    </a:ln>
                  </pic:spPr>
                </pic:pic>
              </a:graphicData>
            </a:graphic>
          </wp:inline>
        </w:drawing>
      </w:r>
    </w:p>
    <w:p>
      <w:pPr>
        <w:pageBreakBefore w:val="0"/>
        <w:wordWrap/>
        <w:bidi w:val="0"/>
        <w:adjustRightInd w:val="0"/>
        <w:ind w:left="0" w:leftChars="0" w:right="0" w:rightChars="0" w:firstLine="0" w:firstLineChars="0"/>
        <w:jc w:val="center"/>
        <w:rPr>
          <w:rFonts w:hint="default" w:ascii="Times New Roman" w:hAnsi="Times New Roman" w:eastAsia="宋体" w:cs="Times New Roman"/>
          <w:b/>
          <w:bCs/>
          <w:color w:val="auto"/>
          <w:highlight w:val="none"/>
        </w:rPr>
        <w:sectPr>
          <w:headerReference r:id="rId13" w:type="default"/>
          <w:footerReference r:id="rId14" w:type="default"/>
          <w:pgSz w:w="11906" w:h="16838"/>
          <w:pgMar w:top="1440" w:right="1531"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Times New Roman" w:hAnsi="Times New Roman" w:eastAsia="宋体" w:cs="Times New Roman"/>
          <w:b/>
          <w:bCs/>
          <w:color w:val="auto"/>
          <w:highlight w:val="none"/>
          <w:lang w:val="en-US" w:eastAsia="zh-CN"/>
        </w:rPr>
        <w:t>图4.1-2   周边关系图</w:t>
      </w:r>
    </w:p>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203" w:name="_Toc487133255"/>
      <w:bookmarkStart w:id="204" w:name="_Toc11148"/>
      <w:bookmarkStart w:id="205" w:name="_Toc11618"/>
      <w:r>
        <w:rPr>
          <w:rFonts w:hint="default" w:ascii="Times New Roman" w:hAnsi="Times New Roman" w:cs="Times New Roman"/>
          <w:color w:val="auto"/>
          <w:highlight w:val="none"/>
        </w:rPr>
        <w:t>水文</w:t>
      </w:r>
      <w:r>
        <w:rPr>
          <w:rFonts w:hint="default" w:ascii="Times New Roman" w:hAnsi="Times New Roman" w:cs="Times New Roman"/>
          <w:color w:val="auto"/>
          <w:highlight w:val="none"/>
          <w:lang w:val="en-US" w:eastAsia="zh-CN"/>
        </w:rPr>
        <w:t>及水文</w:t>
      </w:r>
      <w:r>
        <w:rPr>
          <w:rFonts w:hint="default" w:ascii="Times New Roman" w:hAnsi="Times New Roman" w:cs="Times New Roman"/>
          <w:color w:val="auto"/>
          <w:highlight w:val="none"/>
        </w:rPr>
        <w:t>地质</w:t>
      </w:r>
      <w:bookmarkEnd w:id="203"/>
      <w:bookmarkEnd w:id="204"/>
      <w:bookmarkEnd w:id="205"/>
    </w:p>
    <w:p>
      <w:pPr>
        <w:adjustRightInd w:val="0"/>
        <w:snapToGrid w:val="0"/>
        <w:spacing w:line="360" w:lineRule="auto"/>
        <w:ind w:firstLine="480" w:firstLineChars="200"/>
        <w:rPr>
          <w:rFonts w:hint="default" w:ascii="Times New Roman" w:hAnsi="Times New Roman" w:cs="Times New Roman"/>
          <w:color w:val="auto"/>
          <w:sz w:val="24"/>
          <w:lang w:val="zh-CN"/>
        </w:rPr>
      </w:pPr>
      <w:r>
        <w:rPr>
          <w:rFonts w:hint="default" w:ascii="Times New Roman" w:hAnsi="Times New Roman" w:cs="Times New Roman"/>
          <w:color w:val="auto"/>
          <w:sz w:val="24"/>
          <w:lang w:val="zh-CN"/>
        </w:rPr>
        <w:t>塔城市境内水资源丰富，境内有大小河流14条，沟溪61条，泉眼万眼以上。喀浪古尔河、阿布都拉河、锡伯图河、乌拉斯台河由北向南纵贯市境注入额敏河后由东向西出境。</w:t>
      </w:r>
    </w:p>
    <w:p>
      <w:pPr>
        <w:adjustRightInd w:val="0"/>
        <w:snapToGrid w:val="0"/>
        <w:spacing w:line="360" w:lineRule="auto"/>
        <w:ind w:firstLine="480" w:firstLineChars="200"/>
        <w:rPr>
          <w:rFonts w:hint="default" w:ascii="Times New Roman" w:hAnsi="Times New Roman" w:cs="Times New Roman"/>
          <w:color w:val="auto"/>
          <w:sz w:val="24"/>
          <w:lang w:val="zh-CN"/>
        </w:rPr>
      </w:pPr>
      <w:r>
        <w:rPr>
          <w:rFonts w:hint="default" w:ascii="Times New Roman" w:hAnsi="Times New Roman" w:cs="Times New Roman"/>
          <w:color w:val="auto"/>
          <w:sz w:val="24"/>
          <w:lang w:val="zh-CN"/>
        </w:rPr>
        <w:t>（1）水文</w:t>
      </w:r>
    </w:p>
    <w:p>
      <w:pPr>
        <w:adjustRightInd w:val="0"/>
        <w:snapToGrid w:val="0"/>
        <w:spacing w:line="360" w:lineRule="auto"/>
        <w:ind w:firstLine="480" w:firstLineChars="200"/>
        <w:rPr>
          <w:rFonts w:hint="default" w:ascii="Times New Roman" w:hAnsi="Times New Roman" w:cs="Times New Roman"/>
          <w:color w:val="auto"/>
          <w:sz w:val="24"/>
          <w:lang w:val="zh-CN"/>
        </w:rPr>
      </w:pPr>
      <w:r>
        <w:rPr>
          <w:rFonts w:hint="default" w:ascii="Times New Roman" w:hAnsi="Times New Roman" w:cs="Times New Roman"/>
          <w:color w:val="auto"/>
          <w:sz w:val="24"/>
          <w:lang w:val="zh-CN"/>
        </w:rPr>
        <w:t>塔城市地处塔尔巴哈台山前洪积、冲积平原上，从西向东依次有5条河流穿过市区，分别是喀浪古尔河、师范河、水磨河、加吾尔塔木河、乌拉斯台河。河水主要用于农业灌溉，各条河流水文情况如下：</w:t>
      </w:r>
    </w:p>
    <w:p>
      <w:pPr>
        <w:adjustRightInd w:val="0"/>
        <w:snapToGrid w:val="0"/>
        <w:spacing w:line="360" w:lineRule="auto"/>
        <w:ind w:firstLine="480" w:firstLineChars="200"/>
        <w:rPr>
          <w:rFonts w:hint="default" w:ascii="Times New Roman" w:hAnsi="Times New Roman" w:cs="Times New Roman"/>
          <w:color w:val="auto"/>
          <w:sz w:val="24"/>
          <w:lang w:val="zh-CN"/>
        </w:rPr>
      </w:pPr>
      <w:r>
        <w:rPr>
          <w:rFonts w:hint="default" w:ascii="Times New Roman" w:hAnsi="Times New Roman" w:cs="Times New Roman"/>
          <w:color w:val="auto"/>
          <w:sz w:val="24"/>
          <w:lang w:val="zh-CN"/>
        </w:rPr>
        <w:t>喀浪古尔河：发源于塔尔巴哈台山，水源补给依靠融雪、降雨和泉水，为常年河。全长93km，河宽12m，深1m，集水面积309km</w:t>
      </w:r>
      <w:r>
        <w:rPr>
          <w:rFonts w:hint="default" w:ascii="Times New Roman" w:hAnsi="Times New Roman" w:cs="Times New Roman"/>
          <w:color w:val="auto"/>
          <w:sz w:val="24"/>
          <w:vertAlign w:val="superscript"/>
          <w:lang w:val="zh-CN"/>
        </w:rPr>
        <w:t>2</w:t>
      </w:r>
      <w:r>
        <w:rPr>
          <w:rFonts w:hint="default" w:ascii="Times New Roman" w:hAnsi="Times New Roman" w:cs="Times New Roman"/>
          <w:color w:val="auto"/>
          <w:sz w:val="24"/>
          <w:lang w:val="zh-CN"/>
        </w:rPr>
        <w:t>，多年平均径流量11.50亿m</w:t>
      </w:r>
      <w:r>
        <w:rPr>
          <w:rFonts w:hint="default" w:ascii="Times New Roman" w:hAnsi="Times New Roman" w:cs="Times New Roman"/>
          <w:color w:val="auto"/>
          <w:sz w:val="24"/>
          <w:vertAlign w:val="superscript"/>
          <w:lang w:val="zh-CN"/>
        </w:rPr>
        <w:t>3</w:t>
      </w:r>
      <w:r>
        <w:rPr>
          <w:rFonts w:hint="default" w:ascii="Times New Roman" w:hAnsi="Times New Roman" w:cs="Times New Roman"/>
          <w:color w:val="auto"/>
          <w:sz w:val="24"/>
          <w:lang w:val="zh-CN"/>
        </w:rPr>
        <w:t>。流经阿西尔达斡尔民族乡、二工乡、也门勒乡、也可苏牧场入额敏河，灌溉面积26.3万亩。</w:t>
      </w:r>
    </w:p>
    <w:p>
      <w:pPr>
        <w:adjustRightInd w:val="0"/>
        <w:snapToGrid w:val="0"/>
        <w:spacing w:line="360" w:lineRule="auto"/>
        <w:ind w:firstLine="480" w:firstLineChars="200"/>
        <w:rPr>
          <w:rFonts w:hint="default" w:ascii="Times New Roman" w:hAnsi="Times New Roman" w:cs="Times New Roman"/>
          <w:color w:val="auto"/>
          <w:sz w:val="24"/>
          <w:lang w:val="zh-CN"/>
        </w:rPr>
      </w:pPr>
      <w:r>
        <w:rPr>
          <w:rFonts w:hint="default" w:ascii="Times New Roman" w:hAnsi="Times New Roman" w:cs="Times New Roman"/>
          <w:color w:val="auto"/>
          <w:sz w:val="24"/>
          <w:lang w:val="zh-CN"/>
        </w:rPr>
        <w:t>师范河：发源于塔尔巴哈台山，由北向南流，水源补给依靠融雪、降雨和泉水，为常年河。全长80km，河宽平均8m，深0.87m，集水面积285km</w:t>
      </w:r>
      <w:r>
        <w:rPr>
          <w:rFonts w:hint="default" w:ascii="Times New Roman" w:hAnsi="Times New Roman" w:cs="Times New Roman"/>
          <w:color w:val="auto"/>
          <w:sz w:val="24"/>
          <w:vertAlign w:val="superscript"/>
          <w:lang w:val="zh-CN"/>
        </w:rPr>
        <w:t>2</w:t>
      </w:r>
      <w:r>
        <w:rPr>
          <w:rFonts w:hint="default" w:ascii="Times New Roman" w:hAnsi="Times New Roman" w:cs="Times New Roman"/>
          <w:color w:val="auto"/>
          <w:sz w:val="24"/>
          <w:lang w:val="zh-CN"/>
        </w:rPr>
        <w:t>。年径流量10.4亿m</w:t>
      </w:r>
      <w:r>
        <w:rPr>
          <w:rFonts w:hint="default" w:ascii="Times New Roman" w:hAnsi="Times New Roman" w:cs="Times New Roman"/>
          <w:color w:val="auto"/>
          <w:sz w:val="24"/>
          <w:vertAlign w:val="superscript"/>
          <w:lang w:val="zh-CN"/>
        </w:rPr>
        <w:t>3</w:t>
      </w:r>
      <w:r>
        <w:rPr>
          <w:rFonts w:hint="default" w:ascii="Times New Roman" w:hAnsi="Times New Roman" w:cs="Times New Roman"/>
          <w:color w:val="auto"/>
          <w:sz w:val="24"/>
          <w:lang w:val="zh-CN"/>
        </w:rPr>
        <w:t>。经阿不都拉乡、也门勒乡、也可苏牧场入额敏河，灌溉面积23.7万亩。</w:t>
      </w:r>
    </w:p>
    <w:p>
      <w:pPr>
        <w:adjustRightInd w:val="0"/>
        <w:snapToGrid w:val="0"/>
        <w:spacing w:line="360" w:lineRule="auto"/>
        <w:ind w:firstLine="480" w:firstLineChars="200"/>
        <w:rPr>
          <w:rFonts w:hint="default" w:ascii="Times New Roman" w:hAnsi="Times New Roman" w:cs="Times New Roman"/>
          <w:color w:val="auto"/>
          <w:sz w:val="24"/>
          <w:lang w:val="zh-CN"/>
        </w:rPr>
      </w:pPr>
      <w:r>
        <w:rPr>
          <w:rFonts w:hint="default" w:ascii="Times New Roman" w:hAnsi="Times New Roman" w:cs="Times New Roman"/>
          <w:color w:val="auto"/>
          <w:sz w:val="24"/>
          <w:lang w:val="zh-CN"/>
        </w:rPr>
        <w:t>水磨河：发源于塔尔巴哈台山，由北向南流，水源补给依靠融雪、降水和泉水，为常年河。全长70km，集水面积139km</w:t>
      </w:r>
      <w:r>
        <w:rPr>
          <w:rFonts w:hint="default" w:ascii="Times New Roman" w:hAnsi="Times New Roman" w:cs="Times New Roman"/>
          <w:color w:val="auto"/>
          <w:sz w:val="24"/>
          <w:vertAlign w:val="superscript"/>
          <w:lang w:val="zh-CN"/>
        </w:rPr>
        <w:t>2</w:t>
      </w:r>
      <w:r>
        <w:rPr>
          <w:rFonts w:hint="default" w:ascii="Times New Roman" w:hAnsi="Times New Roman" w:cs="Times New Roman"/>
          <w:color w:val="auto"/>
          <w:sz w:val="24"/>
          <w:lang w:val="zh-CN"/>
        </w:rPr>
        <w:t>。多年平均径流量6.56亿m</w:t>
      </w:r>
      <w:r>
        <w:rPr>
          <w:rFonts w:hint="default" w:ascii="Times New Roman" w:hAnsi="Times New Roman" w:cs="Times New Roman"/>
          <w:color w:val="auto"/>
          <w:sz w:val="24"/>
          <w:vertAlign w:val="superscript"/>
          <w:lang w:val="zh-CN"/>
        </w:rPr>
        <w:t>3</w:t>
      </w:r>
      <w:r>
        <w:rPr>
          <w:rFonts w:hint="default" w:ascii="Times New Roman" w:hAnsi="Times New Roman" w:cs="Times New Roman"/>
          <w:color w:val="auto"/>
          <w:sz w:val="24"/>
          <w:lang w:val="zh-CN"/>
        </w:rPr>
        <w:t>。流经恰夏镇、恰合吉牧场和第九师一六六团场入额敏河，灌溉面积13866.7万m</w:t>
      </w:r>
      <w:r>
        <w:rPr>
          <w:rFonts w:hint="default" w:ascii="Times New Roman" w:hAnsi="Times New Roman" w:cs="Times New Roman"/>
          <w:color w:val="auto"/>
          <w:sz w:val="24"/>
          <w:vertAlign w:val="superscript"/>
          <w:lang w:val="zh-CN"/>
        </w:rPr>
        <w:t>2</w:t>
      </w:r>
      <w:r>
        <w:rPr>
          <w:rFonts w:hint="default" w:ascii="Times New Roman" w:hAnsi="Times New Roman" w:cs="Times New Roman"/>
          <w:color w:val="auto"/>
          <w:sz w:val="24"/>
          <w:lang w:val="zh-CN"/>
        </w:rPr>
        <w:t>。</w:t>
      </w:r>
    </w:p>
    <w:p>
      <w:pPr>
        <w:adjustRightInd w:val="0"/>
        <w:snapToGrid w:val="0"/>
        <w:spacing w:line="360" w:lineRule="auto"/>
        <w:ind w:firstLine="480" w:firstLineChars="200"/>
        <w:rPr>
          <w:rFonts w:hint="default" w:ascii="Times New Roman" w:hAnsi="Times New Roman" w:cs="Times New Roman"/>
          <w:color w:val="auto"/>
          <w:sz w:val="24"/>
          <w:lang w:val="zh-CN"/>
        </w:rPr>
      </w:pPr>
      <w:r>
        <w:rPr>
          <w:rFonts w:hint="default" w:ascii="Times New Roman" w:hAnsi="Times New Roman" w:cs="Times New Roman"/>
          <w:color w:val="auto"/>
          <w:sz w:val="24"/>
          <w:lang w:val="zh-CN"/>
        </w:rPr>
        <w:t>乌拉斯台河：发源于塔尔巴哈台山，由北向南流，水源补给依靠融雪、降雨和泉水，为常年河。全长54km，集水面积228km</w:t>
      </w:r>
      <w:r>
        <w:rPr>
          <w:rFonts w:hint="default" w:ascii="Times New Roman" w:hAnsi="Times New Roman" w:cs="Times New Roman"/>
          <w:color w:val="auto"/>
          <w:sz w:val="24"/>
          <w:vertAlign w:val="superscript"/>
          <w:lang w:val="zh-CN"/>
        </w:rPr>
        <w:t>2</w:t>
      </w:r>
      <w:r>
        <w:rPr>
          <w:rFonts w:hint="default" w:ascii="Times New Roman" w:hAnsi="Times New Roman" w:cs="Times New Roman"/>
          <w:color w:val="auto"/>
          <w:sz w:val="24"/>
          <w:lang w:val="zh-CN"/>
        </w:rPr>
        <w:t>，年径流量4.20亿m</w:t>
      </w:r>
      <w:r>
        <w:rPr>
          <w:rFonts w:hint="default" w:ascii="Times New Roman" w:hAnsi="Times New Roman" w:cs="Times New Roman"/>
          <w:color w:val="auto"/>
          <w:sz w:val="24"/>
          <w:vertAlign w:val="superscript"/>
          <w:lang w:val="zh-CN"/>
        </w:rPr>
        <w:t>3</w:t>
      </w:r>
      <w:r>
        <w:rPr>
          <w:rFonts w:hint="default" w:ascii="Times New Roman" w:hAnsi="Times New Roman" w:cs="Times New Roman"/>
          <w:color w:val="auto"/>
          <w:sz w:val="24"/>
          <w:lang w:val="zh-CN"/>
        </w:rPr>
        <w:t>。流经二工乡，进入市区后，与喀拉墩河汇合入叶尔盖提河，灌溉面积4333.3万m</w:t>
      </w:r>
      <w:r>
        <w:rPr>
          <w:rFonts w:hint="default" w:ascii="Times New Roman" w:hAnsi="Times New Roman" w:cs="Times New Roman"/>
          <w:color w:val="auto"/>
          <w:sz w:val="24"/>
          <w:vertAlign w:val="superscript"/>
          <w:lang w:val="zh-CN"/>
        </w:rPr>
        <w:t>2</w:t>
      </w:r>
      <w:r>
        <w:rPr>
          <w:rFonts w:hint="default" w:ascii="Times New Roman" w:hAnsi="Times New Roman" w:cs="Times New Roman"/>
          <w:color w:val="auto"/>
          <w:sz w:val="24"/>
          <w:lang w:val="zh-CN"/>
        </w:rPr>
        <w:t>。</w:t>
      </w:r>
    </w:p>
    <w:p>
      <w:pPr>
        <w:adjustRightInd w:val="0"/>
        <w:snapToGrid w:val="0"/>
        <w:spacing w:line="360" w:lineRule="auto"/>
        <w:ind w:firstLine="480" w:firstLineChars="200"/>
        <w:rPr>
          <w:rFonts w:hint="default" w:ascii="Times New Roman" w:hAnsi="Times New Roman" w:cs="Times New Roman"/>
          <w:color w:val="auto"/>
          <w:sz w:val="24"/>
          <w:lang w:val="zh-CN"/>
        </w:rPr>
      </w:pPr>
      <w:r>
        <w:rPr>
          <w:rFonts w:hint="default" w:ascii="Times New Roman" w:hAnsi="Times New Roman" w:cs="Times New Roman"/>
          <w:color w:val="auto"/>
          <w:sz w:val="24"/>
          <w:lang w:val="zh-CN"/>
        </w:rPr>
        <w:t>加吾尔塔木河：发源于塔尔巴哈台山，由北向南流，水源补给依靠融雪、降雨和泉水，为常年河。全长18km，集水面积4000km</w:t>
      </w:r>
      <w:r>
        <w:rPr>
          <w:rFonts w:hint="default" w:ascii="Times New Roman" w:hAnsi="Times New Roman" w:cs="Times New Roman"/>
          <w:color w:val="auto"/>
          <w:sz w:val="24"/>
          <w:vertAlign w:val="superscript"/>
          <w:lang w:val="zh-CN"/>
        </w:rPr>
        <w:t>2</w:t>
      </w:r>
      <w:r>
        <w:rPr>
          <w:rFonts w:hint="default" w:ascii="Times New Roman" w:hAnsi="Times New Roman" w:cs="Times New Roman"/>
          <w:color w:val="auto"/>
          <w:sz w:val="24"/>
          <w:lang w:val="zh-CN"/>
        </w:rPr>
        <w:t>，年径流量3.38亿m</w:t>
      </w:r>
      <w:r>
        <w:rPr>
          <w:rFonts w:hint="default" w:ascii="Times New Roman" w:hAnsi="Times New Roman" w:cs="Times New Roman"/>
          <w:color w:val="auto"/>
          <w:sz w:val="24"/>
          <w:vertAlign w:val="superscript"/>
          <w:lang w:val="zh-CN"/>
        </w:rPr>
        <w:t>3</w:t>
      </w:r>
      <w:r>
        <w:rPr>
          <w:rFonts w:hint="default" w:ascii="Times New Roman" w:hAnsi="Times New Roman" w:cs="Times New Roman"/>
          <w:color w:val="auto"/>
          <w:sz w:val="24"/>
          <w:lang w:val="zh-CN"/>
        </w:rPr>
        <w:t>，灌溉面积3133.3m</w:t>
      </w:r>
      <w:r>
        <w:rPr>
          <w:rFonts w:hint="default" w:ascii="Times New Roman" w:hAnsi="Times New Roman" w:cs="Times New Roman"/>
          <w:color w:val="auto"/>
          <w:sz w:val="24"/>
          <w:vertAlign w:val="superscript"/>
          <w:lang w:val="zh-CN"/>
        </w:rPr>
        <w:t>2</w:t>
      </w:r>
      <w:r>
        <w:rPr>
          <w:rFonts w:hint="default" w:ascii="Times New Roman" w:hAnsi="Times New Roman" w:cs="Times New Roman"/>
          <w:color w:val="auto"/>
          <w:sz w:val="24"/>
          <w:lang w:val="zh-CN"/>
        </w:rPr>
        <w:t>。</w:t>
      </w:r>
    </w:p>
    <w:p>
      <w:pPr>
        <w:adjustRightInd w:val="0"/>
        <w:snapToGrid w:val="0"/>
        <w:spacing w:line="360" w:lineRule="auto"/>
        <w:ind w:firstLine="480" w:firstLineChars="200"/>
        <w:rPr>
          <w:rFonts w:hint="default" w:ascii="Times New Roman" w:hAnsi="Times New Roman" w:cs="Times New Roman"/>
          <w:color w:val="auto"/>
          <w:sz w:val="24"/>
          <w:lang w:val="zh-CN"/>
        </w:rPr>
      </w:pPr>
      <w:r>
        <w:rPr>
          <w:rFonts w:hint="default" w:ascii="Times New Roman" w:hAnsi="Times New Roman" w:cs="Times New Roman"/>
          <w:color w:val="auto"/>
          <w:sz w:val="24"/>
          <w:lang w:val="zh-CN"/>
        </w:rPr>
        <w:t>（2）</w:t>
      </w:r>
      <w:r>
        <w:rPr>
          <w:rFonts w:hint="default" w:ascii="Times New Roman" w:hAnsi="Times New Roman" w:cs="Times New Roman"/>
          <w:bCs/>
          <w:color w:val="auto"/>
          <w:sz w:val="24"/>
          <w:szCs w:val="24"/>
          <w:highlight w:val="none"/>
          <w:lang w:val="en-US" w:eastAsia="zh-CN"/>
        </w:rPr>
        <w:t>地下水</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lang w:val="zh-CN"/>
        </w:rPr>
      </w:pPr>
      <w:r>
        <w:rPr>
          <w:rFonts w:hint="default" w:ascii="Times New Roman" w:hAnsi="Times New Roman" w:cs="Times New Roman"/>
          <w:color w:val="auto"/>
          <w:sz w:val="24"/>
          <w:lang w:val="zh-CN"/>
        </w:rPr>
        <w:t>塔城-额敏盆地地下水类型主要为第四系松散岩类孔隙潜水和承压水。基岩裂隙水主要分布于周边山区，为盆地地下水的补给区。盆地水文地质条件较好，第四系岩层覆盖较厚，地下水比较丰富，地下水含水层主要为砂层、砾石层(碎石层)和卵石层。地下水补给来源主要为大气降水入渗补给，周围山地融化的雪水补给，河流及部分渠道、农田灌溉水的渗漏补给。</w:t>
      </w:r>
    </w:p>
    <w:p>
      <w:pPr>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right="0" w:firstLine="480" w:firstLineChars="200"/>
        <w:jc w:val="both"/>
        <w:textAlignment w:val="auto"/>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塔城市内泉水点多，市内泉水水量丰富，是重要的水资源之一，有较大泉水溢出点 47处，泉眼171个，泉水年径流量为3.04亿m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。塔城市内的湖泊均为泉水湖，湖水最深1.5m，最大湖萨热库勒咸水湖，面积</w:t>
      </w:r>
      <w:r>
        <w:rPr>
          <w:rFonts w:hint="default" w:ascii="Times New Roman" w:hAnsi="Times New Roman" w:cs="Times New Roman"/>
          <w:color w:val="auto"/>
          <w:sz w:val="24"/>
          <w:highlight w:val="none"/>
          <w:lang w:eastAsia="zh-CN"/>
        </w:rPr>
        <w:t>约</w:t>
      </w:r>
      <w:r>
        <w:rPr>
          <w:rFonts w:hint="default" w:ascii="Times New Roman" w:hAnsi="Times New Roman" w:cs="Times New Roman"/>
          <w:color w:val="auto"/>
          <w:sz w:val="24"/>
          <w:highlight w:val="none"/>
        </w:rPr>
        <w:t>8600m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 xml:space="preserve">。 </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lang w:eastAsia="zh-CN"/>
        </w:rPr>
        <w:t>项目区</w:t>
      </w:r>
      <w:r>
        <w:rPr>
          <w:rFonts w:hint="default" w:ascii="Times New Roman" w:hAnsi="Times New Roman" w:cs="Times New Roman"/>
          <w:color w:val="auto"/>
          <w:sz w:val="24"/>
          <w:highlight w:val="none"/>
        </w:rPr>
        <w:t>位于塔额盆地北缘塔尔巴哈台山南麓，山脉西宽东窄，北高南低；分水岭一带海拔</w:t>
      </w:r>
      <w:r>
        <w:rPr>
          <w:rFonts w:hint="default" w:ascii="Times New Roman" w:hAnsi="Times New Roman" w:cs="Times New Roman"/>
          <w:color w:val="auto"/>
          <w:sz w:val="24"/>
          <w:highlight w:val="none"/>
          <w:lang w:val="en-US" w:eastAsia="zh-CN"/>
        </w:rPr>
        <w:t>2000m</w:t>
      </w:r>
      <w:r>
        <w:rPr>
          <w:rFonts w:hint="default" w:ascii="Times New Roman" w:hAnsi="Times New Roman" w:cs="Times New Roman"/>
          <w:color w:val="auto"/>
          <w:sz w:val="24"/>
          <w:highlight w:val="none"/>
        </w:rPr>
        <w:t>以上，最高达2844m，相对高差500~1000m，属切割较强的中山地形，为上、下古生代岩层和花岗岩侵入体所组成的强褶皱断块隆起山地，河谷呈“V”形，两侧山体陡立，节理裂隙发育，易形成倒石堆。南侧大部分海拔1200~2300m之间，切割深度小于500m，属于中低山地形。该段河道狭窄，河谷亦呈“U”型谷，侵蚀作用较强烈，河流下切较深，局部地段下切深度可达数十米。河谷阶地不发育，仅在两岸个别地段有小范围的一、二级阶地分布，三级阶不发育，阶地堆积物为中一上更新统形成的冰碛层，其岩性为漂石、卵石，上覆低液限粉士，下部为基岩；一级阶地多数不发育，局部高出河面3~5m，二级阶地高出一级阶地几米至数十米不等。山前一带有分布不广的低山丘陵地形，海拔一般在800～1200m，切割深度为100～200m。塔尔巴哈台山南坡的融雪水和大气降水，汇集于冲沟和河道中，流出山口后在 冲洪积扇中、上部大量渗失，补给了冲洪积平原的地下水。地下水在松散岩层的孔隙中大体自北向南径流，至塔城市镇区附近和扇缘地带形成了本区多层结构的潜水和承压水，且部分以泉的形式溢出地表，部分通过地下径流补给南部冲洪积平原区的地下水。区内地下水有补给意义的主要是河水入渗，其次是春季融雪水和暴雨洪流入渗，渠系和灌溉入渗仅对潜水有补给意义</w:t>
      </w:r>
      <w:r>
        <w:rPr>
          <w:rFonts w:hint="default" w:ascii="Times New Roman" w:hAnsi="Times New Roman" w:cs="Times New Roman"/>
          <w:color w:val="auto"/>
          <w:sz w:val="24"/>
          <w:highlight w:val="none"/>
          <w:lang w:val="zh-CN"/>
        </w:rPr>
        <w:t>。</w:t>
      </w:r>
    </w:p>
    <w:p>
      <w:pPr>
        <w:widowControl/>
        <w:spacing w:line="360" w:lineRule="auto"/>
        <w:ind w:firstLine="480" w:firstLineChars="200"/>
        <w:jc w:val="left"/>
        <w:rPr>
          <w:rFonts w:hint="default" w:ascii="Times New Roman" w:hAnsi="Times New Roman" w:eastAsia="宋体" w:cs="Times New Roman"/>
          <w:color w:val="auto"/>
          <w:sz w:val="24"/>
          <w:lang w:val="zh-CN"/>
        </w:rPr>
      </w:pPr>
      <w:r>
        <w:rPr>
          <w:rFonts w:hint="eastAsia" w:cs="Times New Roman"/>
          <w:bCs/>
          <w:color w:val="auto"/>
          <w:sz w:val="24"/>
          <w:szCs w:val="24"/>
          <w:highlight w:val="none"/>
          <w:lang w:val="en-US" w:eastAsia="zh-CN"/>
        </w:rPr>
        <w:t>（3）</w:t>
      </w:r>
      <w:r>
        <w:rPr>
          <w:rFonts w:hint="default" w:ascii="Times New Roman" w:hAnsi="Times New Roman" w:cs="Times New Roman"/>
          <w:bCs/>
          <w:color w:val="auto"/>
          <w:sz w:val="24"/>
          <w:szCs w:val="24"/>
          <w:highlight w:val="none"/>
          <w:lang w:val="en-US" w:eastAsia="zh-CN"/>
        </w:rPr>
        <w:t>水文地质</w:t>
      </w:r>
    </w:p>
    <w:p>
      <w:pPr>
        <w:widowControl/>
        <w:spacing w:line="360" w:lineRule="auto"/>
        <w:ind w:firstLine="480" w:firstLineChars="200"/>
        <w:jc w:val="left"/>
        <w:rPr>
          <w:rFonts w:hint="default" w:ascii="Times New Roman" w:hAnsi="Times New Roman" w:eastAsia="宋体" w:cs="Times New Roman"/>
          <w:color w:val="auto"/>
          <w:sz w:val="24"/>
          <w:lang w:val="zh-CN"/>
        </w:rPr>
      </w:pPr>
      <w:r>
        <w:rPr>
          <w:rFonts w:hint="default" w:ascii="Times New Roman" w:hAnsi="Times New Roman" w:cs="Times New Roman"/>
          <w:color w:val="auto"/>
          <w:sz w:val="24"/>
          <w:highlight w:val="none"/>
          <w:lang w:val="en-US" w:eastAsia="zh-CN"/>
        </w:rPr>
        <w:t>从区域地质构造看，塔额盆地为一新生代山间凹陷，第四纪以来，在新构造运动作用下不断下沉，堆积厚度达几十米到百余米的卵砾石和砂土层，形成以四周向中部延伸的含水层。塔尔巴哈台山南坡的山前冲洪积物自北向河谷地带由厚变薄，再由薄逐渐增厚。这些松散沉积物为地下水的补给、径流和排泄提供了极为良好的条件。冲洪积平原上部为第四系孔隙含水层、下部为侏罗纪、白垩纪或第三系的碎屑岩类裂隙含水岩组。塔额盘地是在新生代形成的断陷盆地，基底之上普遍分布有第三系泥质不透水层，第四系的沉积也是上粗下细在第四系松散地层中，含水层多集中在埋深100m以内。盆地东部额敏河尚有地层埋深100m以内，潜水含水层厚8-40m，盆地南部100m埋深以内有两层承压自流水，含水层厚4-9m，第一层顶板埋深约15m，额敏河以北自流水埋深10-60m，含水层厚4-13m。区域地下水总体流向为自北向南方向</w:t>
      </w:r>
      <w:r>
        <w:rPr>
          <w:rFonts w:hint="eastAsia" w:cs="Times New Roman"/>
          <w:color w:val="auto"/>
          <w:sz w:val="24"/>
          <w:highlight w:val="none"/>
          <w:lang w:val="en-US" w:eastAsia="zh-CN"/>
        </w:rPr>
        <w:t>。</w:t>
      </w:r>
    </w:p>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气候气象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rPr>
        <w:t>塔城地区属中温带干旱和半干旱气候区，春季升温快，冷暖波动大。夏季月平均气温在20℃以上，炎热期最长90d，酷热期最长29d。秋季气温下降迅速，一个多月时间，气温可下降20℃。冬季严寒且漫长，将近半年。年极端最高气温40℃，极端最低气温零下40℃。塔城盆地降水量稍多，年均290mm，蒸发量1600mm。乌苏、沙湾、和布克赛尔3县所处的准噶尔盆地降水稀少，年均降水不足150mm，蒸发量却高达2100mm。全地区年平均太阳总辐射量135kCal/c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，日照2800~3000h，无霜期130~190d。全疆闻名的托里老风口及风线地带，时有大风，一次大风最长持续7d，最高风速达40m/s</w:t>
      </w:r>
      <w:r>
        <w:rPr>
          <w:rFonts w:hint="default" w:ascii="Times New Roman" w:hAnsi="Times New Roman" w:cs="Times New Roman"/>
          <w:color w:val="auto"/>
          <w:sz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 xml:space="preserve">年主导风向                    </w:t>
      </w:r>
      <w:r>
        <w:rPr>
          <w:rFonts w:hint="default" w:ascii="Times New Roman" w:hAnsi="Times New Roman" w:cs="Times New Roman"/>
          <w:color w:val="auto"/>
          <w:sz w:val="24"/>
          <w:lang w:val="en-US" w:eastAsia="zh-CN"/>
        </w:rPr>
        <w:t xml:space="preserve"> </w:t>
      </w:r>
      <w:r>
        <w:rPr>
          <w:rFonts w:hint="default" w:ascii="Times New Roman" w:hAnsi="Times New Roman" w:cs="Times New Roman"/>
          <w:color w:val="auto"/>
          <w:sz w:val="24"/>
        </w:rPr>
        <w:t>北风</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年平均气温                     7.1℃</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极端最高气温                   40℃</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极端最低气温                   -40℃</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年平均降水量                   290mm</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年蒸发量                       1600mm</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年平均风速                     2.45m/s</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年日照时数                     2800~3000h</w:t>
      </w:r>
    </w:p>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206" w:name="_Toc19625"/>
      <w:bookmarkStart w:id="207" w:name="_Toc487133257"/>
      <w:bookmarkStart w:id="208" w:name="_Toc29595"/>
      <w:r>
        <w:rPr>
          <w:rFonts w:hint="default" w:ascii="Times New Roman" w:hAnsi="Times New Roman" w:cs="Times New Roman"/>
          <w:color w:val="auto"/>
          <w:highlight w:val="none"/>
        </w:rPr>
        <w:t>动植物资源</w:t>
      </w:r>
      <w:bookmarkEnd w:id="206"/>
      <w:bookmarkEnd w:id="207"/>
      <w:bookmarkEnd w:id="208"/>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塔城市境内动植物种类繁多，资源丰富。根据项目区生态环境现状的调查，</w:t>
      </w:r>
      <w:r>
        <w:rPr>
          <w:rFonts w:hint="default" w:ascii="Times New Roman" w:hAnsi="Times New Roman" w:cs="Times New Roman"/>
          <w:bCs/>
          <w:color w:val="auto"/>
          <w:sz w:val="24"/>
        </w:rPr>
        <w:t>厂区</w:t>
      </w:r>
      <w:r>
        <w:rPr>
          <w:rFonts w:hint="default" w:ascii="Times New Roman" w:hAnsi="Times New Roman" w:cs="Times New Roman"/>
          <w:color w:val="auto"/>
          <w:sz w:val="24"/>
        </w:rPr>
        <w:t>周边所在区域属于乡村生态环境。区内野生动物较少，主要为常见的鼠、麻雀类等，未发现珍稀动物物种。区内植物以常见的人工木本植物和草本植物为主。木本植物包括杨树、榆树、沙枣树等；草本植物主要有狗尾草、车前草等。本区域内未发现珍稀动植物物种，无珍稀濒危物种、名木古树和其它需重点保护的动植物物种。</w:t>
      </w:r>
    </w:p>
    <w:p>
      <w:pPr>
        <w:pStyle w:val="4"/>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209" w:name="_Toc6658"/>
      <w:bookmarkStart w:id="210" w:name="_Toc28631"/>
      <w:bookmarkStart w:id="211" w:name="_Toc25705"/>
      <w:r>
        <w:rPr>
          <w:rFonts w:hint="default" w:ascii="Times New Roman" w:hAnsi="Times New Roman" w:cs="Times New Roman"/>
          <w:color w:val="auto"/>
          <w:highlight w:val="none"/>
        </w:rPr>
        <w:t>环境质量现状调查及评价</w:t>
      </w:r>
      <w:bookmarkEnd w:id="209"/>
      <w:bookmarkEnd w:id="210"/>
      <w:bookmarkEnd w:id="211"/>
    </w:p>
    <w:p>
      <w:pPr>
        <w:pStyle w:val="6"/>
        <w:pageBreakBefore w:val="0"/>
        <w:wordWrap/>
        <w:bidi w:val="0"/>
        <w:adjustRightInd w:val="0"/>
        <w:ind w:left="0" w:leftChars="0" w:right="0" w:rightChars="0" w:firstLine="0" w:firstLineChars="0"/>
        <w:outlineLvl w:val="2"/>
        <w:rPr>
          <w:rFonts w:hint="default" w:ascii="Times New Roman" w:hAnsi="Times New Roman" w:cs="Times New Roman"/>
          <w:color w:val="auto"/>
          <w:highlight w:val="none"/>
        </w:rPr>
      </w:pPr>
      <w:r>
        <w:rPr>
          <w:rFonts w:hint="default" w:ascii="Times New Roman" w:hAnsi="Times New Roman" w:cs="Times New Roman"/>
          <w:color w:val="auto"/>
          <w:highlight w:val="none"/>
        </w:rPr>
        <w:t>区域环境空气达标判定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根据《环境影响评价技术导则 大气环境》（HJ2.2-2018），本项目进行空气环境达标区的判定和区域各污染物的环境质量现状评价。本项目位于新疆维吾尔自治区塔城地区</w:t>
      </w:r>
      <w:r>
        <w:rPr>
          <w:rFonts w:hint="eastAsia" w:cs="Times New Roman"/>
          <w:color w:val="auto"/>
          <w:sz w:val="24"/>
          <w:szCs w:val="24"/>
          <w:highlight w:val="none"/>
          <w:lang w:val="en-US" w:eastAsia="zh-CN"/>
        </w:rPr>
        <w:t>博孜达克镇三园子村</w:t>
      </w:r>
      <w:r>
        <w:rPr>
          <w:rFonts w:hint="default" w:ascii="Times New Roman" w:hAnsi="Times New Roman" w:cs="Times New Roman"/>
          <w:color w:val="auto"/>
          <w:sz w:val="24"/>
          <w:szCs w:val="24"/>
          <w:highlight w:val="none"/>
          <w:lang w:val="en-US" w:eastAsia="zh-CN"/>
        </w:rPr>
        <w:t>，本次大气现状常规污染物大气监测数据</w:t>
      </w:r>
      <w:r>
        <w:rPr>
          <w:rFonts w:hint="default" w:ascii="Times New Roman" w:hAnsi="Times New Roman" w:eastAsia="宋体" w:cs="Times New Roman"/>
          <w:color w:val="auto"/>
          <w:kern w:val="0"/>
          <w:sz w:val="24"/>
          <w:szCs w:val="24"/>
          <w:lang w:val="en-US" w:eastAsia="zh-CN" w:bidi="ar"/>
        </w:rPr>
        <w:t>选择离项目最近的</w:t>
      </w:r>
      <w:r>
        <w:rPr>
          <w:rFonts w:hint="default" w:ascii="Times New Roman" w:hAnsi="Times New Roman" w:cs="Times New Roman"/>
          <w:color w:val="auto"/>
          <w:sz w:val="24"/>
          <w:szCs w:val="24"/>
          <w:highlight w:val="none"/>
          <w:lang w:val="en-US" w:eastAsia="zh-CN"/>
        </w:rPr>
        <w:t>塔城地区</w:t>
      </w:r>
      <w:r>
        <w:rPr>
          <w:rFonts w:hint="default" w:ascii="Times New Roman" w:hAnsi="Times New Roman" w:cs="Times New Roman"/>
          <w:color w:val="auto"/>
          <w:sz w:val="24"/>
          <w:szCs w:val="24"/>
        </w:rPr>
        <w:t>国控监测站</w:t>
      </w:r>
      <w:r>
        <w:rPr>
          <w:rFonts w:hint="default" w:ascii="Times New Roman" w:hAnsi="Times New Roman" w:eastAsia="宋体" w:cs="Times New Roman"/>
          <w:color w:val="auto"/>
          <w:kern w:val="0"/>
          <w:sz w:val="24"/>
          <w:szCs w:val="24"/>
          <w:lang w:val="en-US" w:eastAsia="zh-CN" w:bidi="ar"/>
        </w:rPr>
        <w:t>的相关数据进行统计分析，</w:t>
      </w:r>
      <w:r>
        <w:rPr>
          <w:rFonts w:hint="default" w:ascii="Times New Roman" w:hAnsi="Times New Roman" w:cs="Times New Roman"/>
          <w:color w:val="auto"/>
          <w:sz w:val="24"/>
          <w:szCs w:val="24"/>
          <w:highlight w:val="none"/>
          <w:lang w:val="en-US" w:eastAsia="zh-CN"/>
        </w:rPr>
        <w:t>所使用的大气现状监测数据基本满足本项目的分析要求。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根据中国环境影响评价网的环境空气质量模型技术支持服务系统公布的2021年塔城地区环境空气质量见表4.2-1。</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 xml:space="preserve">4.2-1    </w:t>
      </w:r>
      <w:r>
        <w:rPr>
          <w:rFonts w:hint="default" w:ascii="Times New Roman" w:hAnsi="Times New Roman" w:eastAsia="宋体" w:cs="Times New Roman"/>
          <w:b/>
          <w:bCs/>
          <w:color w:val="auto"/>
          <w:sz w:val="21"/>
          <w:szCs w:val="21"/>
          <w:highlight w:val="none"/>
        </w:rPr>
        <w:t>区域空气质量达标区判定结果表</w:t>
      </w:r>
    </w:p>
    <w:tbl>
      <w:tblPr>
        <w:tblStyle w:val="39"/>
        <w:tblW w:w="8556"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28" w:type="dxa"/>
          <w:bottom w:w="0" w:type="dxa"/>
          <w:right w:w="28" w:type="dxa"/>
        </w:tblCellMar>
      </w:tblPr>
      <w:tblGrid>
        <w:gridCol w:w="1309"/>
        <w:gridCol w:w="1310"/>
        <w:gridCol w:w="1659"/>
        <w:gridCol w:w="1613"/>
        <w:gridCol w:w="1209"/>
        <w:gridCol w:w="1456"/>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14" w:hRule="atLeast"/>
        </w:trPr>
        <w:tc>
          <w:tcPr>
            <w:tcW w:w="1309" w:type="dxa"/>
            <w:tcBorders>
              <w:top w:val="single" w:color="000000" w:sz="12" w:space="0"/>
              <w:left w:val="nil"/>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评价因子</w:t>
            </w:r>
          </w:p>
        </w:tc>
        <w:tc>
          <w:tcPr>
            <w:tcW w:w="1310" w:type="dxa"/>
            <w:tcBorders>
              <w:top w:val="single" w:color="000000" w:sz="12" w:space="0"/>
              <w:left w:val="single" w:color="000000" w:sz="6"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年评价指标</w:t>
            </w:r>
          </w:p>
        </w:tc>
        <w:tc>
          <w:tcPr>
            <w:tcW w:w="1659" w:type="dxa"/>
            <w:tcBorders>
              <w:top w:val="single" w:color="000000" w:sz="12" w:space="0"/>
              <w:left w:val="single" w:color="000000" w:sz="6"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现状浓度μg/m</w:t>
            </w:r>
            <w:r>
              <w:rPr>
                <w:rFonts w:hint="default" w:ascii="Times New Roman" w:hAnsi="Times New Roman" w:eastAsia="宋体" w:cs="Times New Roman"/>
                <w:color w:val="auto"/>
                <w:kern w:val="0"/>
                <w:sz w:val="21"/>
                <w:szCs w:val="21"/>
                <w:highlight w:val="none"/>
                <w:vertAlign w:val="superscript"/>
              </w:rPr>
              <w:t>3</w:t>
            </w:r>
          </w:p>
        </w:tc>
        <w:tc>
          <w:tcPr>
            <w:tcW w:w="1613" w:type="dxa"/>
            <w:tcBorders>
              <w:top w:val="single" w:color="000000" w:sz="12" w:space="0"/>
              <w:left w:val="single" w:color="000000" w:sz="6"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评价标准μg/m</w:t>
            </w:r>
            <w:r>
              <w:rPr>
                <w:rFonts w:hint="default" w:ascii="Times New Roman" w:hAnsi="Times New Roman" w:eastAsia="宋体" w:cs="Times New Roman"/>
                <w:color w:val="auto"/>
                <w:kern w:val="0"/>
                <w:sz w:val="21"/>
                <w:szCs w:val="21"/>
                <w:highlight w:val="none"/>
                <w:vertAlign w:val="superscript"/>
              </w:rPr>
              <w:t>3</w:t>
            </w:r>
          </w:p>
        </w:tc>
        <w:tc>
          <w:tcPr>
            <w:tcW w:w="1209" w:type="dxa"/>
            <w:tcBorders>
              <w:top w:val="single" w:color="000000" w:sz="12" w:space="0"/>
              <w:left w:val="single" w:color="000000" w:sz="6"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占标率/%</w:t>
            </w:r>
          </w:p>
        </w:tc>
        <w:tc>
          <w:tcPr>
            <w:tcW w:w="1456" w:type="dxa"/>
            <w:tcBorders>
              <w:top w:val="single" w:color="000000" w:sz="12" w:space="0"/>
              <w:left w:val="single" w:color="000000" w:sz="6" w:space="0"/>
              <w:bottom w:val="single" w:color="000000" w:sz="6" w:space="0"/>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达标情况</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298" w:hRule="atLeast"/>
        </w:trPr>
        <w:tc>
          <w:tcPr>
            <w:tcW w:w="1309" w:type="dxa"/>
            <w:tcBorders>
              <w:top w:val="single" w:color="000000" w:sz="6" w:space="0"/>
              <w:left w:val="nil"/>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SO</w:t>
            </w:r>
            <w:r>
              <w:rPr>
                <w:rFonts w:hint="default" w:ascii="Times New Roman" w:hAnsi="Times New Roman" w:eastAsia="宋体" w:cs="Times New Roman"/>
                <w:color w:val="auto"/>
                <w:kern w:val="0"/>
                <w:sz w:val="21"/>
                <w:szCs w:val="21"/>
                <w:highlight w:val="none"/>
                <w:vertAlign w:val="subscript"/>
              </w:rPr>
              <w:t>2</w:t>
            </w:r>
          </w:p>
        </w:tc>
        <w:tc>
          <w:tcPr>
            <w:tcW w:w="131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年平均</w:t>
            </w:r>
          </w:p>
        </w:tc>
        <w:tc>
          <w:tcPr>
            <w:tcW w:w="1659"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5</w:t>
            </w:r>
          </w:p>
        </w:tc>
        <w:tc>
          <w:tcPr>
            <w:tcW w:w="1613"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60</w:t>
            </w:r>
          </w:p>
        </w:tc>
        <w:tc>
          <w:tcPr>
            <w:tcW w:w="1209"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8.33</w:t>
            </w:r>
          </w:p>
        </w:tc>
        <w:tc>
          <w:tcPr>
            <w:tcW w:w="1456" w:type="dxa"/>
            <w:tcBorders>
              <w:top w:val="single" w:color="000000" w:sz="6" w:space="0"/>
              <w:left w:val="single" w:color="000000" w:sz="6" w:space="0"/>
              <w:bottom w:val="single" w:color="000000" w:sz="6" w:space="0"/>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298" w:hRule="atLeast"/>
        </w:trPr>
        <w:tc>
          <w:tcPr>
            <w:tcW w:w="1309" w:type="dxa"/>
            <w:tcBorders>
              <w:top w:val="single" w:color="000000" w:sz="6" w:space="0"/>
              <w:left w:val="nil"/>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NO</w:t>
            </w:r>
            <w:r>
              <w:rPr>
                <w:rFonts w:hint="default" w:ascii="Times New Roman" w:hAnsi="Times New Roman" w:eastAsia="宋体" w:cs="Times New Roman"/>
                <w:color w:val="auto"/>
                <w:kern w:val="0"/>
                <w:sz w:val="21"/>
                <w:szCs w:val="21"/>
                <w:highlight w:val="none"/>
                <w:vertAlign w:val="subscript"/>
              </w:rPr>
              <w:t>2</w:t>
            </w:r>
          </w:p>
        </w:tc>
        <w:tc>
          <w:tcPr>
            <w:tcW w:w="131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年平均</w:t>
            </w:r>
          </w:p>
        </w:tc>
        <w:tc>
          <w:tcPr>
            <w:tcW w:w="1659"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11</w:t>
            </w:r>
          </w:p>
        </w:tc>
        <w:tc>
          <w:tcPr>
            <w:tcW w:w="1613"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40</w:t>
            </w:r>
          </w:p>
        </w:tc>
        <w:tc>
          <w:tcPr>
            <w:tcW w:w="1209"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27.5</w:t>
            </w:r>
          </w:p>
        </w:tc>
        <w:tc>
          <w:tcPr>
            <w:tcW w:w="1456" w:type="dxa"/>
            <w:tcBorders>
              <w:top w:val="single" w:color="000000" w:sz="6" w:space="0"/>
              <w:left w:val="single" w:color="000000" w:sz="6" w:space="0"/>
              <w:bottom w:val="single" w:color="000000" w:sz="6" w:space="0"/>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581" w:hRule="atLeast"/>
        </w:trPr>
        <w:tc>
          <w:tcPr>
            <w:tcW w:w="1309" w:type="dxa"/>
            <w:tcBorders>
              <w:top w:val="single" w:color="000000" w:sz="6" w:space="0"/>
              <w:left w:val="nil"/>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CO</w:t>
            </w:r>
          </w:p>
        </w:tc>
        <w:tc>
          <w:tcPr>
            <w:tcW w:w="131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日平均第95百分位数</w:t>
            </w:r>
          </w:p>
        </w:tc>
        <w:tc>
          <w:tcPr>
            <w:tcW w:w="1659"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900</w:t>
            </w:r>
          </w:p>
        </w:tc>
        <w:tc>
          <w:tcPr>
            <w:tcW w:w="1613"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4000</w:t>
            </w:r>
          </w:p>
        </w:tc>
        <w:tc>
          <w:tcPr>
            <w:tcW w:w="1209"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22.5</w:t>
            </w:r>
          </w:p>
        </w:tc>
        <w:tc>
          <w:tcPr>
            <w:tcW w:w="1456" w:type="dxa"/>
            <w:tcBorders>
              <w:top w:val="single" w:color="000000" w:sz="6" w:space="0"/>
              <w:left w:val="single" w:color="000000" w:sz="6" w:space="0"/>
              <w:bottom w:val="single" w:color="000000" w:sz="6" w:space="0"/>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581" w:hRule="atLeast"/>
        </w:trPr>
        <w:tc>
          <w:tcPr>
            <w:tcW w:w="1309" w:type="dxa"/>
            <w:tcBorders>
              <w:top w:val="single" w:color="000000" w:sz="6" w:space="0"/>
              <w:left w:val="nil"/>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O</w:t>
            </w:r>
            <w:r>
              <w:rPr>
                <w:rFonts w:hint="default" w:ascii="Times New Roman" w:hAnsi="Times New Roman" w:eastAsia="宋体" w:cs="Times New Roman"/>
                <w:color w:val="auto"/>
                <w:kern w:val="0"/>
                <w:sz w:val="21"/>
                <w:szCs w:val="21"/>
                <w:highlight w:val="none"/>
                <w:vertAlign w:val="subscript"/>
              </w:rPr>
              <w:t>3</w:t>
            </w:r>
          </w:p>
        </w:tc>
        <w:tc>
          <w:tcPr>
            <w:tcW w:w="131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日平均第90百分位数</w:t>
            </w:r>
          </w:p>
        </w:tc>
        <w:tc>
          <w:tcPr>
            <w:tcW w:w="1659"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102</w:t>
            </w:r>
          </w:p>
        </w:tc>
        <w:tc>
          <w:tcPr>
            <w:tcW w:w="1613"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160</w:t>
            </w:r>
          </w:p>
        </w:tc>
        <w:tc>
          <w:tcPr>
            <w:tcW w:w="1209"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63.8</w:t>
            </w:r>
          </w:p>
        </w:tc>
        <w:tc>
          <w:tcPr>
            <w:tcW w:w="1456" w:type="dxa"/>
            <w:tcBorders>
              <w:top w:val="single" w:color="000000" w:sz="6" w:space="0"/>
              <w:left w:val="single" w:color="000000" w:sz="6" w:space="0"/>
              <w:bottom w:val="single" w:color="000000" w:sz="6" w:space="0"/>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298" w:hRule="atLeast"/>
        </w:trPr>
        <w:tc>
          <w:tcPr>
            <w:tcW w:w="1309" w:type="dxa"/>
            <w:tcBorders>
              <w:top w:val="single" w:color="000000" w:sz="6" w:space="0"/>
              <w:left w:val="nil"/>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PM</w:t>
            </w:r>
            <w:r>
              <w:rPr>
                <w:rFonts w:hint="default" w:ascii="Times New Roman" w:hAnsi="Times New Roman" w:eastAsia="宋体" w:cs="Times New Roman"/>
                <w:color w:val="auto"/>
                <w:kern w:val="0"/>
                <w:sz w:val="21"/>
                <w:szCs w:val="21"/>
                <w:highlight w:val="none"/>
                <w:vertAlign w:val="subscript"/>
              </w:rPr>
              <w:t>10</w:t>
            </w:r>
          </w:p>
        </w:tc>
        <w:tc>
          <w:tcPr>
            <w:tcW w:w="131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年平均</w:t>
            </w:r>
          </w:p>
        </w:tc>
        <w:tc>
          <w:tcPr>
            <w:tcW w:w="1659"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38</w:t>
            </w:r>
          </w:p>
        </w:tc>
        <w:tc>
          <w:tcPr>
            <w:tcW w:w="1613"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70</w:t>
            </w:r>
          </w:p>
        </w:tc>
        <w:tc>
          <w:tcPr>
            <w:tcW w:w="1209"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54.3</w:t>
            </w:r>
          </w:p>
        </w:tc>
        <w:tc>
          <w:tcPr>
            <w:tcW w:w="1456" w:type="dxa"/>
            <w:tcBorders>
              <w:top w:val="single" w:color="000000" w:sz="6" w:space="0"/>
              <w:left w:val="single" w:color="000000" w:sz="6" w:space="0"/>
              <w:bottom w:val="single" w:color="000000" w:sz="6" w:space="0"/>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eastAsia="zh-CN"/>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29" w:hRule="atLeast"/>
        </w:trPr>
        <w:tc>
          <w:tcPr>
            <w:tcW w:w="1309" w:type="dxa"/>
            <w:tcBorders>
              <w:top w:val="single" w:color="000000" w:sz="6" w:space="0"/>
              <w:left w:val="nil"/>
              <w:bottom w:val="single" w:color="000000" w:sz="12"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PM</w:t>
            </w:r>
            <w:r>
              <w:rPr>
                <w:rFonts w:hint="default" w:ascii="Times New Roman" w:hAnsi="Times New Roman" w:eastAsia="宋体" w:cs="Times New Roman"/>
                <w:color w:val="auto"/>
                <w:kern w:val="0"/>
                <w:sz w:val="21"/>
                <w:szCs w:val="21"/>
                <w:highlight w:val="none"/>
                <w:vertAlign w:val="subscript"/>
              </w:rPr>
              <w:t>2.5</w:t>
            </w:r>
          </w:p>
        </w:tc>
        <w:tc>
          <w:tcPr>
            <w:tcW w:w="1310" w:type="dxa"/>
            <w:tcBorders>
              <w:top w:val="single" w:color="000000" w:sz="6" w:space="0"/>
              <w:left w:val="single" w:color="000000" w:sz="6" w:space="0"/>
              <w:bottom w:val="single" w:color="000000" w:sz="12"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年平均</w:t>
            </w:r>
          </w:p>
        </w:tc>
        <w:tc>
          <w:tcPr>
            <w:tcW w:w="1659" w:type="dxa"/>
            <w:tcBorders>
              <w:top w:val="single" w:color="000000" w:sz="6" w:space="0"/>
              <w:left w:val="single" w:color="000000" w:sz="6" w:space="0"/>
              <w:bottom w:val="single" w:color="000000" w:sz="12"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12</w:t>
            </w:r>
          </w:p>
        </w:tc>
        <w:tc>
          <w:tcPr>
            <w:tcW w:w="1613" w:type="dxa"/>
            <w:tcBorders>
              <w:top w:val="single" w:color="000000" w:sz="6" w:space="0"/>
              <w:left w:val="single" w:color="000000" w:sz="6" w:space="0"/>
              <w:bottom w:val="single" w:color="000000" w:sz="12"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35</w:t>
            </w:r>
          </w:p>
        </w:tc>
        <w:tc>
          <w:tcPr>
            <w:tcW w:w="1209" w:type="dxa"/>
            <w:tcBorders>
              <w:top w:val="single" w:color="000000" w:sz="6" w:space="0"/>
              <w:left w:val="single" w:color="000000" w:sz="6" w:space="0"/>
              <w:bottom w:val="single" w:color="000000" w:sz="12"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34.3</w:t>
            </w:r>
          </w:p>
        </w:tc>
        <w:tc>
          <w:tcPr>
            <w:tcW w:w="1456" w:type="dxa"/>
            <w:tcBorders>
              <w:top w:val="single" w:color="000000" w:sz="6" w:space="0"/>
              <w:left w:val="single" w:color="000000" w:sz="6" w:space="0"/>
              <w:bottom w:val="single" w:color="000000" w:sz="12" w:space="0"/>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eastAsia="zh-CN"/>
              </w:rPr>
              <w:t>达标</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由上表结果得出：</w:t>
      </w:r>
      <w:r>
        <w:rPr>
          <w:rFonts w:hint="default" w:ascii="Times New Roman" w:hAnsi="Times New Roman" w:cs="Times New Roman"/>
          <w:bCs/>
          <w:color w:val="auto"/>
          <w:sz w:val="24"/>
          <w:highlight w:val="none"/>
        </w:rPr>
        <w:t>项目所在区域SO</w:t>
      </w:r>
      <w:r>
        <w:rPr>
          <w:rFonts w:hint="default" w:ascii="Times New Roman" w:hAnsi="Times New Roman" w:cs="Times New Roman"/>
          <w:bCs/>
          <w:color w:val="auto"/>
          <w:sz w:val="24"/>
          <w:highlight w:val="none"/>
          <w:vertAlign w:val="subscript"/>
        </w:rPr>
        <w:t>2</w:t>
      </w:r>
      <w:r>
        <w:rPr>
          <w:rFonts w:hint="default" w:ascii="Times New Roman" w:hAnsi="Times New Roman" w:cs="Times New Roman"/>
          <w:bCs/>
          <w:color w:val="auto"/>
          <w:sz w:val="24"/>
          <w:highlight w:val="none"/>
        </w:rPr>
        <w:t>、NO</w:t>
      </w:r>
      <w:r>
        <w:rPr>
          <w:rFonts w:hint="default" w:ascii="Times New Roman" w:hAnsi="Times New Roman" w:cs="Times New Roman"/>
          <w:bCs/>
          <w:color w:val="auto"/>
          <w:sz w:val="24"/>
          <w:highlight w:val="none"/>
          <w:vertAlign w:val="subscript"/>
        </w:rPr>
        <w:t>2</w:t>
      </w:r>
      <w:r>
        <w:rPr>
          <w:rFonts w:hint="default" w:ascii="Times New Roman" w:hAnsi="Times New Roman" w:cs="Times New Roman"/>
          <w:bCs/>
          <w:color w:val="auto"/>
          <w:sz w:val="24"/>
          <w:highlight w:val="none"/>
        </w:rPr>
        <w:t>、PM</w:t>
      </w:r>
      <w:r>
        <w:rPr>
          <w:rFonts w:hint="default" w:ascii="Times New Roman" w:hAnsi="Times New Roman" w:cs="Times New Roman"/>
          <w:bCs/>
          <w:color w:val="auto"/>
          <w:sz w:val="24"/>
          <w:highlight w:val="none"/>
          <w:vertAlign w:val="subscript"/>
        </w:rPr>
        <w:t>10</w:t>
      </w:r>
      <w:r>
        <w:rPr>
          <w:rFonts w:hint="default" w:ascii="Times New Roman" w:hAnsi="Times New Roman" w:cs="Times New Roman"/>
          <w:bCs/>
          <w:color w:val="auto"/>
          <w:sz w:val="24"/>
          <w:highlight w:val="none"/>
          <w:vertAlign w:val="baseline"/>
          <w:lang w:eastAsia="zh-CN"/>
        </w:rPr>
        <w:t>、</w:t>
      </w:r>
      <w:r>
        <w:rPr>
          <w:rFonts w:hint="default" w:ascii="Times New Roman" w:hAnsi="Times New Roman" w:cs="Times New Roman"/>
          <w:bCs/>
          <w:color w:val="auto"/>
          <w:sz w:val="24"/>
          <w:highlight w:val="none"/>
        </w:rPr>
        <w:t>PM</w:t>
      </w:r>
      <w:r>
        <w:rPr>
          <w:rFonts w:hint="default" w:ascii="Times New Roman" w:hAnsi="Times New Roman" w:cs="Times New Roman"/>
          <w:bCs/>
          <w:color w:val="auto"/>
          <w:sz w:val="24"/>
          <w:highlight w:val="none"/>
          <w:vertAlign w:val="subscript"/>
        </w:rPr>
        <w:t>2.5</w:t>
      </w:r>
      <w:r>
        <w:rPr>
          <w:rFonts w:hint="default" w:ascii="Times New Roman" w:hAnsi="Times New Roman" w:cs="Times New Roman"/>
          <w:bCs/>
          <w:color w:val="auto"/>
          <w:sz w:val="24"/>
          <w:highlight w:val="none"/>
        </w:rPr>
        <w:t>年平均浓度</w:t>
      </w: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rPr>
        <w:t>O</w:t>
      </w:r>
      <w:r>
        <w:rPr>
          <w:rFonts w:hint="default" w:ascii="Times New Roman" w:hAnsi="Times New Roman" w:cs="Times New Roman"/>
          <w:bCs/>
          <w:color w:val="auto"/>
          <w:sz w:val="24"/>
          <w:highlight w:val="none"/>
          <w:vertAlign w:val="subscript"/>
        </w:rPr>
        <w:t>3</w:t>
      </w:r>
      <w:r>
        <w:rPr>
          <w:rFonts w:hint="default" w:ascii="Times New Roman" w:hAnsi="Times New Roman" w:cs="Times New Roman"/>
          <w:bCs/>
          <w:color w:val="auto"/>
          <w:sz w:val="24"/>
          <w:highlight w:val="none"/>
        </w:rPr>
        <w:t>最大8小时第90百分位数日平均浓度及CO第95百分位数日平均浓度均满足《环境空气质量标准》（GB3095-2012）的二级标准要求，故本项目所在区域为达标区。</w:t>
      </w:r>
    </w:p>
    <w:p>
      <w:pPr>
        <w:pStyle w:val="6"/>
        <w:pageBreakBefore w:val="0"/>
        <w:wordWrap/>
        <w:bidi w:val="0"/>
        <w:adjustRightInd w:val="0"/>
        <w:ind w:left="0" w:leftChars="0" w:right="0" w:rightChars="0" w:firstLine="0" w:firstLineChars="0"/>
        <w:outlineLvl w:val="2"/>
        <w:rPr>
          <w:rFonts w:hint="default" w:ascii="Times New Roman" w:hAnsi="Times New Roman" w:cs="Times New Roman"/>
          <w:color w:val="auto"/>
          <w:highlight w:val="none"/>
        </w:rPr>
      </w:pPr>
      <w:r>
        <w:rPr>
          <w:rFonts w:hint="default" w:ascii="Times New Roman" w:hAnsi="Times New Roman" w:cs="Times New Roman"/>
          <w:color w:val="auto"/>
          <w:highlight w:val="none"/>
        </w:rPr>
        <w:t>特征污染物环境质量现状</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本项目运营期大气特征污染物为H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w:t>
      </w:r>
      <w:r>
        <w:rPr>
          <w:rFonts w:hint="eastAsia" w:ascii="Times New Roman" w:hAnsi="Times New Roman" w:eastAsia="宋体" w:cs="Times New Roman"/>
          <w:color w:val="auto"/>
          <w:highlight w:val="none"/>
          <w:lang w:eastAsia="zh-CN"/>
        </w:rPr>
        <w:t>臭气浓度、</w:t>
      </w:r>
      <w:r>
        <w:rPr>
          <w:rFonts w:hint="default" w:ascii="Times New Roman" w:hAnsi="Times New Roman" w:cs="Times New Roman"/>
          <w:color w:val="auto"/>
          <w:highlight w:val="none"/>
          <w:lang w:val="en-US" w:eastAsia="zh-CN"/>
        </w:rPr>
        <w:t>TSP</w:t>
      </w:r>
      <w:r>
        <w:rPr>
          <w:rFonts w:hint="default" w:ascii="Times New Roman" w:hAnsi="Times New Roman" w:cs="Times New Roman"/>
          <w:color w:val="auto"/>
          <w:highlight w:val="none"/>
        </w:rPr>
        <w:t>，为了解项目区H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w:t>
      </w:r>
      <w:r>
        <w:rPr>
          <w:rFonts w:hint="eastAsia" w:ascii="Times New Roman" w:hAnsi="Times New Roman" w:eastAsia="宋体" w:cs="Times New Roman"/>
          <w:color w:val="auto"/>
          <w:highlight w:val="none"/>
          <w:lang w:eastAsia="zh-CN"/>
        </w:rPr>
        <w:t>臭气浓度、</w:t>
      </w:r>
      <w:r>
        <w:rPr>
          <w:rFonts w:hint="default" w:ascii="Times New Roman" w:hAnsi="Times New Roman" w:cs="Times New Roman"/>
          <w:color w:val="auto"/>
          <w:highlight w:val="none"/>
          <w:lang w:val="en-US" w:eastAsia="zh-CN"/>
        </w:rPr>
        <w:t>TSP</w:t>
      </w:r>
      <w:r>
        <w:rPr>
          <w:rFonts w:hint="default" w:ascii="Times New Roman" w:hAnsi="Times New Roman" w:cs="Times New Roman"/>
          <w:color w:val="auto"/>
          <w:highlight w:val="none"/>
        </w:rPr>
        <w:t>的背景值，本次评</w:t>
      </w:r>
      <w:r>
        <w:rPr>
          <w:rFonts w:hint="default" w:ascii="Times New Roman" w:hAnsi="Times New Roman" w:eastAsia="宋体" w:cs="Times New Roman"/>
          <w:color w:val="auto"/>
          <w:highlight w:val="none"/>
        </w:rPr>
        <w:t>价委托</w:t>
      </w:r>
      <w:r>
        <w:rPr>
          <w:rFonts w:hint="eastAsia" w:ascii="Times New Roman" w:hAnsi="Times New Roman" w:eastAsia="宋体" w:cs="Times New Roman"/>
          <w:color w:val="auto"/>
          <w:highlight w:val="none"/>
          <w:lang w:val="en-US" w:eastAsia="zh-CN"/>
        </w:rPr>
        <w:t>新疆锡水金山环境科技有限公司</w:t>
      </w:r>
      <w:r>
        <w:rPr>
          <w:rFonts w:hint="default" w:ascii="Times New Roman" w:hAnsi="Times New Roman" w:eastAsia="宋体" w:cs="Times New Roman"/>
          <w:color w:val="auto"/>
          <w:highlight w:val="none"/>
        </w:rPr>
        <w:t>对项</w:t>
      </w:r>
      <w:r>
        <w:rPr>
          <w:rFonts w:hint="default" w:ascii="Times New Roman" w:hAnsi="Times New Roman" w:cs="Times New Roman"/>
          <w:color w:val="auto"/>
          <w:highlight w:val="none"/>
        </w:rPr>
        <w:t>目区及下风向H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w:t>
      </w:r>
      <w:r>
        <w:rPr>
          <w:rFonts w:hint="eastAsia" w:ascii="Times New Roman" w:hAnsi="Times New Roman" w:eastAsia="宋体" w:cs="Times New Roman"/>
          <w:color w:val="auto"/>
          <w:highlight w:val="none"/>
          <w:lang w:eastAsia="zh-CN"/>
        </w:rPr>
        <w:t>臭气浓度、</w:t>
      </w:r>
      <w:r>
        <w:rPr>
          <w:rFonts w:hint="default" w:ascii="Times New Roman" w:hAnsi="Times New Roman" w:cs="Times New Roman"/>
          <w:color w:val="auto"/>
          <w:highlight w:val="none"/>
          <w:lang w:val="en-US" w:eastAsia="zh-CN"/>
        </w:rPr>
        <w:t>TSP</w:t>
      </w:r>
      <w:r>
        <w:rPr>
          <w:rFonts w:hint="default" w:ascii="Times New Roman" w:hAnsi="Times New Roman" w:cs="Times New Roman"/>
          <w:color w:val="auto"/>
          <w:highlight w:val="none"/>
        </w:rPr>
        <w:t>进行实测。</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（1）监测点布设</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根据《环境影响评价技术导则 大气环境》（HJ2.2-2018）要求，本次评价针对本项目涉及的H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w:t>
      </w:r>
      <w:r>
        <w:rPr>
          <w:rFonts w:hint="eastAsia" w:ascii="Times New Roman" w:hAnsi="Times New Roman" w:eastAsia="宋体" w:cs="Times New Roman"/>
          <w:color w:val="auto"/>
          <w:highlight w:val="none"/>
          <w:lang w:eastAsia="zh-CN"/>
        </w:rPr>
        <w:t>臭气浓度、</w:t>
      </w:r>
      <w:r>
        <w:rPr>
          <w:rFonts w:hint="default" w:ascii="Times New Roman" w:hAnsi="Times New Roman" w:cs="Times New Roman"/>
          <w:color w:val="auto"/>
          <w:highlight w:val="none"/>
          <w:lang w:val="en-US" w:eastAsia="zh-CN"/>
        </w:rPr>
        <w:t>TSP</w:t>
      </w:r>
      <w:r>
        <w:rPr>
          <w:rFonts w:hint="default" w:ascii="Times New Roman" w:hAnsi="Times New Roman" w:cs="Times New Roman"/>
          <w:color w:val="auto"/>
          <w:highlight w:val="none"/>
        </w:rPr>
        <w:t>进行了补充监测。监测点位详见表4.2-2和图4.2-1。</w:t>
      </w:r>
    </w:p>
    <w:p>
      <w:pPr>
        <w:pageBreakBefore w:val="0"/>
        <w:widowControl/>
        <w:wordWrap/>
        <w:bidi w:val="0"/>
        <w:adjustRightInd w:val="0"/>
        <w:spacing w:line="240" w:lineRule="auto"/>
        <w:ind w:left="0" w:leftChars="0" w:right="0" w:rightChars="0" w:firstLine="0" w:firstLineChars="0"/>
        <w:jc w:val="center"/>
        <w:rPr>
          <w:rFonts w:hint="default" w:ascii="Times New Roman" w:hAnsi="Times New Roman" w:eastAsia="宋体" w:cs="Times New Roman"/>
          <w:b/>
          <w:bCs/>
          <w:color w:val="auto"/>
          <w:sz w:val="21"/>
          <w:szCs w:val="21"/>
          <w:highlight w:val="none"/>
        </w:rPr>
      </w:pPr>
      <w:r>
        <w:rPr>
          <w:rStyle w:val="68"/>
          <w:rFonts w:hint="default" w:ascii="Times New Roman" w:hAnsi="Times New Roman" w:eastAsia="宋体" w:cs="Times New Roman"/>
          <w:color w:val="auto"/>
          <w:sz w:val="21"/>
          <w:szCs w:val="21"/>
          <w:highlight w:val="none"/>
        </w:rPr>
        <w:t>表4.2-2     环境空气质量现状监测点布置</w:t>
      </w:r>
    </w:p>
    <w:tbl>
      <w:tblPr>
        <w:tblStyle w:val="39"/>
        <w:tblW w:w="8724"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732"/>
        <w:gridCol w:w="2850"/>
        <w:gridCol w:w="345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点位</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编号</w:t>
            </w:r>
          </w:p>
        </w:tc>
        <w:tc>
          <w:tcPr>
            <w:tcW w:w="17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监测点位置</w:t>
            </w:r>
          </w:p>
        </w:tc>
        <w:tc>
          <w:tcPr>
            <w:tcW w:w="28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监测因子</w:t>
            </w:r>
          </w:p>
        </w:tc>
        <w:tc>
          <w:tcPr>
            <w:tcW w:w="34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监测点坐标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6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1</w:t>
            </w:r>
          </w:p>
        </w:tc>
        <w:tc>
          <w:tcPr>
            <w:tcW w:w="17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eastAsia="zh-CN"/>
              </w:rPr>
              <w:t>项目区</w:t>
            </w:r>
            <w:r>
              <w:rPr>
                <w:rFonts w:hint="eastAsia" w:cs="Times New Roman"/>
                <w:color w:val="auto"/>
                <w:kern w:val="0"/>
                <w:sz w:val="21"/>
                <w:szCs w:val="21"/>
                <w:highlight w:val="none"/>
                <w:lang w:val="en-US" w:eastAsia="zh-CN"/>
              </w:rPr>
              <w:t>内1#</w:t>
            </w:r>
          </w:p>
        </w:tc>
        <w:tc>
          <w:tcPr>
            <w:tcW w:w="28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H</w:t>
            </w:r>
            <w:r>
              <w:rPr>
                <w:rFonts w:hint="eastAsia" w:ascii="Times New Roman" w:hAnsi="Times New Roman" w:eastAsia="宋体" w:cs="Times New Roman"/>
                <w:color w:val="auto"/>
                <w:kern w:val="0"/>
                <w:sz w:val="21"/>
                <w:szCs w:val="21"/>
                <w:highlight w:val="none"/>
                <w:vertAlign w:val="subscript"/>
                <w:lang w:val="en-US" w:eastAsia="zh-CN"/>
              </w:rPr>
              <w:t>2</w:t>
            </w:r>
            <w:r>
              <w:rPr>
                <w:rFonts w:hint="eastAsia" w:ascii="Times New Roman" w:hAnsi="Times New Roman" w:eastAsia="宋体" w:cs="Times New Roman"/>
                <w:color w:val="auto"/>
                <w:kern w:val="0"/>
                <w:sz w:val="21"/>
                <w:szCs w:val="21"/>
                <w:highlight w:val="none"/>
                <w:lang w:val="en-US" w:eastAsia="zh-CN"/>
              </w:rPr>
              <w:t>S、NH</w:t>
            </w:r>
            <w:r>
              <w:rPr>
                <w:rFonts w:hint="eastAsia" w:ascii="Times New Roman" w:hAnsi="Times New Roman" w:eastAsia="宋体" w:cs="Times New Roman"/>
                <w:color w:val="auto"/>
                <w:kern w:val="0"/>
                <w:sz w:val="21"/>
                <w:szCs w:val="21"/>
                <w:highlight w:val="none"/>
                <w:vertAlign w:val="subscript"/>
                <w:lang w:val="en-US" w:eastAsia="zh-CN"/>
              </w:rPr>
              <w:t>3</w:t>
            </w:r>
            <w:r>
              <w:rPr>
                <w:rFonts w:hint="eastAsia" w:ascii="Times New Roman" w:hAnsi="Times New Roman" w:eastAsia="宋体" w:cs="Times New Roman"/>
                <w:color w:val="auto"/>
                <w:kern w:val="0"/>
                <w:sz w:val="21"/>
                <w:szCs w:val="21"/>
                <w:highlight w:val="none"/>
                <w:lang w:val="en-US" w:eastAsia="zh-CN"/>
              </w:rPr>
              <w:t>、</w:t>
            </w:r>
            <w:r>
              <w:rPr>
                <w:rFonts w:hint="eastAsia" w:ascii="Times New Roman" w:hAnsi="Times New Roman" w:eastAsia="宋体" w:cs="Times New Roman"/>
                <w:color w:val="auto"/>
                <w:kern w:val="0"/>
                <w:sz w:val="21"/>
                <w:szCs w:val="21"/>
                <w:highlight w:val="none"/>
                <w:lang w:eastAsia="zh-CN"/>
              </w:rPr>
              <w:t>臭气浓度、</w:t>
            </w:r>
            <w:r>
              <w:rPr>
                <w:rFonts w:hint="eastAsia" w:ascii="Times New Roman" w:hAnsi="Times New Roman" w:eastAsia="宋体" w:cs="Times New Roman"/>
                <w:color w:val="auto"/>
                <w:kern w:val="0"/>
                <w:sz w:val="21"/>
                <w:szCs w:val="21"/>
                <w:highlight w:val="none"/>
                <w:lang w:val="en-US" w:eastAsia="zh-CN"/>
              </w:rPr>
              <w:t>TSP</w:t>
            </w:r>
          </w:p>
        </w:tc>
        <w:tc>
          <w:tcPr>
            <w:tcW w:w="34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E</w:t>
            </w:r>
            <w:r>
              <w:rPr>
                <w:rFonts w:hint="eastAsia" w:ascii="Times New Roman" w:hAnsi="Times New Roman" w:eastAsia="宋体" w:cs="Times New Roman"/>
                <w:color w:val="auto"/>
                <w:kern w:val="0"/>
                <w:sz w:val="21"/>
                <w:szCs w:val="21"/>
                <w:highlight w:val="none"/>
                <w:lang w:val="en-US" w:eastAsia="zh-CN"/>
              </w:rPr>
              <w:t>：83</w:t>
            </w:r>
            <w:r>
              <w:rPr>
                <w:rFonts w:hint="default" w:ascii="Times New Roman" w:hAnsi="Times New Roman" w:eastAsia="宋体" w:cs="Times New Roman"/>
                <w:color w:val="auto"/>
                <w:kern w:val="0"/>
                <w:sz w:val="21"/>
                <w:szCs w:val="21"/>
                <w:highlight w:val="none"/>
                <w:lang w:val="en-US" w:eastAsia="zh-CN"/>
              </w:rPr>
              <w:t>°</w:t>
            </w:r>
            <w:r>
              <w:rPr>
                <w:rFonts w:hint="eastAsia" w:ascii="Times New Roman" w:hAnsi="Times New Roman" w:eastAsia="宋体" w:cs="Times New Roman"/>
                <w:color w:val="auto"/>
                <w:kern w:val="0"/>
                <w:sz w:val="21"/>
                <w:szCs w:val="21"/>
                <w:highlight w:val="none"/>
                <w:lang w:val="en-US" w:eastAsia="zh-CN"/>
              </w:rPr>
              <w:t>11</w:t>
            </w:r>
            <w:r>
              <w:rPr>
                <w:rFonts w:hint="default" w:ascii="Times New Roman" w:hAnsi="Times New Roman" w:eastAsia="宋体" w:cs="Times New Roman"/>
                <w:color w:val="auto"/>
                <w:kern w:val="0"/>
                <w:sz w:val="21"/>
                <w:szCs w:val="21"/>
                <w:highlight w:val="none"/>
                <w:lang w:val="en-US" w:eastAsia="zh-CN"/>
              </w:rPr>
              <w:t>′</w:t>
            </w:r>
            <w:r>
              <w:rPr>
                <w:rFonts w:hint="eastAsia" w:ascii="Times New Roman" w:hAnsi="Times New Roman" w:eastAsia="宋体" w:cs="Times New Roman"/>
                <w:color w:val="auto"/>
                <w:kern w:val="0"/>
                <w:sz w:val="21"/>
                <w:szCs w:val="21"/>
                <w:highlight w:val="none"/>
                <w:lang w:val="en-US" w:eastAsia="zh-CN"/>
              </w:rPr>
              <w:t>51.21</w:t>
            </w:r>
            <w:r>
              <w:rPr>
                <w:rFonts w:hint="default" w:ascii="Times New Roman" w:hAnsi="Times New Roman" w:eastAsia="宋体" w:cs="Times New Roman"/>
                <w:color w:val="auto"/>
                <w:kern w:val="0"/>
                <w:sz w:val="21"/>
                <w:szCs w:val="21"/>
                <w:highlight w:val="none"/>
                <w:lang w:val="en-US" w:eastAsia="zh-CN"/>
              </w:rPr>
              <w:t>″</w:t>
            </w:r>
            <w:r>
              <w:rPr>
                <w:rFonts w:hint="eastAsia"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N</w:t>
            </w:r>
            <w:r>
              <w:rPr>
                <w:rFonts w:hint="eastAsia" w:ascii="Times New Roman" w:hAnsi="Times New Roman" w:eastAsia="宋体" w:cs="Times New Roman"/>
                <w:color w:val="auto"/>
                <w:kern w:val="0"/>
                <w:sz w:val="21"/>
                <w:szCs w:val="21"/>
                <w:highlight w:val="none"/>
                <w:lang w:val="en-US" w:eastAsia="zh-CN"/>
              </w:rPr>
              <w:t>：46</w:t>
            </w:r>
            <w:r>
              <w:rPr>
                <w:rFonts w:hint="default" w:ascii="Times New Roman" w:hAnsi="Times New Roman" w:eastAsia="宋体" w:cs="Times New Roman"/>
                <w:color w:val="auto"/>
                <w:kern w:val="0"/>
                <w:sz w:val="21"/>
                <w:szCs w:val="21"/>
                <w:highlight w:val="none"/>
                <w:lang w:val="en-US" w:eastAsia="zh-CN"/>
              </w:rPr>
              <w:t>°</w:t>
            </w:r>
            <w:r>
              <w:rPr>
                <w:rFonts w:hint="eastAsia" w:ascii="Times New Roman" w:hAnsi="Times New Roman" w:eastAsia="宋体" w:cs="Times New Roman"/>
                <w:color w:val="auto"/>
                <w:kern w:val="0"/>
                <w:sz w:val="21"/>
                <w:szCs w:val="21"/>
                <w:highlight w:val="none"/>
                <w:lang w:val="en-US" w:eastAsia="zh-CN"/>
              </w:rPr>
              <w:t>35</w:t>
            </w:r>
            <w:r>
              <w:rPr>
                <w:rFonts w:hint="default" w:ascii="Times New Roman" w:hAnsi="Times New Roman" w:eastAsia="宋体" w:cs="Times New Roman"/>
                <w:color w:val="auto"/>
                <w:kern w:val="0"/>
                <w:sz w:val="21"/>
                <w:szCs w:val="21"/>
                <w:highlight w:val="none"/>
                <w:lang w:val="en-US" w:eastAsia="zh-CN"/>
              </w:rPr>
              <w:t>′</w:t>
            </w:r>
            <w:r>
              <w:rPr>
                <w:rFonts w:hint="eastAsia" w:ascii="Times New Roman" w:hAnsi="Times New Roman" w:eastAsia="宋体" w:cs="Times New Roman"/>
                <w:color w:val="auto"/>
                <w:kern w:val="0"/>
                <w:sz w:val="21"/>
                <w:szCs w:val="21"/>
                <w:highlight w:val="none"/>
                <w:lang w:val="en-US" w:eastAsia="zh-CN"/>
              </w:rPr>
              <w:t>48.36</w:t>
            </w:r>
            <w:r>
              <w:rPr>
                <w:rFonts w:hint="default" w:ascii="Times New Roman" w:hAnsi="Times New Roman" w:eastAsia="宋体" w:cs="Times New Roman"/>
                <w:color w:val="auto"/>
                <w:kern w:val="0"/>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2</w:t>
            </w:r>
          </w:p>
        </w:tc>
        <w:tc>
          <w:tcPr>
            <w:tcW w:w="17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eastAsia="zh-CN"/>
              </w:rPr>
              <w:t>项目区</w:t>
            </w:r>
            <w:r>
              <w:rPr>
                <w:rFonts w:hint="eastAsia" w:ascii="Times New Roman" w:hAnsi="Times New Roman" w:eastAsia="宋体" w:cs="Times New Roman"/>
                <w:color w:val="auto"/>
                <w:kern w:val="0"/>
                <w:sz w:val="21"/>
                <w:szCs w:val="21"/>
                <w:highlight w:val="none"/>
                <w:lang w:val="en-US" w:eastAsia="zh-CN"/>
              </w:rPr>
              <w:t>下风向</w:t>
            </w:r>
            <w:r>
              <w:rPr>
                <w:rFonts w:hint="eastAsia" w:cs="Times New Roman"/>
                <w:color w:val="auto"/>
                <w:kern w:val="0"/>
                <w:sz w:val="21"/>
                <w:szCs w:val="21"/>
                <w:highlight w:val="none"/>
                <w:lang w:val="en-US" w:eastAsia="zh-CN"/>
              </w:rPr>
              <w:t>2#</w:t>
            </w:r>
          </w:p>
        </w:tc>
        <w:tc>
          <w:tcPr>
            <w:tcW w:w="28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val="en-US" w:eastAsia="zh-CN"/>
              </w:rPr>
              <w:t>H</w:t>
            </w:r>
            <w:r>
              <w:rPr>
                <w:rFonts w:hint="eastAsia" w:ascii="Times New Roman" w:hAnsi="Times New Roman" w:eastAsia="宋体" w:cs="Times New Roman"/>
                <w:color w:val="auto"/>
                <w:kern w:val="0"/>
                <w:sz w:val="21"/>
                <w:szCs w:val="21"/>
                <w:highlight w:val="none"/>
                <w:vertAlign w:val="subscript"/>
                <w:lang w:val="en-US" w:eastAsia="zh-CN"/>
              </w:rPr>
              <w:t>2</w:t>
            </w:r>
            <w:r>
              <w:rPr>
                <w:rFonts w:hint="eastAsia" w:ascii="Times New Roman" w:hAnsi="Times New Roman" w:eastAsia="宋体" w:cs="Times New Roman"/>
                <w:color w:val="auto"/>
                <w:kern w:val="0"/>
                <w:sz w:val="21"/>
                <w:szCs w:val="21"/>
                <w:highlight w:val="none"/>
                <w:lang w:val="en-US" w:eastAsia="zh-CN"/>
              </w:rPr>
              <w:t>S、NH</w:t>
            </w:r>
            <w:r>
              <w:rPr>
                <w:rFonts w:hint="eastAsia" w:ascii="Times New Roman" w:hAnsi="Times New Roman" w:eastAsia="宋体" w:cs="Times New Roman"/>
                <w:color w:val="auto"/>
                <w:kern w:val="0"/>
                <w:sz w:val="21"/>
                <w:szCs w:val="21"/>
                <w:highlight w:val="none"/>
                <w:vertAlign w:val="subscript"/>
                <w:lang w:val="en-US" w:eastAsia="zh-CN"/>
              </w:rPr>
              <w:t>3</w:t>
            </w:r>
            <w:r>
              <w:rPr>
                <w:rFonts w:hint="eastAsia" w:ascii="Times New Roman" w:hAnsi="Times New Roman" w:eastAsia="宋体" w:cs="Times New Roman"/>
                <w:color w:val="auto"/>
                <w:kern w:val="0"/>
                <w:sz w:val="21"/>
                <w:szCs w:val="21"/>
                <w:highlight w:val="none"/>
                <w:lang w:val="en-US" w:eastAsia="zh-CN"/>
              </w:rPr>
              <w:t>、</w:t>
            </w:r>
            <w:r>
              <w:rPr>
                <w:rFonts w:hint="eastAsia" w:ascii="Times New Roman" w:hAnsi="Times New Roman" w:eastAsia="宋体" w:cs="Times New Roman"/>
                <w:color w:val="auto"/>
                <w:kern w:val="0"/>
                <w:sz w:val="21"/>
                <w:szCs w:val="21"/>
                <w:highlight w:val="none"/>
                <w:lang w:eastAsia="zh-CN"/>
              </w:rPr>
              <w:t>臭气浓度、</w:t>
            </w:r>
            <w:r>
              <w:rPr>
                <w:rFonts w:hint="eastAsia" w:ascii="Times New Roman" w:hAnsi="Times New Roman" w:eastAsia="宋体" w:cs="Times New Roman"/>
                <w:color w:val="auto"/>
                <w:kern w:val="0"/>
                <w:sz w:val="21"/>
                <w:szCs w:val="21"/>
                <w:highlight w:val="none"/>
                <w:lang w:val="en-US" w:eastAsia="zh-CN"/>
              </w:rPr>
              <w:t>TSP</w:t>
            </w:r>
          </w:p>
        </w:tc>
        <w:tc>
          <w:tcPr>
            <w:tcW w:w="34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E</w:t>
            </w:r>
            <w:r>
              <w:rPr>
                <w:rFonts w:hint="eastAsia" w:ascii="Times New Roman" w:hAnsi="Times New Roman" w:eastAsia="宋体" w:cs="Times New Roman"/>
                <w:color w:val="auto"/>
                <w:kern w:val="0"/>
                <w:sz w:val="21"/>
                <w:szCs w:val="21"/>
                <w:highlight w:val="none"/>
                <w:lang w:val="en-US" w:eastAsia="zh-CN"/>
              </w:rPr>
              <w:t>：83</w:t>
            </w:r>
            <w:r>
              <w:rPr>
                <w:rFonts w:hint="default" w:ascii="Times New Roman" w:hAnsi="Times New Roman" w:eastAsia="宋体" w:cs="Times New Roman"/>
                <w:color w:val="auto"/>
                <w:kern w:val="0"/>
                <w:sz w:val="21"/>
                <w:szCs w:val="21"/>
                <w:highlight w:val="none"/>
                <w:lang w:val="en-US" w:eastAsia="zh-CN"/>
              </w:rPr>
              <w:t>°</w:t>
            </w:r>
            <w:r>
              <w:rPr>
                <w:rFonts w:hint="eastAsia" w:ascii="Times New Roman" w:hAnsi="Times New Roman" w:eastAsia="宋体" w:cs="Times New Roman"/>
                <w:color w:val="auto"/>
                <w:kern w:val="0"/>
                <w:sz w:val="21"/>
                <w:szCs w:val="21"/>
                <w:highlight w:val="none"/>
                <w:lang w:val="en-US" w:eastAsia="zh-CN"/>
              </w:rPr>
              <w:t>12</w:t>
            </w:r>
            <w:r>
              <w:rPr>
                <w:rFonts w:hint="default" w:ascii="Times New Roman" w:hAnsi="Times New Roman" w:eastAsia="宋体" w:cs="Times New Roman"/>
                <w:color w:val="auto"/>
                <w:kern w:val="0"/>
                <w:sz w:val="21"/>
                <w:szCs w:val="21"/>
                <w:highlight w:val="none"/>
                <w:lang w:val="en-US" w:eastAsia="zh-CN"/>
              </w:rPr>
              <w:t>′</w:t>
            </w:r>
            <w:r>
              <w:rPr>
                <w:rFonts w:hint="eastAsia" w:ascii="Times New Roman" w:hAnsi="Times New Roman" w:eastAsia="宋体" w:cs="Times New Roman"/>
                <w:color w:val="auto"/>
                <w:kern w:val="0"/>
                <w:sz w:val="21"/>
                <w:szCs w:val="21"/>
                <w:highlight w:val="none"/>
                <w:lang w:val="en-US" w:eastAsia="zh-CN"/>
              </w:rPr>
              <w:t>18.46</w:t>
            </w:r>
            <w:r>
              <w:rPr>
                <w:rFonts w:hint="default" w:ascii="Times New Roman" w:hAnsi="Times New Roman" w:eastAsia="宋体" w:cs="Times New Roman"/>
                <w:color w:val="auto"/>
                <w:kern w:val="0"/>
                <w:sz w:val="21"/>
                <w:szCs w:val="21"/>
                <w:highlight w:val="none"/>
                <w:lang w:val="en-US" w:eastAsia="zh-CN"/>
              </w:rPr>
              <w:t>″</w:t>
            </w:r>
            <w:r>
              <w:rPr>
                <w:rFonts w:hint="eastAsia"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N</w:t>
            </w:r>
            <w:r>
              <w:rPr>
                <w:rFonts w:hint="eastAsia" w:ascii="Times New Roman" w:hAnsi="Times New Roman" w:eastAsia="宋体" w:cs="Times New Roman"/>
                <w:color w:val="auto"/>
                <w:kern w:val="0"/>
                <w:sz w:val="21"/>
                <w:szCs w:val="21"/>
                <w:highlight w:val="none"/>
                <w:lang w:val="en-US" w:eastAsia="zh-CN"/>
              </w:rPr>
              <w:t>：46</w:t>
            </w:r>
            <w:r>
              <w:rPr>
                <w:rFonts w:hint="default" w:ascii="Times New Roman" w:hAnsi="Times New Roman" w:eastAsia="宋体" w:cs="Times New Roman"/>
                <w:color w:val="auto"/>
                <w:kern w:val="0"/>
                <w:sz w:val="21"/>
                <w:szCs w:val="21"/>
                <w:highlight w:val="none"/>
                <w:lang w:val="en-US" w:eastAsia="zh-CN"/>
              </w:rPr>
              <w:t>°</w:t>
            </w:r>
            <w:r>
              <w:rPr>
                <w:rFonts w:hint="eastAsia" w:ascii="Times New Roman" w:hAnsi="Times New Roman" w:eastAsia="宋体" w:cs="Times New Roman"/>
                <w:color w:val="auto"/>
                <w:kern w:val="0"/>
                <w:sz w:val="21"/>
                <w:szCs w:val="21"/>
                <w:highlight w:val="none"/>
                <w:lang w:val="en-US" w:eastAsia="zh-CN"/>
              </w:rPr>
              <w:t>34</w:t>
            </w:r>
            <w:r>
              <w:rPr>
                <w:rFonts w:hint="default" w:ascii="Times New Roman" w:hAnsi="Times New Roman" w:eastAsia="宋体" w:cs="Times New Roman"/>
                <w:color w:val="auto"/>
                <w:kern w:val="0"/>
                <w:sz w:val="21"/>
                <w:szCs w:val="21"/>
                <w:highlight w:val="none"/>
                <w:lang w:val="en-US" w:eastAsia="zh-CN"/>
              </w:rPr>
              <w:t>′</w:t>
            </w:r>
            <w:r>
              <w:rPr>
                <w:rFonts w:hint="eastAsia" w:ascii="Times New Roman" w:hAnsi="Times New Roman" w:eastAsia="宋体" w:cs="Times New Roman"/>
                <w:color w:val="auto"/>
                <w:kern w:val="0"/>
                <w:sz w:val="21"/>
                <w:szCs w:val="21"/>
                <w:highlight w:val="none"/>
                <w:lang w:val="en-US" w:eastAsia="zh-CN"/>
              </w:rPr>
              <w:t>17.78</w:t>
            </w:r>
            <w:r>
              <w:rPr>
                <w:rFonts w:hint="default" w:ascii="Times New Roman" w:hAnsi="Times New Roman" w:eastAsia="宋体" w:cs="Times New Roman"/>
                <w:color w:val="auto"/>
                <w:kern w:val="0"/>
                <w:sz w:val="21"/>
                <w:szCs w:val="21"/>
                <w:highlight w:val="none"/>
                <w:lang w:val="en-US" w:eastAsia="zh-CN"/>
              </w:rPr>
              <w:t>″</w:t>
            </w:r>
          </w:p>
        </w:tc>
      </w:tr>
    </w:tbl>
    <w:p>
      <w:pPr>
        <w:pageBreakBefore w:val="0"/>
        <w:wordWrap/>
        <w:bidi w:val="0"/>
        <w:adjustRightInd w:val="0"/>
        <w:ind w:left="0" w:leftChars="0" w:right="0" w:rightChars="0" w:firstLine="480"/>
        <w:rPr>
          <w:rFonts w:hint="default" w:ascii="Times New Roman" w:hAnsi="Times New Roman" w:cs="Times New Roman"/>
          <w:color w:val="auto"/>
          <w:highlight w:val="yellow"/>
        </w:rPr>
      </w:pPr>
    </w:p>
    <w:p>
      <w:pPr>
        <w:pageBreakBefore w:val="0"/>
        <w:wordWrap/>
        <w:bidi w:val="0"/>
        <w:adjustRightInd w:val="0"/>
        <w:ind w:left="0" w:leftChars="0" w:right="0" w:rightChars="0" w:firstLine="0" w:firstLineChars="0"/>
        <w:rPr>
          <w:rFonts w:hint="default" w:ascii="Times New Roman" w:hAnsi="Times New Roman" w:cs="Times New Roman"/>
          <w:color w:val="auto"/>
          <w:highlight w:val="yellow"/>
        </w:rPr>
      </w:pPr>
      <w:r>
        <w:rPr>
          <w:color w:val="auto"/>
        </w:rPr>
        <w:drawing>
          <wp:anchor distT="0" distB="0" distL="114300" distR="114300" simplePos="0" relativeHeight="251696128" behindDoc="0" locked="0" layoutInCell="1" allowOverlap="1">
            <wp:simplePos x="0" y="0"/>
            <wp:positionH relativeFrom="column">
              <wp:posOffset>4689475</wp:posOffset>
            </wp:positionH>
            <wp:positionV relativeFrom="paragraph">
              <wp:posOffset>102870</wp:posOffset>
            </wp:positionV>
            <wp:extent cx="442595" cy="622935"/>
            <wp:effectExtent l="0" t="0" r="14605" b="5715"/>
            <wp:wrapNone/>
            <wp:docPr id="8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5"/>
                    <pic:cNvPicPr>
                      <a:picLocks noChangeAspect="1"/>
                    </pic:cNvPicPr>
                  </pic:nvPicPr>
                  <pic:blipFill>
                    <a:blip r:embed="rId40"/>
                    <a:stretch>
                      <a:fillRect/>
                    </a:stretch>
                  </pic:blipFill>
                  <pic:spPr>
                    <a:xfrm>
                      <a:off x="0" y="0"/>
                      <a:ext cx="442595" cy="622935"/>
                    </a:xfrm>
                    <a:prstGeom prst="rect">
                      <a:avLst/>
                    </a:prstGeom>
                    <a:noFill/>
                    <a:ln>
                      <a:noFill/>
                    </a:ln>
                  </pic:spPr>
                </pic:pic>
              </a:graphicData>
            </a:graphic>
          </wp:anchor>
        </w:drawing>
      </w:r>
      <w:r>
        <w:rPr>
          <w:rFonts w:hint="default" w:ascii="Times New Roman" w:hAnsi="Times New Roman" w:cs="Times New Roman"/>
          <w:color w:val="auto"/>
        </w:rPr>
        <w:drawing>
          <wp:inline distT="0" distB="0" distL="114300" distR="114300">
            <wp:extent cx="5442585" cy="2866390"/>
            <wp:effectExtent l="0" t="0" r="5715" b="10160"/>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43"/>
                    <a:stretch>
                      <a:fillRect/>
                    </a:stretch>
                  </pic:blipFill>
                  <pic:spPr>
                    <a:xfrm>
                      <a:off x="0" y="0"/>
                      <a:ext cx="5442585" cy="2866390"/>
                    </a:xfrm>
                    <a:prstGeom prst="rect">
                      <a:avLst/>
                    </a:prstGeom>
                    <a:noFill/>
                    <a:ln>
                      <a:noFill/>
                    </a:ln>
                  </pic:spPr>
                </pic:pic>
              </a:graphicData>
            </a:graphic>
          </wp:inline>
        </w:drawing>
      </w:r>
    </w:p>
    <w:p>
      <w:pPr>
        <w:pageBreakBefore w:val="0"/>
        <w:wordWrap/>
        <w:bidi w:val="0"/>
        <w:adjustRightInd w:val="0"/>
        <w:ind w:left="0" w:leftChars="0" w:right="0" w:rightChars="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图4.2-1  监测布点图</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（2）监测项目与方法</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监测项目：</w:t>
      </w:r>
      <w:r>
        <w:rPr>
          <w:rFonts w:hint="default" w:ascii="Times New Roman" w:hAnsi="Times New Roman" w:cs="Times New Roman"/>
          <w:color w:val="auto"/>
          <w:spacing w:val="4"/>
          <w:highlight w:val="none"/>
        </w:rPr>
        <w:t>H</w:t>
      </w:r>
      <w:r>
        <w:rPr>
          <w:rFonts w:hint="default" w:ascii="Times New Roman" w:hAnsi="Times New Roman" w:cs="Times New Roman"/>
          <w:color w:val="auto"/>
          <w:spacing w:val="4"/>
          <w:highlight w:val="none"/>
          <w:vertAlign w:val="subscript"/>
        </w:rPr>
        <w:t>2</w:t>
      </w:r>
      <w:r>
        <w:rPr>
          <w:rFonts w:hint="default" w:ascii="Times New Roman" w:hAnsi="Times New Roman" w:cs="Times New Roman"/>
          <w:color w:val="auto"/>
          <w:spacing w:val="4"/>
          <w:highlight w:val="none"/>
        </w:rPr>
        <w:t>S、NH</w:t>
      </w:r>
      <w:r>
        <w:rPr>
          <w:rFonts w:hint="default" w:ascii="Times New Roman" w:hAnsi="Times New Roman" w:cs="Times New Roman"/>
          <w:color w:val="auto"/>
          <w:spacing w:val="4"/>
          <w:highlight w:val="none"/>
          <w:vertAlign w:val="subscript"/>
        </w:rPr>
        <w:t>3</w:t>
      </w:r>
      <w:r>
        <w:rPr>
          <w:rFonts w:hint="default" w:ascii="Times New Roman" w:hAnsi="Times New Roman" w:cs="Times New Roman"/>
          <w:color w:val="auto"/>
          <w:spacing w:val="4"/>
          <w:highlight w:val="none"/>
        </w:rPr>
        <w:t>、</w:t>
      </w:r>
      <w:r>
        <w:rPr>
          <w:rFonts w:hint="eastAsia" w:ascii="Times New Roman" w:hAnsi="Times New Roman" w:eastAsia="宋体" w:cs="Times New Roman"/>
          <w:color w:val="auto"/>
          <w:highlight w:val="none"/>
          <w:lang w:eastAsia="zh-CN"/>
        </w:rPr>
        <w:t>臭气浓度、</w:t>
      </w:r>
      <w:r>
        <w:rPr>
          <w:rFonts w:hint="default" w:ascii="Times New Roman" w:hAnsi="Times New Roman" w:cs="Times New Roman"/>
          <w:color w:val="auto"/>
          <w:spacing w:val="4"/>
          <w:highlight w:val="none"/>
          <w:lang w:val="en-US" w:eastAsia="zh-CN"/>
        </w:rPr>
        <w:t>TSP</w:t>
      </w:r>
      <w:r>
        <w:rPr>
          <w:rFonts w:hint="default" w:ascii="Times New Roman" w:hAnsi="Times New Roman" w:cs="Times New Roman"/>
          <w:color w:val="auto"/>
          <w:highlight w:val="none"/>
        </w:rPr>
        <w:t>。监测期间同步记录气温、气压、风速、风向等常规气象参数。</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分析方法：本项目采用的环境空气质量现状监测分析方法见表4.2-3。</w:t>
      </w:r>
    </w:p>
    <w:p>
      <w:pPr>
        <w:pStyle w:val="50"/>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表4.2-3   环境空气质量现状监测分析方法 </w:t>
      </w:r>
    </w:p>
    <w:tbl>
      <w:tblPr>
        <w:tblStyle w:val="39"/>
        <w:tblW w:w="84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718"/>
        <w:gridCol w:w="1096"/>
        <w:gridCol w:w="5095"/>
        <w:gridCol w:w="15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39" w:hRule="atLeast"/>
          <w:tblHeader/>
          <w:jc w:val="center"/>
        </w:trPr>
        <w:tc>
          <w:tcPr>
            <w:tcW w:w="718" w:type="dxa"/>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1096" w:type="dxa"/>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监测项目</w:t>
            </w:r>
          </w:p>
        </w:tc>
        <w:tc>
          <w:tcPr>
            <w:tcW w:w="5095" w:type="dxa"/>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分析方法</w:t>
            </w:r>
          </w:p>
        </w:tc>
        <w:tc>
          <w:tcPr>
            <w:tcW w:w="1529" w:type="dxa"/>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最低检出限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628" w:hRule="atLeast"/>
          <w:jc w:val="center"/>
        </w:trPr>
        <w:tc>
          <w:tcPr>
            <w:tcW w:w="718" w:type="dxa"/>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096" w:type="dxa"/>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p>
        </w:tc>
        <w:tc>
          <w:tcPr>
            <w:tcW w:w="509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bidi="ar"/>
              </w:rPr>
              <w:t>环境空气和废气 氨的测定  纳氏试剂分光光度法</w:t>
            </w:r>
            <w:r>
              <w:rPr>
                <w:rFonts w:hint="default" w:ascii="Times New Roman" w:hAnsi="Times New Roman" w:cs="Times New Roman"/>
                <w:color w:val="auto"/>
                <w:sz w:val="21"/>
                <w:szCs w:val="21"/>
                <w:highlight w:val="none"/>
                <w:lang w:val="en-US" w:eastAsia="zh-CN" w:bidi="ar"/>
              </w:rPr>
              <w:t xml:space="preserve"> </w:t>
            </w:r>
            <w:r>
              <w:rPr>
                <w:rFonts w:hint="default" w:ascii="Times New Roman" w:hAnsi="Times New Roman" w:cs="Times New Roman"/>
                <w:color w:val="auto"/>
                <w:sz w:val="21"/>
                <w:szCs w:val="21"/>
                <w:highlight w:val="none"/>
                <w:lang w:bidi="ar"/>
              </w:rPr>
              <w:t>HJ 533-2009</w:t>
            </w:r>
          </w:p>
        </w:tc>
        <w:tc>
          <w:tcPr>
            <w:tcW w:w="1529" w:type="dxa"/>
            <w:tcBorders>
              <w:tl2br w:val="nil"/>
              <w:tr2bl w:val="nil"/>
            </w:tcBorders>
            <w:noWrap w:val="0"/>
            <w:vAlign w:val="center"/>
          </w:tcPr>
          <w:p>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lang w:bidi="ar"/>
              </w:rPr>
              <w:t>0.01 mg/m</w:t>
            </w:r>
            <w:r>
              <w:rPr>
                <w:rFonts w:hint="default" w:ascii="Times New Roman" w:hAnsi="Times New Roman" w:cs="Times New Roman"/>
                <w:bCs/>
                <w:color w:val="auto"/>
                <w:sz w:val="21"/>
                <w:szCs w:val="21"/>
                <w:vertAlign w:val="superscript"/>
                <w:lang w:bidi="ar"/>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628" w:hRule="atLeast"/>
          <w:jc w:val="center"/>
        </w:trPr>
        <w:tc>
          <w:tcPr>
            <w:tcW w:w="718" w:type="dxa"/>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1096" w:type="dxa"/>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S</w:t>
            </w:r>
          </w:p>
        </w:tc>
        <w:tc>
          <w:tcPr>
            <w:tcW w:w="509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宋体" w:hAnsi="宋体" w:eastAsia="宋体" w:cs="宋体"/>
                <w:bCs/>
                <w:color w:val="auto"/>
                <w:kern w:val="2"/>
                <w:sz w:val="21"/>
                <w:szCs w:val="21"/>
                <w:highlight w:val="none"/>
                <w:lang w:val="en-US" w:eastAsia="zh-CN" w:bidi="ar-SA"/>
              </w:rPr>
            </w:pPr>
            <w:r>
              <w:rPr>
                <w:rFonts w:hint="default" w:ascii="Times New Roman" w:hAnsi="Times New Roman" w:eastAsia="宋体" w:cs="Times New Roman"/>
                <w:color w:val="auto"/>
                <w:sz w:val="21"/>
                <w:szCs w:val="21"/>
              </w:rPr>
              <w:t>居住区大气中硫化氢卫生检验标准方法 亚甲蓝分光光度法GB11742-1989</w:t>
            </w:r>
          </w:p>
        </w:tc>
        <w:tc>
          <w:tcPr>
            <w:tcW w:w="1529" w:type="dxa"/>
            <w:tcBorders>
              <w:tl2br w:val="nil"/>
              <w:tr2bl w:val="nil"/>
            </w:tcBorders>
            <w:noWrap w:val="0"/>
            <w:vAlign w:val="center"/>
          </w:tcPr>
          <w:p>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lang w:bidi="ar"/>
              </w:rPr>
              <w:t>0.00</w:t>
            </w:r>
            <w:r>
              <w:rPr>
                <w:rFonts w:hint="eastAsia" w:cs="Times New Roman"/>
                <w:bCs/>
                <w:color w:val="auto"/>
                <w:sz w:val="21"/>
                <w:szCs w:val="21"/>
                <w:lang w:val="en-US" w:eastAsia="zh-CN" w:bidi="ar"/>
              </w:rPr>
              <w:t>5</w:t>
            </w:r>
            <w:r>
              <w:rPr>
                <w:rFonts w:hint="default" w:ascii="Times New Roman" w:hAnsi="Times New Roman" w:cs="Times New Roman"/>
                <w:bCs/>
                <w:color w:val="auto"/>
                <w:sz w:val="21"/>
                <w:szCs w:val="21"/>
                <w:lang w:bidi="ar"/>
              </w:rPr>
              <w:t>mg/m</w:t>
            </w:r>
            <w:r>
              <w:rPr>
                <w:rFonts w:hint="default" w:ascii="Times New Roman" w:hAnsi="Times New Roman" w:cs="Times New Roman"/>
                <w:bCs/>
                <w:color w:val="auto"/>
                <w:sz w:val="21"/>
                <w:szCs w:val="21"/>
                <w:vertAlign w:val="superscript"/>
                <w:lang w:bidi="ar"/>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518" w:hRule="atLeast"/>
          <w:jc w:val="center"/>
        </w:trPr>
        <w:tc>
          <w:tcPr>
            <w:tcW w:w="718" w:type="dxa"/>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rPr>
              <w:t>3</w:t>
            </w:r>
          </w:p>
        </w:tc>
        <w:tc>
          <w:tcPr>
            <w:tcW w:w="1096" w:type="dxa"/>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eastAsia" w:cs="Times New Roman"/>
                <w:bCs/>
                <w:color w:val="auto"/>
                <w:kern w:val="0"/>
                <w:sz w:val="21"/>
                <w:szCs w:val="21"/>
                <w:highlight w:val="none"/>
                <w:lang w:val="en-US" w:eastAsia="zh-CN"/>
              </w:rPr>
              <w:t>臭气浓度</w:t>
            </w:r>
          </w:p>
        </w:tc>
        <w:tc>
          <w:tcPr>
            <w:tcW w:w="5095" w:type="dxa"/>
            <w:tcBorders>
              <w:tl2br w:val="nil"/>
              <w:tr2bl w:val="nil"/>
            </w:tcBorders>
            <w:noWrap w:val="0"/>
            <w:vAlign w:val="center"/>
          </w:tcPr>
          <w:p>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环境空气和废气 臭气的测定 三点比较式臭袋法 HJ1262-2022</w:t>
            </w:r>
          </w:p>
        </w:tc>
        <w:tc>
          <w:tcPr>
            <w:tcW w:w="1529" w:type="dxa"/>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9" w:hRule="atLeast"/>
          <w:jc w:val="center"/>
        </w:trPr>
        <w:tc>
          <w:tcPr>
            <w:tcW w:w="718" w:type="dxa"/>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1096" w:type="dxa"/>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TSP</w:t>
            </w:r>
          </w:p>
        </w:tc>
        <w:tc>
          <w:tcPr>
            <w:tcW w:w="5095" w:type="dxa"/>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eastAsia" w:cs="Times New Roman"/>
                <w:color w:val="auto"/>
                <w:kern w:val="0"/>
                <w:sz w:val="21"/>
                <w:szCs w:val="21"/>
                <w:highlight w:val="none"/>
                <w:lang w:val="en-US" w:eastAsia="zh-CN" w:bidi="ar-SA"/>
              </w:rPr>
              <w:t>环境空气 总悬浮颗粒物的测定 重量法 HJ1263-2022</w:t>
            </w:r>
          </w:p>
        </w:tc>
        <w:tc>
          <w:tcPr>
            <w:tcW w:w="1529" w:type="dxa"/>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lang w:val="en-US"/>
              </w:rPr>
            </w:pPr>
            <w:r>
              <w:rPr>
                <w:rFonts w:hint="eastAsia"/>
                <w:color w:val="auto"/>
                <w:sz w:val="21"/>
                <w:szCs w:val="21"/>
                <w:highlight w:val="none"/>
                <w:lang w:val="en-US" w:eastAsia="zh-CN"/>
              </w:rPr>
              <w:t>7</w:t>
            </w:r>
            <w:r>
              <w:rPr>
                <w:rFonts w:hint="default" w:ascii="Times New Roman" w:hAnsi="Times New Roman" w:cs="Times New Roman"/>
                <w:color w:val="auto"/>
                <w:sz w:val="21"/>
                <w:szCs w:val="21"/>
                <w:highlight w:val="none"/>
                <w:lang w:val="en-US" w:eastAsia="zh-CN"/>
              </w:rPr>
              <w:t>μ</w:t>
            </w:r>
            <w:r>
              <w:rPr>
                <w:rFonts w:hint="eastAsia"/>
                <w:color w:val="auto"/>
                <w:sz w:val="21"/>
                <w:szCs w:val="21"/>
                <w:highlight w:val="none"/>
              </w:rPr>
              <w:t>g/m</w:t>
            </w:r>
            <w:r>
              <w:rPr>
                <w:rFonts w:hint="eastAsia"/>
                <w:color w:val="auto"/>
                <w:sz w:val="21"/>
                <w:szCs w:val="21"/>
                <w:highlight w:val="none"/>
                <w:vertAlign w:val="superscript"/>
                <w:lang w:val="en-US" w:eastAsia="zh-CN"/>
              </w:rPr>
              <w:t>3</w:t>
            </w:r>
          </w:p>
        </w:tc>
      </w:tr>
    </w:tbl>
    <w:p>
      <w:pPr>
        <w:keepNext w:val="0"/>
        <w:keepLines w:val="0"/>
        <w:pageBreakBefore w:val="0"/>
        <w:widowControl w:val="0"/>
        <w:kinsoku/>
        <w:wordWrap/>
        <w:overflowPunct/>
        <w:topLinePunct w:val="0"/>
        <w:autoSpaceDE/>
        <w:autoSpaceDN/>
        <w:bidi w:val="0"/>
        <w:adjustRightInd w:val="0"/>
        <w:snapToGrid w:val="0"/>
        <w:spacing w:before="157" w:beforeLines="50"/>
        <w:ind w:left="0" w:leftChars="0" w:right="0" w:rightChars="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（3）监测时间和频次</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采样时间为202</w:t>
      </w:r>
      <w:r>
        <w:rPr>
          <w:rFonts w:hint="eastAsia" w:cs="Times New Roman"/>
          <w:color w:val="auto"/>
          <w:highlight w:val="none"/>
          <w:lang w:val="en-US" w:eastAsia="zh-CN"/>
        </w:rPr>
        <w:t>3</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月</w:t>
      </w:r>
      <w:r>
        <w:rPr>
          <w:rFonts w:hint="eastAsia" w:cs="Times New Roman"/>
          <w:color w:val="auto"/>
          <w:highlight w:val="none"/>
          <w:lang w:val="en-US" w:eastAsia="zh-CN"/>
        </w:rPr>
        <w:t>12</w:t>
      </w:r>
      <w:r>
        <w:rPr>
          <w:rFonts w:hint="default" w:ascii="Times New Roman" w:hAnsi="Times New Roman" w:cs="Times New Roman"/>
          <w:color w:val="auto"/>
          <w:highlight w:val="none"/>
        </w:rPr>
        <w:t>日-</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月</w:t>
      </w:r>
      <w:r>
        <w:rPr>
          <w:rFonts w:hint="default" w:ascii="Times New Roman" w:hAnsi="Times New Roman" w:cs="Times New Roman"/>
          <w:color w:val="auto"/>
          <w:highlight w:val="none"/>
          <w:lang w:val="en-US" w:eastAsia="zh-CN"/>
        </w:rPr>
        <w:t>1</w:t>
      </w:r>
      <w:r>
        <w:rPr>
          <w:rFonts w:hint="eastAsia" w:cs="Times New Roman"/>
          <w:color w:val="auto"/>
          <w:highlight w:val="none"/>
          <w:lang w:val="en-US" w:eastAsia="zh-CN"/>
        </w:rPr>
        <w:t>8</w:t>
      </w:r>
      <w:r>
        <w:rPr>
          <w:rFonts w:hint="default" w:ascii="Times New Roman" w:hAnsi="Times New Roman" w:cs="Times New Roman"/>
          <w:color w:val="auto"/>
          <w:highlight w:val="none"/>
        </w:rPr>
        <w:t>日，连续监测7天。</w:t>
      </w:r>
    </w:p>
    <w:p>
      <w:pPr>
        <w:pageBreakBefore w:val="0"/>
        <w:wordWrap/>
        <w:bidi w:val="0"/>
        <w:adjustRightInd w:val="0"/>
        <w:ind w:left="0" w:leftChars="0" w:right="0" w:rightChars="0"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NH</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、H</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S、</w:t>
      </w:r>
      <w:r>
        <w:rPr>
          <w:rFonts w:hint="eastAsia" w:ascii="Times New Roman" w:hAnsi="Times New Roman" w:eastAsia="宋体" w:cs="Times New Roman"/>
          <w:color w:val="auto"/>
          <w:highlight w:val="none"/>
          <w:lang w:eastAsia="zh-CN"/>
        </w:rPr>
        <w:t>臭气浓度</w:t>
      </w:r>
      <w:r>
        <w:rPr>
          <w:rFonts w:hint="default" w:ascii="Times New Roman" w:hAnsi="Times New Roman" w:cs="Times New Roman"/>
          <w:color w:val="auto"/>
          <w:sz w:val="24"/>
          <w:szCs w:val="24"/>
          <w:highlight w:val="none"/>
        </w:rPr>
        <w:t>监测1小时平均浓度值，每天监测4次。</w:t>
      </w:r>
      <w:r>
        <w:rPr>
          <w:rFonts w:hint="default" w:ascii="Times New Roman" w:hAnsi="Times New Roman" w:cs="Times New Roman"/>
          <w:color w:val="auto"/>
          <w:sz w:val="21"/>
          <w:szCs w:val="21"/>
          <w:highlight w:val="none"/>
          <w:lang w:val="en-US" w:eastAsia="zh-CN"/>
        </w:rPr>
        <w:t>TSP</w:t>
      </w:r>
      <w:r>
        <w:rPr>
          <w:rFonts w:hint="default" w:ascii="Times New Roman" w:hAnsi="Times New Roman" w:cs="Times New Roman"/>
          <w:color w:val="auto"/>
          <w:sz w:val="24"/>
          <w:szCs w:val="24"/>
          <w:highlight w:val="none"/>
        </w:rPr>
        <w:t>监测</w:t>
      </w:r>
      <w:r>
        <w:rPr>
          <w:rFonts w:hint="eastAsia" w:ascii="Times New Roman" w:hAnsi="Times New Roman" w:cs="Times New Roman"/>
          <w:color w:val="auto"/>
          <w:sz w:val="24"/>
          <w:szCs w:val="24"/>
          <w:highlight w:val="none"/>
          <w:lang w:val="en-US" w:eastAsia="zh-CN"/>
        </w:rPr>
        <w:t>日均值。</w:t>
      </w:r>
    </w:p>
    <w:p>
      <w:pPr>
        <w:pageBreakBefore w:val="0"/>
        <w:wordWrap/>
        <w:bidi w:val="0"/>
        <w:adjustRightInd w:val="0"/>
        <w:ind w:left="0" w:leftChars="0" w:right="0" w:rightChars="0"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（4）评价方法</w:t>
      </w:r>
    </w:p>
    <w:p>
      <w:pPr>
        <w:pageBreakBefore w:val="0"/>
        <w:wordWrap/>
        <w:bidi w:val="0"/>
        <w:adjustRightInd w:val="0"/>
        <w:ind w:left="0" w:leftChars="0" w:right="0" w:rightChars="0"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补充监测的污染物采用占标率法，其单项参数i在第j点的占标率为：</w:t>
      </w:r>
    </w:p>
    <w:p>
      <w:pPr>
        <w:pageBreakBefore w:val="0"/>
        <w:wordWrap/>
        <w:bidi w:val="0"/>
        <w:adjustRightInd w:val="0"/>
        <w:ind w:left="0" w:leftChars="0" w:right="0" w:rightChars="0" w:firstLine="48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drawing>
          <wp:inline distT="0" distB="0" distL="0" distR="0">
            <wp:extent cx="1076325" cy="276225"/>
            <wp:effectExtent l="0" t="0" r="0" b="7620"/>
            <wp:docPr id="45"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076325" cy="276225"/>
                    </a:xfrm>
                    <a:prstGeom prst="rect">
                      <a:avLst/>
                    </a:prstGeom>
                    <a:noFill/>
                    <a:ln>
                      <a:noFill/>
                    </a:ln>
                  </pic:spPr>
                </pic:pic>
              </a:graphicData>
            </a:graphic>
          </wp:inline>
        </w:drawing>
      </w:r>
    </w:p>
    <w:p>
      <w:pPr>
        <w:pageBreakBefore w:val="0"/>
        <w:wordWrap/>
        <w:bidi w:val="0"/>
        <w:adjustRightInd w:val="0"/>
        <w:ind w:left="0" w:leftChars="0" w:right="0" w:rightChars="0" w:firstLine="48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式中：Si，j——占标率；</w:t>
      </w:r>
    </w:p>
    <w:p>
      <w:pPr>
        <w:pageBreakBefore w:val="0"/>
        <w:wordWrap/>
        <w:bidi w:val="0"/>
        <w:adjustRightInd w:val="0"/>
        <w:ind w:left="0" w:leftChars="0" w:right="0" w:rightChars="0" w:firstLine="48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Ci，j——实测值；</w:t>
      </w:r>
    </w:p>
    <w:p>
      <w:pPr>
        <w:pageBreakBefore w:val="0"/>
        <w:wordWrap/>
        <w:bidi w:val="0"/>
        <w:adjustRightInd w:val="0"/>
        <w:ind w:left="0" w:leftChars="0" w:right="0" w:rightChars="0" w:firstLine="48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Cs，j——项目评价标准。</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（5）评价结果</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采用标准指数法对环境空气质量监测结果进行评价，本环评</w:t>
      </w:r>
      <w:r>
        <w:rPr>
          <w:rFonts w:hint="default" w:ascii="Times New Roman" w:hAnsi="Times New Roman" w:cs="Times New Roman"/>
          <w:color w:val="auto"/>
          <w:spacing w:val="4"/>
          <w:highlight w:val="none"/>
          <w:lang w:val="en-US" w:eastAsia="zh-CN"/>
        </w:rPr>
        <w:t>TSP</w:t>
      </w:r>
      <w:r>
        <w:rPr>
          <w:rFonts w:hint="default" w:ascii="Times New Roman" w:hAnsi="Times New Roman" w:cs="Times New Roman"/>
          <w:color w:val="auto"/>
          <w:spacing w:val="4"/>
          <w:highlight w:val="none"/>
          <w:lang w:val="zh-CN"/>
        </w:rPr>
        <w:t>评价标准选取《环境空气质量标准》（GB3095-2012）二级浓度限值</w:t>
      </w:r>
      <w:r>
        <w:rPr>
          <w:rFonts w:hint="default" w:ascii="Times New Roman" w:hAnsi="Times New Roman" w:cs="Times New Roman"/>
          <w:color w:val="auto"/>
          <w:highlight w:val="none"/>
        </w:rPr>
        <w:t>；</w:t>
      </w:r>
      <w:r>
        <w:rPr>
          <w:rFonts w:hint="default" w:ascii="Times New Roman" w:hAnsi="Times New Roman" w:cs="Times New Roman"/>
          <w:color w:val="auto"/>
          <w:spacing w:val="4"/>
          <w:highlight w:val="none"/>
        </w:rPr>
        <w:t>监测的1h平均</w:t>
      </w:r>
      <w:r>
        <w:rPr>
          <w:rFonts w:hint="default" w:ascii="Times New Roman" w:hAnsi="Times New Roman" w:cs="Times New Roman"/>
          <w:color w:val="auto"/>
          <w:highlight w:val="none"/>
        </w:rPr>
        <w:t>《环境影响评价技术导则 大气环境》（HJ2.2-2018）中“表D.1 其他污染物空气质量浓度参考值”。</w:t>
      </w:r>
    </w:p>
    <w:p>
      <w:pPr>
        <w:pStyle w:val="50"/>
        <w:pageBreakBefore w:val="0"/>
        <w:wordWrap/>
        <w:bidi w:val="0"/>
        <w:adjustRightInd w:val="0"/>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表4.2-4   其他污染物环境质量现状（监测结果）表</w:t>
      </w:r>
    </w:p>
    <w:tbl>
      <w:tblPr>
        <w:tblStyle w:val="39"/>
        <w:tblW w:w="497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67"/>
        <w:gridCol w:w="1939"/>
        <w:gridCol w:w="1149"/>
        <w:gridCol w:w="1639"/>
        <w:gridCol w:w="1340"/>
        <w:gridCol w:w="898"/>
        <w:gridCol w:w="8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446" w:type="pct"/>
            <w:vMerge w:val="restar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监测点名称</w:t>
            </w:r>
          </w:p>
        </w:tc>
        <w:tc>
          <w:tcPr>
            <w:tcW w:w="1127" w:type="pct"/>
            <w:vMerge w:val="restar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668" w:type="pct"/>
            <w:vMerge w:val="restar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评价标准/（µg/m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953" w:type="pct"/>
            <w:vMerge w:val="restar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监测浓度范围/（µg/m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779" w:type="pct"/>
            <w:vMerge w:val="restar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最大浓度占标率/%</w:t>
            </w:r>
          </w:p>
        </w:tc>
        <w:tc>
          <w:tcPr>
            <w:tcW w:w="522" w:type="pct"/>
            <w:vMerge w:val="restar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超标率/%</w:t>
            </w:r>
          </w:p>
        </w:tc>
        <w:tc>
          <w:tcPr>
            <w:tcW w:w="501" w:type="pct"/>
            <w:vMerge w:val="restar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446" w:type="pct"/>
            <w:vMerge w:val="continue"/>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rPr>
            </w:pPr>
          </w:p>
        </w:tc>
        <w:tc>
          <w:tcPr>
            <w:tcW w:w="1127" w:type="pct"/>
            <w:vMerge w:val="continue"/>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rPr>
            </w:pPr>
          </w:p>
        </w:tc>
        <w:tc>
          <w:tcPr>
            <w:tcW w:w="668" w:type="pct"/>
            <w:vMerge w:val="continue"/>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rPr>
            </w:pPr>
          </w:p>
        </w:tc>
        <w:tc>
          <w:tcPr>
            <w:tcW w:w="953" w:type="pct"/>
            <w:vMerge w:val="continue"/>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rPr>
            </w:pPr>
          </w:p>
        </w:tc>
        <w:tc>
          <w:tcPr>
            <w:tcW w:w="779" w:type="pct"/>
            <w:vMerge w:val="continue"/>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rPr>
            </w:pPr>
          </w:p>
        </w:tc>
        <w:tc>
          <w:tcPr>
            <w:tcW w:w="522" w:type="pct"/>
            <w:vMerge w:val="continue"/>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rPr>
            </w:pPr>
          </w:p>
        </w:tc>
        <w:tc>
          <w:tcPr>
            <w:tcW w:w="501" w:type="pct"/>
            <w:vMerge w:val="continue"/>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7" w:hRule="atLeast"/>
          <w:jc w:val="center"/>
        </w:trPr>
        <w:tc>
          <w:tcPr>
            <w:tcW w:w="44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eastAsia="zh-CN"/>
              </w:rPr>
              <w:t>项目区</w:t>
            </w:r>
            <w:r>
              <w:rPr>
                <w:rFonts w:hint="eastAsia" w:cs="Times New Roman"/>
                <w:color w:val="auto"/>
                <w:kern w:val="0"/>
                <w:sz w:val="21"/>
                <w:szCs w:val="21"/>
                <w:highlight w:val="none"/>
                <w:lang w:val="en-US" w:eastAsia="zh-CN"/>
              </w:rPr>
              <w:t>内1#</w:t>
            </w:r>
          </w:p>
        </w:tc>
        <w:tc>
          <w:tcPr>
            <w:tcW w:w="1127" w:type="pc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p>
        </w:tc>
        <w:tc>
          <w:tcPr>
            <w:tcW w:w="668" w:type="pc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w:t>
            </w:r>
          </w:p>
        </w:tc>
        <w:tc>
          <w:tcPr>
            <w:tcW w:w="953" w:type="pc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50-70</w:t>
            </w:r>
          </w:p>
        </w:tc>
        <w:tc>
          <w:tcPr>
            <w:tcW w:w="779" w:type="pc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35</w:t>
            </w:r>
          </w:p>
        </w:tc>
        <w:tc>
          <w:tcPr>
            <w:tcW w:w="522" w:type="pc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c>
          <w:tcPr>
            <w:tcW w:w="501" w:type="pc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7" w:hRule="atLeast"/>
          <w:jc w:val="center"/>
        </w:trPr>
        <w:tc>
          <w:tcPr>
            <w:tcW w:w="446" w:type="pct"/>
            <w:vMerge w:val="continue"/>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rPr>
            </w:pPr>
          </w:p>
        </w:tc>
        <w:tc>
          <w:tcPr>
            <w:tcW w:w="1127" w:type="pc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S</w:t>
            </w:r>
          </w:p>
        </w:tc>
        <w:tc>
          <w:tcPr>
            <w:tcW w:w="668" w:type="pc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953" w:type="pc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cs="Times New Roman"/>
                <w:i w:val="0"/>
                <w:color w:val="auto"/>
                <w:kern w:val="0"/>
                <w:sz w:val="21"/>
                <w:szCs w:val="21"/>
                <w:highlight w:val="none"/>
                <w:u w:val="none"/>
                <w:lang w:val="en-US" w:eastAsia="zh-CN" w:bidi="ar"/>
              </w:rPr>
              <w:t>5</w:t>
            </w:r>
          </w:p>
        </w:tc>
        <w:tc>
          <w:tcPr>
            <w:tcW w:w="779" w:type="pc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0.025</w:t>
            </w:r>
          </w:p>
        </w:tc>
        <w:tc>
          <w:tcPr>
            <w:tcW w:w="522" w:type="pc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c>
          <w:tcPr>
            <w:tcW w:w="501" w:type="pc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7" w:hRule="atLeast"/>
          <w:jc w:val="center"/>
        </w:trPr>
        <w:tc>
          <w:tcPr>
            <w:tcW w:w="446" w:type="pct"/>
            <w:vMerge w:val="continue"/>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rPr>
            </w:pPr>
          </w:p>
        </w:tc>
        <w:tc>
          <w:tcPr>
            <w:tcW w:w="1127" w:type="pc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臭气浓度</w:t>
            </w:r>
          </w:p>
        </w:tc>
        <w:tc>
          <w:tcPr>
            <w:tcW w:w="668" w:type="pc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953" w:type="pc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cs="Times New Roman"/>
                <w:i w:val="0"/>
                <w:color w:val="auto"/>
                <w:kern w:val="0"/>
                <w:sz w:val="21"/>
                <w:szCs w:val="21"/>
                <w:highlight w:val="none"/>
                <w:u w:val="none"/>
                <w:lang w:val="en-US" w:eastAsia="zh-CN" w:bidi="ar"/>
              </w:rPr>
              <w:t>10</w:t>
            </w:r>
          </w:p>
        </w:tc>
        <w:tc>
          <w:tcPr>
            <w:tcW w:w="779" w:type="pc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522" w:type="pct"/>
            <w:tcBorders>
              <w:tl2br w:val="nil"/>
              <w:tr2bl w:val="nil"/>
            </w:tcBorders>
            <w:noWrap w:val="0"/>
            <w:vAlign w:val="center"/>
          </w:tcPr>
          <w:p>
            <w:pPr>
              <w:pStyle w:val="84"/>
              <w:pageBreakBefore w:val="0"/>
              <w:wordWrap/>
              <w:bidi w:val="0"/>
              <w:adjustRightInd w:val="0"/>
              <w:spacing w:line="240" w:lineRule="auto"/>
              <w:ind w:left="0" w:leftChars="0" w:right="0" w:rightChars="0"/>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501" w:type="pc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7" w:hRule="atLeast"/>
          <w:jc w:val="center"/>
        </w:trPr>
        <w:tc>
          <w:tcPr>
            <w:tcW w:w="446" w:type="pct"/>
            <w:vMerge w:val="continue"/>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rPr>
            </w:pPr>
          </w:p>
        </w:tc>
        <w:tc>
          <w:tcPr>
            <w:tcW w:w="1127" w:type="pc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TSP</w:t>
            </w:r>
          </w:p>
        </w:tc>
        <w:tc>
          <w:tcPr>
            <w:tcW w:w="668" w:type="pc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300</w:t>
            </w:r>
          </w:p>
        </w:tc>
        <w:tc>
          <w:tcPr>
            <w:tcW w:w="953" w:type="pc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118-130</w:t>
            </w:r>
          </w:p>
        </w:tc>
        <w:tc>
          <w:tcPr>
            <w:tcW w:w="779" w:type="pc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43.3</w:t>
            </w:r>
          </w:p>
        </w:tc>
        <w:tc>
          <w:tcPr>
            <w:tcW w:w="522" w:type="pc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0</w:t>
            </w:r>
          </w:p>
        </w:tc>
        <w:tc>
          <w:tcPr>
            <w:tcW w:w="501" w:type="pc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7" w:hRule="atLeast"/>
          <w:jc w:val="center"/>
        </w:trPr>
        <w:tc>
          <w:tcPr>
            <w:tcW w:w="44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kern w:val="0"/>
                <w:sz w:val="21"/>
                <w:szCs w:val="21"/>
                <w:highlight w:val="none"/>
                <w:lang w:eastAsia="zh-CN"/>
              </w:rPr>
              <w:t>项目区</w:t>
            </w:r>
            <w:r>
              <w:rPr>
                <w:rFonts w:hint="eastAsia" w:ascii="Times New Roman" w:hAnsi="Times New Roman" w:eastAsia="宋体" w:cs="Times New Roman"/>
                <w:color w:val="auto"/>
                <w:kern w:val="0"/>
                <w:sz w:val="21"/>
                <w:szCs w:val="21"/>
                <w:highlight w:val="none"/>
                <w:lang w:val="en-US" w:eastAsia="zh-CN"/>
              </w:rPr>
              <w:t>下风向</w:t>
            </w:r>
            <w:r>
              <w:rPr>
                <w:rFonts w:hint="eastAsia" w:cs="Times New Roman"/>
                <w:color w:val="auto"/>
                <w:kern w:val="0"/>
                <w:sz w:val="21"/>
                <w:szCs w:val="21"/>
                <w:highlight w:val="none"/>
                <w:lang w:val="en-US" w:eastAsia="zh-CN"/>
              </w:rPr>
              <w:t>2#</w:t>
            </w:r>
          </w:p>
        </w:tc>
        <w:tc>
          <w:tcPr>
            <w:tcW w:w="1127" w:type="pc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p>
        </w:tc>
        <w:tc>
          <w:tcPr>
            <w:tcW w:w="668" w:type="pc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200</w:t>
            </w:r>
          </w:p>
        </w:tc>
        <w:tc>
          <w:tcPr>
            <w:tcW w:w="953" w:type="pc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0.01-0.03</w:t>
            </w:r>
          </w:p>
        </w:tc>
        <w:tc>
          <w:tcPr>
            <w:tcW w:w="779" w:type="pc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522" w:type="pc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0</w:t>
            </w:r>
          </w:p>
        </w:tc>
        <w:tc>
          <w:tcPr>
            <w:tcW w:w="501" w:type="pc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7" w:hRule="atLeast"/>
          <w:jc w:val="center"/>
        </w:trPr>
        <w:tc>
          <w:tcPr>
            <w:tcW w:w="446" w:type="pct"/>
            <w:vMerge w:val="continue"/>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rPr>
            </w:pPr>
          </w:p>
        </w:tc>
        <w:tc>
          <w:tcPr>
            <w:tcW w:w="1127" w:type="pc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S</w:t>
            </w:r>
          </w:p>
        </w:tc>
        <w:tc>
          <w:tcPr>
            <w:tcW w:w="668" w:type="pc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10</w:t>
            </w:r>
          </w:p>
        </w:tc>
        <w:tc>
          <w:tcPr>
            <w:tcW w:w="953" w:type="pc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cs="Times New Roman"/>
                <w:i w:val="0"/>
                <w:color w:val="auto"/>
                <w:kern w:val="0"/>
                <w:sz w:val="21"/>
                <w:szCs w:val="21"/>
                <w:highlight w:val="none"/>
                <w:u w:val="none"/>
                <w:lang w:val="en-US" w:eastAsia="zh-CN" w:bidi="ar"/>
              </w:rPr>
              <w:t>5</w:t>
            </w:r>
          </w:p>
        </w:tc>
        <w:tc>
          <w:tcPr>
            <w:tcW w:w="779" w:type="pc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0.025</w:t>
            </w:r>
          </w:p>
        </w:tc>
        <w:tc>
          <w:tcPr>
            <w:tcW w:w="522" w:type="pc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0</w:t>
            </w:r>
          </w:p>
        </w:tc>
        <w:tc>
          <w:tcPr>
            <w:tcW w:w="501" w:type="pc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7" w:hRule="atLeast"/>
          <w:jc w:val="center"/>
        </w:trPr>
        <w:tc>
          <w:tcPr>
            <w:tcW w:w="446" w:type="pct"/>
            <w:vMerge w:val="continue"/>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rPr>
            </w:pPr>
          </w:p>
        </w:tc>
        <w:tc>
          <w:tcPr>
            <w:tcW w:w="1127" w:type="pc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臭气浓度</w:t>
            </w:r>
          </w:p>
        </w:tc>
        <w:tc>
          <w:tcPr>
            <w:tcW w:w="668" w:type="pc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953" w:type="pc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cs="Times New Roman"/>
                <w:i w:val="0"/>
                <w:color w:val="auto"/>
                <w:kern w:val="0"/>
                <w:sz w:val="21"/>
                <w:szCs w:val="21"/>
                <w:highlight w:val="none"/>
                <w:u w:val="none"/>
                <w:lang w:val="en-US" w:eastAsia="zh-CN" w:bidi="ar"/>
              </w:rPr>
              <w:t>10</w:t>
            </w:r>
          </w:p>
        </w:tc>
        <w:tc>
          <w:tcPr>
            <w:tcW w:w="779" w:type="pc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522" w:type="pct"/>
            <w:tcBorders>
              <w:tl2br w:val="nil"/>
              <w:tr2bl w:val="nil"/>
            </w:tcBorders>
            <w:noWrap w:val="0"/>
            <w:vAlign w:val="center"/>
          </w:tcPr>
          <w:p>
            <w:pPr>
              <w:pStyle w:val="84"/>
              <w:pageBreakBefore w:val="0"/>
              <w:wordWrap/>
              <w:bidi w:val="0"/>
              <w:adjustRightInd w:val="0"/>
              <w:spacing w:line="240" w:lineRule="auto"/>
              <w:ind w:left="0" w:leftChars="0" w:right="0" w:rightChars="0"/>
              <w:rPr>
                <w:color w:val="auto"/>
              </w:rPr>
            </w:pPr>
            <w:r>
              <w:rPr>
                <w:rFonts w:hint="eastAsia" w:cs="Times New Roman"/>
                <w:color w:val="auto"/>
                <w:sz w:val="21"/>
                <w:szCs w:val="21"/>
                <w:highlight w:val="none"/>
                <w:lang w:val="en-US" w:eastAsia="zh-CN"/>
              </w:rPr>
              <w:t>/</w:t>
            </w:r>
          </w:p>
        </w:tc>
        <w:tc>
          <w:tcPr>
            <w:tcW w:w="501" w:type="pc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47" w:hRule="atLeast"/>
          <w:jc w:val="center"/>
        </w:trPr>
        <w:tc>
          <w:tcPr>
            <w:tcW w:w="446" w:type="pct"/>
            <w:vMerge w:val="continue"/>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rPr>
            </w:pPr>
          </w:p>
        </w:tc>
        <w:tc>
          <w:tcPr>
            <w:tcW w:w="1127" w:type="pc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TSP</w:t>
            </w:r>
          </w:p>
        </w:tc>
        <w:tc>
          <w:tcPr>
            <w:tcW w:w="668" w:type="pc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300</w:t>
            </w:r>
          </w:p>
        </w:tc>
        <w:tc>
          <w:tcPr>
            <w:tcW w:w="953" w:type="pc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38-153</w:t>
            </w:r>
          </w:p>
        </w:tc>
        <w:tc>
          <w:tcPr>
            <w:tcW w:w="779" w:type="pc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51</w:t>
            </w:r>
          </w:p>
        </w:tc>
        <w:tc>
          <w:tcPr>
            <w:tcW w:w="522" w:type="pc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0</w:t>
            </w:r>
          </w:p>
        </w:tc>
        <w:tc>
          <w:tcPr>
            <w:tcW w:w="501" w:type="pc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达标</w:t>
            </w:r>
          </w:p>
        </w:tc>
      </w:tr>
    </w:tbl>
    <w:p>
      <w:pPr>
        <w:pageBreakBefore w:val="0"/>
        <w:wordWrap/>
        <w:bidi w:val="0"/>
        <w:adjustRightInd w:val="0"/>
        <w:ind w:left="0" w:leftChars="0" w:right="0" w:rightChars="0" w:firstLine="42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注：低出方法检出限数据，以&lt;检出限表示，并按1/2最低检出限值进行统计计算。</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由监测结果可知，监测期间，NH</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rPr>
        <w:t>、H</w:t>
      </w:r>
      <w:r>
        <w:rPr>
          <w:rFonts w:hint="default" w:ascii="Times New Roman" w:hAnsi="Times New Roman" w:eastAsia="宋体" w:cs="Times New Roman"/>
          <w:color w:val="auto"/>
          <w:highlight w:val="none"/>
          <w:vertAlign w:val="subscript"/>
        </w:rPr>
        <w:t>2</w:t>
      </w:r>
      <w:r>
        <w:rPr>
          <w:rFonts w:hint="default" w:ascii="Times New Roman" w:hAnsi="Times New Roman" w:eastAsia="宋体" w:cs="Times New Roman"/>
          <w:color w:val="auto"/>
          <w:highlight w:val="none"/>
        </w:rPr>
        <w:t>S、</w:t>
      </w:r>
      <w:r>
        <w:rPr>
          <w:rFonts w:hint="eastAsia" w:ascii="Times New Roman" w:hAnsi="Times New Roman" w:eastAsia="宋体" w:cs="Times New Roman"/>
          <w:color w:val="auto"/>
          <w:highlight w:val="none"/>
          <w:lang w:eastAsia="zh-CN"/>
        </w:rPr>
        <w:t>臭气浓度、</w:t>
      </w:r>
      <w:r>
        <w:rPr>
          <w:rFonts w:hint="default" w:ascii="Times New Roman" w:hAnsi="Times New Roman" w:cs="Times New Roman"/>
          <w:color w:val="auto"/>
          <w:highlight w:val="none"/>
          <w:lang w:val="en-US" w:eastAsia="zh-CN"/>
        </w:rPr>
        <w:t>TSP</w:t>
      </w:r>
      <w:r>
        <w:rPr>
          <w:rFonts w:hint="default" w:ascii="Times New Roman" w:hAnsi="Times New Roman" w:eastAsia="宋体" w:cs="Times New Roman"/>
          <w:color w:val="auto"/>
          <w:highlight w:val="none"/>
        </w:rPr>
        <w:t>监测值均</w:t>
      </w:r>
      <w:r>
        <w:rPr>
          <w:rFonts w:hint="default" w:ascii="Times New Roman" w:hAnsi="Times New Roman" w:eastAsia="宋体" w:cs="Times New Roman"/>
          <w:color w:val="auto"/>
          <w:highlight w:val="none"/>
          <w:lang w:val="en-US" w:eastAsia="zh-CN"/>
        </w:rPr>
        <w:t>达到</w:t>
      </w:r>
      <w:r>
        <w:rPr>
          <w:rFonts w:hint="default" w:ascii="Times New Roman" w:hAnsi="Times New Roman" w:eastAsia="宋体" w:cs="Times New Roman"/>
          <w:color w:val="auto"/>
          <w:highlight w:val="none"/>
        </w:rPr>
        <w:t>《环境空气质量标准》（GB3095-2012）二级浓度限值，项目区大气环境质量现状良好。</w:t>
      </w:r>
    </w:p>
    <w:p>
      <w:pPr>
        <w:pStyle w:val="5"/>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rPr>
      </w:pPr>
      <w:bookmarkStart w:id="212" w:name="_Toc23472"/>
      <w:r>
        <w:rPr>
          <w:rFonts w:hint="default" w:ascii="Times New Roman" w:hAnsi="Times New Roman" w:eastAsia="宋体" w:cs="Times New Roman"/>
          <w:color w:val="auto"/>
          <w:highlight w:val="none"/>
        </w:rPr>
        <w:t>地下水环境现状调查及评价</w:t>
      </w:r>
      <w:bookmarkEnd w:id="212"/>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（1）监测布点</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地下水流向由北—南径流，地下水设置3个监测点，上游1个监测点，下游2个监测点。具体位置详见表4.2-5。</w:t>
      </w:r>
    </w:p>
    <w:p>
      <w:pPr>
        <w:pStyle w:val="50"/>
        <w:pageBreakBefore w:val="0"/>
        <w:wordWrap/>
        <w:bidi w:val="0"/>
        <w:adjustRightInd w:val="0"/>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表4.2-5   地下水环境质量现状监测布点一览表</w:t>
      </w:r>
    </w:p>
    <w:tbl>
      <w:tblPr>
        <w:tblStyle w:val="39"/>
        <w:tblpPr w:leftFromText="180" w:rightFromText="180" w:vertAnchor="text" w:tblpXSpec="left" w:tblpY="1"/>
        <w:tblOverlap w:val="never"/>
        <w:tblW w:w="4945"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119"/>
        <w:gridCol w:w="1493"/>
        <w:gridCol w:w="1832"/>
        <w:gridCol w:w="425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643" w:type="pct"/>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监测点位</w:t>
            </w:r>
          </w:p>
        </w:tc>
        <w:tc>
          <w:tcPr>
            <w:tcW w:w="858" w:type="pct"/>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相对位置</w:t>
            </w:r>
          </w:p>
        </w:tc>
        <w:tc>
          <w:tcPr>
            <w:tcW w:w="1053" w:type="pct"/>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相对距离（km）</w:t>
            </w:r>
          </w:p>
        </w:tc>
        <w:tc>
          <w:tcPr>
            <w:tcW w:w="2444" w:type="pct"/>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地理坐标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643" w:type="pct"/>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rPr>
              <w:t>1</w:t>
            </w:r>
            <w:r>
              <w:rPr>
                <w:rFonts w:hint="default" w:ascii="Times New Roman" w:hAnsi="Times New Roman" w:eastAsia="宋体" w:cs="Times New Roman"/>
                <w:color w:val="auto"/>
                <w:sz w:val="21"/>
                <w:szCs w:val="21"/>
                <w:highlight w:val="none"/>
              </w:rPr>
              <w:t>#</w:t>
            </w:r>
          </w:p>
        </w:tc>
        <w:tc>
          <w:tcPr>
            <w:tcW w:w="858" w:type="pct"/>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rPr>
              <w:t>项目区北</w:t>
            </w:r>
            <w:r>
              <w:rPr>
                <w:rFonts w:hint="default" w:ascii="Times New Roman" w:hAnsi="Times New Roman" w:eastAsia="宋体" w:cs="Times New Roman"/>
                <w:color w:val="auto"/>
                <w:sz w:val="21"/>
                <w:szCs w:val="21"/>
                <w:highlight w:val="none"/>
                <w:lang w:val="en-US" w:eastAsia="zh-CN"/>
              </w:rPr>
              <w:t>侧</w:t>
            </w:r>
          </w:p>
        </w:tc>
        <w:tc>
          <w:tcPr>
            <w:tcW w:w="1053" w:type="pct"/>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4.95</w:t>
            </w:r>
          </w:p>
        </w:tc>
        <w:tc>
          <w:tcPr>
            <w:tcW w:w="2444" w:type="pct"/>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E</w:t>
            </w:r>
            <w:r>
              <w:rPr>
                <w:rFonts w:hint="eastAsia" w:ascii="Times New Roman" w:hAnsi="Times New Roman" w:eastAsia="宋体" w:cs="Times New Roman"/>
                <w:color w:val="auto"/>
                <w:sz w:val="21"/>
                <w:szCs w:val="21"/>
                <w:highlight w:val="none"/>
                <w:lang w:val="en-US" w:eastAsia="zh-CN"/>
              </w:rPr>
              <w:t>：83</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11</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17.35</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N</w:t>
            </w:r>
            <w:r>
              <w:rPr>
                <w:rFonts w:hint="eastAsia" w:ascii="Times New Roman" w:hAnsi="Times New Roman" w:eastAsia="宋体" w:cs="Times New Roman"/>
                <w:color w:val="auto"/>
                <w:sz w:val="21"/>
                <w:szCs w:val="21"/>
                <w:highlight w:val="none"/>
                <w:lang w:val="en-US" w:eastAsia="zh-CN"/>
              </w:rPr>
              <w:t>：46</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38</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45.09</w:t>
            </w:r>
            <w:r>
              <w:rPr>
                <w:rFonts w:hint="default" w:ascii="Times New Roman" w:hAnsi="Times New Roman" w:eastAsia="宋体" w:cs="Times New Roman"/>
                <w:color w:val="auto"/>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643" w:type="pct"/>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858" w:type="pct"/>
            <w:tcBorders>
              <w:tl2br w:val="nil"/>
              <w:tr2bl w:val="nil"/>
            </w:tcBorders>
            <w:noWrap w:val="0"/>
            <w:vAlign w:val="top"/>
          </w:tcPr>
          <w:p>
            <w:pPr>
              <w:pStyle w:val="55"/>
              <w:pageBreakBefore w:val="0"/>
              <w:wordWrap/>
              <w:bidi w:val="0"/>
              <w:adjustRightInd w:val="0"/>
              <w:ind w:left="0" w:leftChars="0" w:right="0" w:rightChars="0"/>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rPr>
              <w:t>项目区东</w:t>
            </w:r>
            <w:r>
              <w:rPr>
                <w:rFonts w:hint="eastAsia" w:cs="Times New Roman"/>
                <w:color w:val="auto"/>
                <w:sz w:val="21"/>
                <w:szCs w:val="21"/>
                <w:highlight w:val="none"/>
                <w:lang w:val="en-US" w:eastAsia="zh-CN"/>
              </w:rPr>
              <w:t>南</w:t>
            </w:r>
            <w:r>
              <w:rPr>
                <w:rFonts w:hint="default" w:ascii="Times New Roman" w:hAnsi="Times New Roman" w:eastAsia="宋体" w:cs="Times New Roman"/>
                <w:color w:val="auto"/>
                <w:sz w:val="21"/>
                <w:szCs w:val="21"/>
                <w:highlight w:val="none"/>
                <w:lang w:val="en-US" w:eastAsia="zh-CN"/>
              </w:rPr>
              <w:t>侧</w:t>
            </w:r>
          </w:p>
        </w:tc>
        <w:tc>
          <w:tcPr>
            <w:tcW w:w="1053" w:type="pct"/>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2.14</w:t>
            </w:r>
          </w:p>
        </w:tc>
        <w:tc>
          <w:tcPr>
            <w:tcW w:w="2444" w:type="pct"/>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E</w:t>
            </w:r>
            <w:r>
              <w:rPr>
                <w:rFonts w:hint="eastAsia" w:ascii="Times New Roman" w:hAnsi="Times New Roman" w:eastAsia="宋体" w:cs="Times New Roman"/>
                <w:color w:val="auto"/>
                <w:sz w:val="21"/>
                <w:szCs w:val="21"/>
                <w:highlight w:val="none"/>
                <w:lang w:val="en-US" w:eastAsia="zh-CN"/>
              </w:rPr>
              <w:t>：83</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12</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42.76</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N</w:t>
            </w:r>
            <w:r>
              <w:rPr>
                <w:rFonts w:hint="eastAsia" w:ascii="Times New Roman" w:hAnsi="Times New Roman" w:eastAsia="宋体" w:cs="Times New Roman"/>
                <w:color w:val="auto"/>
                <w:sz w:val="21"/>
                <w:szCs w:val="21"/>
                <w:highlight w:val="none"/>
                <w:lang w:val="en-US" w:eastAsia="zh-CN"/>
              </w:rPr>
              <w:t>：46</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34</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22.16</w:t>
            </w:r>
            <w:r>
              <w:rPr>
                <w:rFonts w:hint="default" w:ascii="Times New Roman" w:hAnsi="Times New Roman" w:eastAsia="宋体" w:cs="Times New Roman"/>
                <w:color w:val="auto"/>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643" w:type="pct"/>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858" w:type="pct"/>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rPr>
              <w:t>项目区东</w:t>
            </w:r>
            <w:r>
              <w:rPr>
                <w:rFonts w:hint="eastAsia" w:cs="Times New Roman"/>
                <w:color w:val="auto"/>
                <w:sz w:val="21"/>
                <w:szCs w:val="21"/>
                <w:highlight w:val="none"/>
                <w:lang w:val="en-US" w:eastAsia="zh-CN"/>
              </w:rPr>
              <w:t>南</w:t>
            </w:r>
            <w:r>
              <w:rPr>
                <w:rFonts w:hint="default" w:ascii="Times New Roman" w:hAnsi="Times New Roman" w:eastAsia="宋体" w:cs="Times New Roman"/>
                <w:color w:val="auto"/>
                <w:sz w:val="21"/>
                <w:szCs w:val="21"/>
                <w:highlight w:val="none"/>
                <w:lang w:val="en-US" w:eastAsia="zh-CN"/>
              </w:rPr>
              <w:t>侧</w:t>
            </w:r>
          </w:p>
        </w:tc>
        <w:tc>
          <w:tcPr>
            <w:tcW w:w="1053" w:type="pct"/>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4.91</w:t>
            </w:r>
          </w:p>
        </w:tc>
        <w:tc>
          <w:tcPr>
            <w:tcW w:w="2444" w:type="pct"/>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E</w:t>
            </w:r>
            <w:r>
              <w:rPr>
                <w:rFonts w:hint="eastAsia" w:ascii="Times New Roman" w:hAnsi="Times New Roman" w:eastAsia="宋体" w:cs="Times New Roman"/>
                <w:color w:val="auto"/>
                <w:sz w:val="21"/>
                <w:szCs w:val="21"/>
                <w:highlight w:val="none"/>
                <w:lang w:val="en-US" w:eastAsia="zh-CN"/>
              </w:rPr>
              <w:t>：83</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13</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33.26</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N</w:t>
            </w:r>
            <w:r>
              <w:rPr>
                <w:rFonts w:hint="eastAsia" w:ascii="Times New Roman" w:hAnsi="Times New Roman" w:eastAsia="宋体" w:cs="Times New Roman"/>
                <w:color w:val="auto"/>
                <w:sz w:val="21"/>
                <w:szCs w:val="21"/>
                <w:highlight w:val="none"/>
                <w:lang w:val="en-US" w:eastAsia="zh-CN"/>
              </w:rPr>
              <w:t>：46</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33</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3.63</w:t>
            </w:r>
            <w:r>
              <w:rPr>
                <w:rFonts w:hint="default" w:ascii="Times New Roman" w:hAnsi="Times New Roman" w:eastAsia="宋体" w:cs="Times New Roman"/>
                <w:color w:val="auto"/>
                <w:sz w:val="21"/>
                <w:szCs w:val="21"/>
                <w:highlight w:val="none"/>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before="157" w:beforeLines="50"/>
        <w:ind w:left="0" w:leftChars="0" w:right="0" w:rightChars="0"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（2）监测项目</w:t>
      </w:r>
    </w:p>
    <w:p>
      <w:pPr>
        <w:pageBreakBefore w:val="0"/>
        <w:wordWrap/>
        <w:bidi w:val="0"/>
        <w:adjustRightInd w:val="0"/>
        <w:ind w:left="0" w:leftChars="0" w:right="0" w:rightChars="0" w:firstLine="48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K</w:t>
      </w:r>
      <w:r>
        <w:rPr>
          <w:rFonts w:hint="default" w:ascii="Times New Roman" w:hAnsi="Times New Roman" w:eastAsia="宋体" w:cs="Times New Roman"/>
          <w:bCs/>
          <w:color w:val="auto"/>
          <w:highlight w:val="none"/>
          <w:vertAlign w:val="superscript"/>
        </w:rPr>
        <w:t>+</w:t>
      </w:r>
      <w:r>
        <w:rPr>
          <w:rFonts w:hint="default" w:ascii="Times New Roman" w:hAnsi="Times New Roman" w:eastAsia="宋体" w:cs="Times New Roman"/>
          <w:bCs/>
          <w:color w:val="auto"/>
          <w:highlight w:val="none"/>
        </w:rPr>
        <w:t>、</w:t>
      </w:r>
      <w:r>
        <w:rPr>
          <w:rFonts w:hint="default" w:ascii="Times New Roman" w:hAnsi="Times New Roman" w:eastAsia="宋体" w:cs="Times New Roman"/>
          <w:bCs/>
          <w:color w:val="auto"/>
          <w:highlight w:val="none"/>
          <w:lang w:eastAsia="zh-CN"/>
        </w:rPr>
        <w:t>Na</w:t>
      </w:r>
      <w:r>
        <w:rPr>
          <w:rFonts w:hint="default" w:ascii="Times New Roman" w:hAnsi="Times New Roman" w:eastAsia="宋体" w:cs="Times New Roman"/>
          <w:bCs/>
          <w:color w:val="auto"/>
          <w:highlight w:val="none"/>
          <w:vertAlign w:val="superscript"/>
          <w:lang w:eastAsia="zh-CN"/>
        </w:rPr>
        <w:t>+</w:t>
      </w:r>
      <w:r>
        <w:rPr>
          <w:rFonts w:hint="default" w:ascii="Times New Roman" w:hAnsi="Times New Roman" w:eastAsia="宋体" w:cs="Times New Roman"/>
          <w:bCs/>
          <w:color w:val="auto"/>
          <w:highlight w:val="none"/>
        </w:rPr>
        <w:t>、Ca</w:t>
      </w:r>
      <w:r>
        <w:rPr>
          <w:rFonts w:hint="default" w:ascii="Times New Roman" w:hAnsi="Times New Roman" w:eastAsia="宋体" w:cs="Times New Roman"/>
          <w:bCs/>
          <w:color w:val="auto"/>
          <w:highlight w:val="none"/>
          <w:vertAlign w:val="superscript"/>
        </w:rPr>
        <w:t>2+</w:t>
      </w:r>
      <w:r>
        <w:rPr>
          <w:rFonts w:hint="default" w:ascii="Times New Roman" w:hAnsi="Times New Roman" w:eastAsia="宋体" w:cs="Times New Roman"/>
          <w:bCs/>
          <w:color w:val="auto"/>
          <w:highlight w:val="none"/>
        </w:rPr>
        <w:t>、Mg</w:t>
      </w:r>
      <w:r>
        <w:rPr>
          <w:rFonts w:hint="default" w:ascii="Times New Roman" w:hAnsi="Times New Roman" w:eastAsia="宋体" w:cs="Times New Roman"/>
          <w:bCs/>
          <w:color w:val="auto"/>
          <w:highlight w:val="none"/>
          <w:vertAlign w:val="superscript"/>
        </w:rPr>
        <w:t>2+</w:t>
      </w:r>
      <w:r>
        <w:rPr>
          <w:rFonts w:hint="default" w:ascii="Times New Roman" w:hAnsi="Times New Roman" w:eastAsia="宋体" w:cs="Times New Roman"/>
          <w:bCs/>
          <w:color w:val="auto"/>
          <w:highlight w:val="none"/>
        </w:rPr>
        <w:t>、CO</w:t>
      </w:r>
      <w:r>
        <w:rPr>
          <w:rFonts w:hint="default" w:ascii="Times New Roman" w:hAnsi="Times New Roman" w:eastAsia="宋体" w:cs="Times New Roman"/>
          <w:bCs/>
          <w:color w:val="auto"/>
          <w:highlight w:val="none"/>
          <w:vertAlign w:val="subscript"/>
        </w:rPr>
        <w:t>3</w:t>
      </w:r>
      <w:r>
        <w:rPr>
          <w:rFonts w:hint="default" w:ascii="Times New Roman" w:hAnsi="Times New Roman" w:eastAsia="宋体" w:cs="Times New Roman"/>
          <w:bCs/>
          <w:color w:val="auto"/>
          <w:highlight w:val="none"/>
          <w:vertAlign w:val="superscript"/>
        </w:rPr>
        <w:t>2-</w:t>
      </w:r>
      <w:r>
        <w:rPr>
          <w:rFonts w:hint="default" w:ascii="Times New Roman" w:hAnsi="Times New Roman" w:eastAsia="宋体" w:cs="Times New Roman"/>
          <w:bCs/>
          <w:color w:val="auto"/>
          <w:highlight w:val="none"/>
        </w:rPr>
        <w:t>、HCO</w:t>
      </w:r>
      <w:r>
        <w:rPr>
          <w:rFonts w:hint="default" w:ascii="Times New Roman" w:hAnsi="Times New Roman" w:eastAsia="宋体" w:cs="Times New Roman"/>
          <w:bCs/>
          <w:color w:val="auto"/>
          <w:highlight w:val="none"/>
          <w:vertAlign w:val="subscript"/>
        </w:rPr>
        <w:t>3</w:t>
      </w:r>
      <w:r>
        <w:rPr>
          <w:rFonts w:hint="default" w:ascii="Times New Roman" w:hAnsi="Times New Roman" w:eastAsia="宋体" w:cs="Times New Roman"/>
          <w:bCs/>
          <w:color w:val="auto"/>
          <w:highlight w:val="none"/>
          <w:vertAlign w:val="superscript"/>
        </w:rPr>
        <w:t>-</w:t>
      </w:r>
      <w:r>
        <w:rPr>
          <w:rFonts w:hint="default" w:ascii="Times New Roman" w:hAnsi="Times New Roman" w:eastAsia="宋体" w:cs="Times New Roman"/>
          <w:bCs/>
          <w:color w:val="auto"/>
          <w:highlight w:val="none"/>
        </w:rPr>
        <w:t>、Cl</w:t>
      </w:r>
      <w:r>
        <w:rPr>
          <w:rFonts w:hint="default" w:ascii="Times New Roman" w:hAnsi="Times New Roman" w:eastAsia="宋体" w:cs="Times New Roman"/>
          <w:bCs/>
          <w:color w:val="auto"/>
          <w:highlight w:val="none"/>
          <w:vertAlign w:val="superscript"/>
        </w:rPr>
        <w:t>-</w:t>
      </w:r>
      <w:r>
        <w:rPr>
          <w:rFonts w:hint="default" w:ascii="Times New Roman" w:hAnsi="Times New Roman" w:eastAsia="宋体" w:cs="Times New Roman"/>
          <w:bCs/>
          <w:color w:val="auto"/>
          <w:highlight w:val="none"/>
        </w:rPr>
        <w:t>、SO</w:t>
      </w:r>
      <w:r>
        <w:rPr>
          <w:rFonts w:hint="default" w:ascii="Times New Roman" w:hAnsi="Times New Roman" w:eastAsia="宋体" w:cs="Times New Roman"/>
          <w:bCs/>
          <w:color w:val="auto"/>
          <w:highlight w:val="none"/>
          <w:vertAlign w:val="subscript"/>
        </w:rPr>
        <w:t>4</w:t>
      </w:r>
      <w:r>
        <w:rPr>
          <w:rFonts w:hint="default" w:ascii="Times New Roman" w:hAnsi="Times New Roman" w:eastAsia="宋体" w:cs="Times New Roman"/>
          <w:bCs/>
          <w:color w:val="auto"/>
          <w:highlight w:val="none"/>
          <w:vertAlign w:val="superscript"/>
        </w:rPr>
        <w:t>2-</w:t>
      </w:r>
      <w:r>
        <w:rPr>
          <w:rFonts w:hint="default" w:ascii="Times New Roman" w:hAnsi="Times New Roman" w:eastAsia="宋体" w:cs="Times New Roman"/>
          <w:bCs/>
          <w:color w:val="auto"/>
          <w:highlight w:val="none"/>
        </w:rPr>
        <w:t>、pH、总硬度、溶解性总固体、耗氧量、铁、锰、铜、锌、挥发酚、阴离子表面活性剂、硝酸盐、亚硝酸盐、氨氮、硫化物、氟化物、氰化物、汞、砷、镉、六价铬、铅、总大肠菌群共30项。</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（3）监测时间及频率</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监测时间为20</w:t>
      </w:r>
      <w:r>
        <w:rPr>
          <w:rFonts w:hint="default" w:ascii="Times New Roman" w:hAnsi="Times New Roman" w:eastAsia="宋体" w:cs="Times New Roman"/>
          <w:color w:val="auto"/>
          <w:highlight w:val="none"/>
          <w:lang w:val="en-US" w:eastAsia="zh-CN"/>
        </w:rPr>
        <w:t>2</w:t>
      </w:r>
      <w:r>
        <w:rPr>
          <w:rFonts w:hint="eastAsia" w:cs="Times New Roman"/>
          <w:color w:val="auto"/>
          <w:highlight w:val="none"/>
          <w:lang w:val="en-US" w:eastAsia="zh-CN"/>
        </w:rPr>
        <w:t>3</w:t>
      </w:r>
      <w:r>
        <w:rPr>
          <w:rFonts w:hint="default" w:ascii="Times New Roman" w:hAnsi="Times New Roman" w:eastAsia="宋体" w:cs="Times New Roman"/>
          <w:color w:val="auto"/>
          <w:highlight w:val="none"/>
        </w:rPr>
        <w:t>年</w:t>
      </w:r>
      <w:r>
        <w:rPr>
          <w:rFonts w:hint="default"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月</w:t>
      </w:r>
      <w:r>
        <w:rPr>
          <w:rFonts w:hint="default" w:ascii="Times New Roman" w:hAnsi="Times New Roman" w:eastAsia="宋体" w:cs="Times New Roman"/>
          <w:color w:val="auto"/>
          <w:highlight w:val="none"/>
          <w:lang w:val="en-US" w:eastAsia="zh-CN"/>
        </w:rPr>
        <w:t>1</w:t>
      </w:r>
      <w:r>
        <w:rPr>
          <w:rFonts w:hint="eastAsia" w:cs="Times New Roman"/>
          <w:color w:val="auto"/>
          <w:highlight w:val="none"/>
          <w:lang w:val="en-US" w:eastAsia="zh-CN"/>
        </w:rPr>
        <w:t>3</w:t>
      </w:r>
      <w:r>
        <w:rPr>
          <w:rFonts w:hint="default" w:ascii="Times New Roman" w:hAnsi="Times New Roman" w:eastAsia="宋体" w:cs="Times New Roman"/>
          <w:color w:val="auto"/>
          <w:highlight w:val="none"/>
        </w:rPr>
        <w:t>日，监测一天，取样一次。</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（4）监测分析方法</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本次环评水质现状监测项目及分析方法依照国家环保局颁布的《环境水质监测质量保证手册》与《水和废水监测分析方法》的规定进行。</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（5）评价方法</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评价方法采用标准指数法，对照《地下水质量标准》（GB/T14848-2017）Ⅲ类标准进行评价。</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①一般水质因子：</w:t>
      </w:r>
    </w:p>
    <w:p>
      <w:pPr>
        <w:pageBreakBefore w:val="0"/>
        <w:wordWrap/>
        <w:bidi w:val="0"/>
        <w:adjustRightInd w:val="0"/>
        <w:ind w:left="0" w:leftChars="0"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S</w:t>
      </w:r>
      <w:r>
        <w:rPr>
          <w:rFonts w:hint="default" w:ascii="Times New Roman" w:hAnsi="Times New Roman" w:eastAsia="宋体" w:cs="Times New Roman"/>
          <w:color w:val="auto"/>
          <w:highlight w:val="none"/>
          <w:vertAlign w:val="subscript"/>
        </w:rPr>
        <w:t>ij</w:t>
      </w:r>
      <w:r>
        <w:rPr>
          <w:rFonts w:hint="default" w:ascii="Times New Roman" w:hAnsi="Times New Roman" w:eastAsia="宋体" w:cs="Times New Roman"/>
          <w:color w:val="auto"/>
          <w:highlight w:val="none"/>
        </w:rPr>
        <w:t>＝Cij/Csi</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式中：Sij－单项水质参数i在第j点的标准指数；</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  </w:t>
      </w:r>
      <w:r>
        <w:rPr>
          <w:rFonts w:hint="default" w:ascii="Times New Roman" w:hAnsi="Times New Roman" w:eastAsia="宋体" w:cs="Times New Roman"/>
          <w:color w:val="auto"/>
          <w:spacing w:val="-11"/>
          <w:sz w:val="24"/>
          <w:highlight w:val="none"/>
        </w:rPr>
        <w:t xml:space="preserve">    </w:t>
      </w:r>
      <w:r>
        <w:rPr>
          <w:rFonts w:hint="eastAsia" w:cs="Times New Roman"/>
          <w:color w:val="auto"/>
          <w:spacing w:val="-11"/>
          <w:sz w:val="24"/>
          <w:highlight w:val="none"/>
          <w:lang w:val="en-US" w:eastAsia="zh-CN"/>
        </w:rPr>
        <w:t xml:space="preserve"> </w:t>
      </w:r>
      <w:r>
        <w:rPr>
          <w:rFonts w:hint="default" w:ascii="Times New Roman" w:hAnsi="Times New Roman" w:eastAsia="宋体" w:cs="Times New Roman"/>
          <w:color w:val="auto"/>
          <w:spacing w:val="-11"/>
          <w:sz w:val="24"/>
          <w:highlight w:val="none"/>
        </w:rPr>
        <w:t>Cij－</w:t>
      </w:r>
      <w:r>
        <w:rPr>
          <w:rFonts w:hint="default" w:ascii="Times New Roman" w:hAnsi="Times New Roman" w:eastAsia="宋体" w:cs="Times New Roman"/>
          <w:color w:val="auto"/>
          <w:spacing w:val="-11"/>
          <w:sz w:val="24"/>
          <w:highlight w:val="none"/>
          <w:lang w:eastAsia="zh-CN"/>
        </w:rPr>
        <w:t>（</w:t>
      </w:r>
      <w:r>
        <w:rPr>
          <w:rFonts w:hint="default" w:ascii="Times New Roman" w:hAnsi="Times New Roman" w:eastAsia="宋体" w:cs="Times New Roman"/>
          <w:color w:val="auto"/>
          <w:spacing w:val="-11"/>
          <w:sz w:val="24"/>
          <w:highlight w:val="none"/>
        </w:rPr>
        <w:t>i，j</w:t>
      </w:r>
      <w:r>
        <w:rPr>
          <w:rFonts w:hint="default" w:ascii="Times New Roman" w:hAnsi="Times New Roman" w:eastAsia="宋体" w:cs="Times New Roman"/>
          <w:color w:val="auto"/>
          <w:spacing w:val="-11"/>
          <w:sz w:val="24"/>
          <w:highlight w:val="none"/>
          <w:lang w:eastAsia="zh-CN"/>
        </w:rPr>
        <w:t>）</w:t>
      </w:r>
      <w:r>
        <w:rPr>
          <w:rFonts w:hint="default" w:ascii="Times New Roman" w:hAnsi="Times New Roman" w:eastAsia="宋体" w:cs="Times New Roman"/>
          <w:color w:val="auto"/>
          <w:spacing w:val="-11"/>
          <w:sz w:val="24"/>
          <w:highlight w:val="none"/>
        </w:rPr>
        <w:t>点的污染物浓度或污染物i在预测点</w:t>
      </w:r>
      <w:r>
        <w:rPr>
          <w:rFonts w:hint="default" w:ascii="Times New Roman" w:hAnsi="Times New Roman" w:eastAsia="宋体" w:cs="Times New Roman"/>
          <w:color w:val="auto"/>
          <w:spacing w:val="-11"/>
          <w:sz w:val="24"/>
          <w:highlight w:val="none"/>
          <w:lang w:eastAsia="zh-CN"/>
        </w:rPr>
        <w:t>（</w:t>
      </w:r>
      <w:r>
        <w:rPr>
          <w:rFonts w:hint="default" w:ascii="Times New Roman" w:hAnsi="Times New Roman" w:eastAsia="宋体" w:cs="Times New Roman"/>
          <w:color w:val="auto"/>
          <w:spacing w:val="-11"/>
          <w:sz w:val="24"/>
          <w:highlight w:val="none"/>
        </w:rPr>
        <w:t>或监测点</w:t>
      </w:r>
      <w:r>
        <w:rPr>
          <w:rFonts w:hint="default" w:ascii="Times New Roman" w:hAnsi="Times New Roman" w:eastAsia="宋体" w:cs="Times New Roman"/>
          <w:color w:val="auto"/>
          <w:spacing w:val="-11"/>
          <w:sz w:val="24"/>
          <w:highlight w:val="none"/>
          <w:lang w:eastAsia="zh-CN"/>
        </w:rPr>
        <w:t>）</w:t>
      </w:r>
      <w:r>
        <w:rPr>
          <w:rFonts w:hint="default" w:ascii="Times New Roman" w:hAnsi="Times New Roman" w:eastAsia="宋体" w:cs="Times New Roman"/>
          <w:color w:val="auto"/>
          <w:spacing w:val="-11"/>
          <w:sz w:val="24"/>
          <w:highlight w:val="none"/>
        </w:rPr>
        <w:t xml:space="preserve">j的浓度，mg/L；  </w:t>
      </w:r>
      <w:r>
        <w:rPr>
          <w:rFonts w:hint="default" w:ascii="Times New Roman" w:hAnsi="Times New Roman" w:eastAsia="宋体" w:cs="Times New Roman"/>
          <w:color w:val="auto"/>
          <w:highlight w:val="none"/>
        </w:rPr>
        <w:t xml:space="preserve">    </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      Csi－水质参数i的地表水水质标准，mg/L。</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②特殊水质因子</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pH的标准指数：</w:t>
      </w:r>
    </w:p>
    <w:p>
      <w:pPr>
        <w:pageBreakBefore w:val="0"/>
        <w:wordWrap/>
        <w:bidi w:val="0"/>
        <w:adjustRightInd w:val="0"/>
        <w:ind w:left="0" w:leftChars="0" w:right="0" w:rightChars="0" w:firstLine="960" w:firstLineChars="4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S</w:t>
      </w:r>
      <w:r>
        <w:rPr>
          <w:rFonts w:hint="default" w:ascii="Times New Roman" w:hAnsi="Times New Roman" w:eastAsia="宋体" w:cs="Times New Roman"/>
          <w:color w:val="auto"/>
          <w:highlight w:val="none"/>
          <w:vertAlign w:val="subscript"/>
        </w:rPr>
        <w:t>pH，j</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7.0-pHj</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7.0-pHsd</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 xml:space="preserve">           pHj≤7.0</w:t>
      </w:r>
    </w:p>
    <w:p>
      <w:pPr>
        <w:pageBreakBefore w:val="0"/>
        <w:wordWrap/>
        <w:bidi w:val="0"/>
        <w:adjustRightInd w:val="0"/>
        <w:ind w:left="0" w:leftChars="0" w:right="0" w:rightChars="0" w:firstLine="960" w:firstLineChars="4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S</w:t>
      </w:r>
      <w:r>
        <w:rPr>
          <w:rFonts w:hint="default" w:ascii="Times New Roman" w:hAnsi="Times New Roman" w:eastAsia="宋体" w:cs="Times New Roman"/>
          <w:color w:val="auto"/>
          <w:highlight w:val="none"/>
          <w:vertAlign w:val="subscript"/>
        </w:rPr>
        <w:t>pH，j</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pHj -7.0</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pHsu -7.0</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 xml:space="preserve">          pHj＞7.0</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式中：S</w:t>
      </w:r>
      <w:r>
        <w:rPr>
          <w:rFonts w:hint="default" w:ascii="Times New Roman" w:hAnsi="Times New Roman" w:eastAsia="宋体" w:cs="Times New Roman"/>
          <w:color w:val="auto"/>
          <w:highlight w:val="none"/>
          <w:vertAlign w:val="subscript"/>
        </w:rPr>
        <w:t>pH，j</w:t>
      </w:r>
      <w:r>
        <w:rPr>
          <w:rFonts w:hint="default" w:ascii="Times New Roman" w:hAnsi="Times New Roman" w:eastAsia="宋体" w:cs="Times New Roman"/>
          <w:color w:val="auto"/>
          <w:highlight w:val="none"/>
        </w:rPr>
        <w:t>—pH的标准指数；</w:t>
      </w:r>
    </w:p>
    <w:p>
      <w:pPr>
        <w:pageBreakBefore w:val="0"/>
        <w:wordWrap/>
        <w:bidi w:val="0"/>
        <w:adjustRightInd w:val="0"/>
        <w:ind w:left="0" w:leftChars="0"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pHj—pH实测值；</w:t>
      </w:r>
    </w:p>
    <w:p>
      <w:pPr>
        <w:pageBreakBefore w:val="0"/>
        <w:wordWrap/>
        <w:bidi w:val="0"/>
        <w:adjustRightInd w:val="0"/>
        <w:ind w:left="0" w:leftChars="0" w:right="0" w:rightChars="0" w:firstLine="960" w:firstLineChars="4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  pH</w:t>
      </w:r>
      <w:r>
        <w:rPr>
          <w:rFonts w:hint="default" w:ascii="Times New Roman" w:hAnsi="Times New Roman" w:eastAsia="宋体" w:cs="Times New Roman"/>
          <w:color w:val="auto"/>
          <w:highlight w:val="none"/>
          <w:vertAlign w:val="subscript"/>
        </w:rPr>
        <w:t>sd</w:t>
      </w:r>
      <w:r>
        <w:rPr>
          <w:rFonts w:hint="default" w:ascii="Times New Roman" w:hAnsi="Times New Roman" w:eastAsia="宋体" w:cs="Times New Roman"/>
          <w:color w:val="auto"/>
          <w:highlight w:val="none"/>
        </w:rPr>
        <w:t>—地下水水质标准中规定的pH值下限；</w:t>
      </w:r>
    </w:p>
    <w:p>
      <w:pPr>
        <w:pageBreakBefore w:val="0"/>
        <w:wordWrap/>
        <w:bidi w:val="0"/>
        <w:adjustRightInd w:val="0"/>
        <w:ind w:left="0" w:leftChars="0"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pH</w:t>
      </w:r>
      <w:r>
        <w:rPr>
          <w:rFonts w:hint="default" w:ascii="Times New Roman" w:hAnsi="Times New Roman" w:eastAsia="宋体" w:cs="Times New Roman"/>
          <w:color w:val="auto"/>
          <w:highlight w:val="none"/>
          <w:vertAlign w:val="subscript"/>
        </w:rPr>
        <w:t>su</w:t>
      </w:r>
      <w:r>
        <w:rPr>
          <w:rFonts w:hint="default" w:ascii="Times New Roman" w:hAnsi="Times New Roman" w:eastAsia="宋体" w:cs="Times New Roman"/>
          <w:color w:val="auto"/>
          <w:highlight w:val="none"/>
        </w:rPr>
        <w:t>—地下水水质标准中规定的pH值上限。</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评价时，标准指数＞1，表明该水质参数已超过了规定的水质标准，指数值越大，超标越严重。</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（6）地下水监测结果</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地下水水质监测结果见表4.2-6。</w:t>
      </w:r>
    </w:p>
    <w:p>
      <w:pPr>
        <w:pStyle w:val="56"/>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表4.2-6  地下水水质监测结果表</w:t>
      </w:r>
    </w:p>
    <w:tbl>
      <w:tblPr>
        <w:tblStyle w:val="39"/>
        <w:tblpPr w:leftFromText="180" w:rightFromText="180" w:vertAnchor="text" w:tblpXSpec="center" w:tblpY="1"/>
        <w:tblOverlap w:val="never"/>
        <w:tblW w:w="500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464"/>
        <w:gridCol w:w="1390"/>
        <w:gridCol w:w="692"/>
        <w:gridCol w:w="1235"/>
        <w:gridCol w:w="901"/>
        <w:gridCol w:w="715"/>
        <w:gridCol w:w="808"/>
        <w:gridCol w:w="822"/>
        <w:gridCol w:w="941"/>
        <w:gridCol w:w="7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5" w:hRule="atLeast"/>
          <w:jc w:val="center"/>
        </w:trPr>
        <w:tc>
          <w:tcPr>
            <w:tcW w:w="267" w:type="pct"/>
            <w:vMerge w:val="restar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序号</w:t>
            </w:r>
          </w:p>
        </w:tc>
        <w:tc>
          <w:tcPr>
            <w:tcW w:w="800" w:type="pct"/>
            <w:vMerge w:val="restar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监测项目</w:t>
            </w:r>
          </w:p>
        </w:tc>
        <w:tc>
          <w:tcPr>
            <w:tcW w:w="398" w:type="pct"/>
            <w:vMerge w:val="restar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单位</w:t>
            </w:r>
          </w:p>
        </w:tc>
        <w:tc>
          <w:tcPr>
            <w:tcW w:w="711" w:type="pct"/>
            <w:vMerge w:val="restar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标准限值</w:t>
            </w:r>
          </w:p>
        </w:tc>
        <w:tc>
          <w:tcPr>
            <w:tcW w:w="930" w:type="pct"/>
            <w:gridSpan w:val="2"/>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938" w:type="pct"/>
            <w:gridSpan w:val="2"/>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953" w:type="pct"/>
            <w:gridSpan w:val="2"/>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9" w:hRule="atLeast"/>
          <w:jc w:val="center"/>
        </w:trPr>
        <w:tc>
          <w:tcPr>
            <w:tcW w:w="267" w:type="pct"/>
            <w:vMerge w:val="continue"/>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800" w:type="pct"/>
            <w:vMerge w:val="continue"/>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398" w:type="pct"/>
            <w:vMerge w:val="continue"/>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711" w:type="pct"/>
            <w:vMerge w:val="continue"/>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51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监测值</w:t>
            </w:r>
          </w:p>
        </w:tc>
        <w:tc>
          <w:tcPr>
            <w:tcW w:w="41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Si</w:t>
            </w:r>
          </w:p>
        </w:tc>
        <w:tc>
          <w:tcPr>
            <w:tcW w:w="465"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监测值</w:t>
            </w:r>
          </w:p>
        </w:tc>
        <w:tc>
          <w:tcPr>
            <w:tcW w:w="473"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Si</w:t>
            </w:r>
          </w:p>
        </w:tc>
        <w:tc>
          <w:tcPr>
            <w:tcW w:w="54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监测值</w:t>
            </w:r>
          </w:p>
        </w:tc>
        <w:tc>
          <w:tcPr>
            <w:tcW w:w="41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553" w:hRule="atLeast"/>
          <w:jc w:val="center"/>
        </w:trPr>
        <w:tc>
          <w:tcPr>
            <w:tcW w:w="267"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00"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pH</w:t>
            </w:r>
          </w:p>
        </w:tc>
        <w:tc>
          <w:tcPr>
            <w:tcW w:w="39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无量纲</w:t>
            </w:r>
          </w:p>
        </w:tc>
        <w:tc>
          <w:tcPr>
            <w:tcW w:w="71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6.5~8.5</w:t>
            </w:r>
          </w:p>
        </w:tc>
        <w:tc>
          <w:tcPr>
            <w:tcW w:w="51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7.1</w:t>
            </w:r>
          </w:p>
        </w:tc>
        <w:tc>
          <w:tcPr>
            <w:tcW w:w="41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0.0667</w:t>
            </w:r>
          </w:p>
        </w:tc>
        <w:tc>
          <w:tcPr>
            <w:tcW w:w="465"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7.2</w:t>
            </w:r>
          </w:p>
        </w:tc>
        <w:tc>
          <w:tcPr>
            <w:tcW w:w="473"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0.133</w:t>
            </w:r>
          </w:p>
        </w:tc>
        <w:tc>
          <w:tcPr>
            <w:tcW w:w="54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7.1</w:t>
            </w:r>
          </w:p>
        </w:tc>
        <w:tc>
          <w:tcPr>
            <w:tcW w:w="41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0.0667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2" w:hRule="atLeast"/>
          <w:jc w:val="center"/>
        </w:trPr>
        <w:tc>
          <w:tcPr>
            <w:tcW w:w="267"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800"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总硬度</w:t>
            </w:r>
          </w:p>
        </w:tc>
        <w:tc>
          <w:tcPr>
            <w:tcW w:w="39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c>
          <w:tcPr>
            <w:tcW w:w="71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450</w:t>
            </w:r>
          </w:p>
        </w:tc>
        <w:tc>
          <w:tcPr>
            <w:tcW w:w="51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416</w:t>
            </w:r>
          </w:p>
        </w:tc>
        <w:tc>
          <w:tcPr>
            <w:tcW w:w="41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0.924</w:t>
            </w:r>
          </w:p>
        </w:tc>
        <w:tc>
          <w:tcPr>
            <w:tcW w:w="465"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268</w:t>
            </w:r>
          </w:p>
        </w:tc>
        <w:tc>
          <w:tcPr>
            <w:tcW w:w="473"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0.596</w:t>
            </w:r>
          </w:p>
        </w:tc>
        <w:tc>
          <w:tcPr>
            <w:tcW w:w="54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289</w:t>
            </w:r>
          </w:p>
        </w:tc>
        <w:tc>
          <w:tcPr>
            <w:tcW w:w="41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0.642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553" w:hRule="atLeast"/>
          <w:jc w:val="center"/>
        </w:trPr>
        <w:tc>
          <w:tcPr>
            <w:tcW w:w="267"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800"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耗氧量</w:t>
            </w:r>
          </w:p>
        </w:tc>
        <w:tc>
          <w:tcPr>
            <w:tcW w:w="39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c>
          <w:tcPr>
            <w:tcW w:w="71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3.0</w:t>
            </w:r>
          </w:p>
        </w:tc>
        <w:tc>
          <w:tcPr>
            <w:tcW w:w="51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w:t>
            </w:r>
          </w:p>
        </w:tc>
        <w:tc>
          <w:tcPr>
            <w:tcW w:w="41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0.633</w:t>
            </w:r>
          </w:p>
        </w:tc>
        <w:tc>
          <w:tcPr>
            <w:tcW w:w="465"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473"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0.667</w:t>
            </w:r>
          </w:p>
        </w:tc>
        <w:tc>
          <w:tcPr>
            <w:tcW w:w="54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w:t>
            </w:r>
          </w:p>
        </w:tc>
        <w:tc>
          <w:tcPr>
            <w:tcW w:w="41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0.633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2" w:hRule="atLeast"/>
          <w:jc w:val="center"/>
        </w:trPr>
        <w:tc>
          <w:tcPr>
            <w:tcW w:w="267"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800"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氯离子</w:t>
            </w:r>
          </w:p>
        </w:tc>
        <w:tc>
          <w:tcPr>
            <w:tcW w:w="39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c>
          <w:tcPr>
            <w:tcW w:w="71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SA"/>
              </w:rPr>
              <w:t>-</w:t>
            </w:r>
          </w:p>
        </w:tc>
        <w:tc>
          <w:tcPr>
            <w:tcW w:w="51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48</w:t>
            </w:r>
          </w:p>
        </w:tc>
        <w:tc>
          <w:tcPr>
            <w:tcW w:w="41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eastAsia" w:cs="Times New Roman"/>
                <w:color w:val="auto"/>
                <w:kern w:val="0"/>
                <w:sz w:val="21"/>
                <w:szCs w:val="21"/>
                <w:lang w:val="en-US" w:eastAsia="zh-CN" w:bidi="ar-SA"/>
              </w:rPr>
              <w:t>-</w:t>
            </w:r>
          </w:p>
        </w:tc>
        <w:tc>
          <w:tcPr>
            <w:tcW w:w="465"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49</w:t>
            </w:r>
          </w:p>
        </w:tc>
        <w:tc>
          <w:tcPr>
            <w:tcW w:w="473"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eastAsia" w:cs="Times New Roman"/>
                <w:color w:val="auto"/>
                <w:kern w:val="0"/>
                <w:sz w:val="21"/>
                <w:szCs w:val="21"/>
                <w:lang w:val="en-US" w:eastAsia="zh-CN" w:bidi="ar-SA"/>
              </w:rPr>
              <w:t>-</w:t>
            </w:r>
          </w:p>
        </w:tc>
        <w:tc>
          <w:tcPr>
            <w:tcW w:w="54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49</w:t>
            </w:r>
          </w:p>
        </w:tc>
        <w:tc>
          <w:tcPr>
            <w:tcW w:w="714"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2" w:hRule="atLeast"/>
          <w:jc w:val="center"/>
        </w:trPr>
        <w:tc>
          <w:tcPr>
            <w:tcW w:w="267"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800"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溶解性总固体</w:t>
            </w:r>
          </w:p>
        </w:tc>
        <w:tc>
          <w:tcPr>
            <w:tcW w:w="39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c>
          <w:tcPr>
            <w:tcW w:w="71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1000</w:t>
            </w:r>
          </w:p>
        </w:tc>
        <w:tc>
          <w:tcPr>
            <w:tcW w:w="51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807</w:t>
            </w:r>
          </w:p>
        </w:tc>
        <w:tc>
          <w:tcPr>
            <w:tcW w:w="41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0.807</w:t>
            </w:r>
          </w:p>
        </w:tc>
        <w:tc>
          <w:tcPr>
            <w:tcW w:w="465"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716</w:t>
            </w:r>
          </w:p>
        </w:tc>
        <w:tc>
          <w:tcPr>
            <w:tcW w:w="473"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0.716</w:t>
            </w:r>
          </w:p>
        </w:tc>
        <w:tc>
          <w:tcPr>
            <w:tcW w:w="54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907</w:t>
            </w:r>
          </w:p>
        </w:tc>
        <w:tc>
          <w:tcPr>
            <w:tcW w:w="714"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0.907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2" w:hRule="atLeast"/>
          <w:jc w:val="center"/>
        </w:trPr>
        <w:tc>
          <w:tcPr>
            <w:tcW w:w="267"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800"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氨氮</w:t>
            </w:r>
          </w:p>
        </w:tc>
        <w:tc>
          <w:tcPr>
            <w:tcW w:w="39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c>
          <w:tcPr>
            <w:tcW w:w="71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0.50</w:t>
            </w:r>
          </w:p>
        </w:tc>
        <w:tc>
          <w:tcPr>
            <w:tcW w:w="51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0.079</w:t>
            </w:r>
          </w:p>
        </w:tc>
        <w:tc>
          <w:tcPr>
            <w:tcW w:w="41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0.158</w:t>
            </w:r>
          </w:p>
        </w:tc>
        <w:tc>
          <w:tcPr>
            <w:tcW w:w="465"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0.068</w:t>
            </w:r>
          </w:p>
        </w:tc>
        <w:tc>
          <w:tcPr>
            <w:tcW w:w="473"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0.136</w:t>
            </w:r>
          </w:p>
        </w:tc>
        <w:tc>
          <w:tcPr>
            <w:tcW w:w="54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0.076</w:t>
            </w:r>
          </w:p>
        </w:tc>
        <w:tc>
          <w:tcPr>
            <w:tcW w:w="714"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2" w:hRule="atLeast"/>
          <w:jc w:val="center"/>
        </w:trPr>
        <w:tc>
          <w:tcPr>
            <w:tcW w:w="267"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800"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硝酸盐氮</w:t>
            </w:r>
          </w:p>
        </w:tc>
        <w:tc>
          <w:tcPr>
            <w:tcW w:w="39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c>
          <w:tcPr>
            <w:tcW w:w="71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20.0</w:t>
            </w:r>
          </w:p>
        </w:tc>
        <w:tc>
          <w:tcPr>
            <w:tcW w:w="51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3.23</w:t>
            </w:r>
          </w:p>
        </w:tc>
        <w:tc>
          <w:tcPr>
            <w:tcW w:w="41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0.16</w:t>
            </w:r>
            <w:r>
              <w:rPr>
                <w:rFonts w:hint="eastAsia" w:cs="Times New Roman"/>
                <w:color w:val="auto"/>
                <w:sz w:val="21"/>
                <w:szCs w:val="21"/>
                <w:lang w:val="en-US" w:eastAsia="zh-CN"/>
              </w:rPr>
              <w:t>2</w:t>
            </w:r>
          </w:p>
        </w:tc>
        <w:tc>
          <w:tcPr>
            <w:tcW w:w="465"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3.19</w:t>
            </w:r>
          </w:p>
        </w:tc>
        <w:tc>
          <w:tcPr>
            <w:tcW w:w="473"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0.1</w:t>
            </w:r>
            <w:r>
              <w:rPr>
                <w:rFonts w:hint="eastAsia" w:cs="Times New Roman"/>
                <w:color w:val="auto"/>
                <w:sz w:val="21"/>
                <w:szCs w:val="21"/>
                <w:lang w:val="en-US" w:eastAsia="zh-CN"/>
              </w:rPr>
              <w:t>60</w:t>
            </w:r>
          </w:p>
        </w:tc>
        <w:tc>
          <w:tcPr>
            <w:tcW w:w="54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3.31</w:t>
            </w:r>
          </w:p>
        </w:tc>
        <w:tc>
          <w:tcPr>
            <w:tcW w:w="714"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0.1655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2" w:hRule="atLeast"/>
          <w:jc w:val="center"/>
        </w:trPr>
        <w:tc>
          <w:tcPr>
            <w:tcW w:w="267"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800"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亚硝酸盐氮</w:t>
            </w:r>
          </w:p>
        </w:tc>
        <w:tc>
          <w:tcPr>
            <w:tcW w:w="39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c>
          <w:tcPr>
            <w:tcW w:w="71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1.00</w:t>
            </w:r>
          </w:p>
        </w:tc>
        <w:tc>
          <w:tcPr>
            <w:tcW w:w="51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0.006</w:t>
            </w:r>
          </w:p>
        </w:tc>
        <w:tc>
          <w:tcPr>
            <w:tcW w:w="41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0.006</w:t>
            </w:r>
          </w:p>
        </w:tc>
        <w:tc>
          <w:tcPr>
            <w:tcW w:w="465"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0.007</w:t>
            </w:r>
          </w:p>
        </w:tc>
        <w:tc>
          <w:tcPr>
            <w:tcW w:w="473"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0.007</w:t>
            </w:r>
          </w:p>
        </w:tc>
        <w:tc>
          <w:tcPr>
            <w:tcW w:w="54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0.006</w:t>
            </w:r>
          </w:p>
        </w:tc>
        <w:tc>
          <w:tcPr>
            <w:tcW w:w="714"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2" w:hRule="atLeast"/>
          <w:jc w:val="center"/>
        </w:trPr>
        <w:tc>
          <w:tcPr>
            <w:tcW w:w="267"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800"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硫酸根离子</w:t>
            </w:r>
          </w:p>
        </w:tc>
        <w:tc>
          <w:tcPr>
            <w:tcW w:w="39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c>
          <w:tcPr>
            <w:tcW w:w="71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SA"/>
              </w:rPr>
              <w:t>-</w:t>
            </w:r>
          </w:p>
        </w:tc>
        <w:tc>
          <w:tcPr>
            <w:tcW w:w="51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239</w:t>
            </w:r>
          </w:p>
        </w:tc>
        <w:tc>
          <w:tcPr>
            <w:tcW w:w="41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eastAsia" w:cs="Times New Roman"/>
                <w:color w:val="auto"/>
                <w:kern w:val="0"/>
                <w:sz w:val="21"/>
                <w:szCs w:val="21"/>
                <w:lang w:val="en-US" w:eastAsia="zh-CN" w:bidi="ar-SA"/>
              </w:rPr>
              <w:t>-</w:t>
            </w:r>
          </w:p>
        </w:tc>
        <w:tc>
          <w:tcPr>
            <w:tcW w:w="465"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246</w:t>
            </w:r>
          </w:p>
        </w:tc>
        <w:tc>
          <w:tcPr>
            <w:tcW w:w="473"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eastAsia" w:cs="Times New Roman"/>
                <w:color w:val="auto"/>
                <w:kern w:val="0"/>
                <w:sz w:val="21"/>
                <w:szCs w:val="21"/>
                <w:lang w:val="en-US" w:eastAsia="zh-CN" w:bidi="ar-SA"/>
              </w:rPr>
              <w:t>-</w:t>
            </w:r>
          </w:p>
        </w:tc>
        <w:tc>
          <w:tcPr>
            <w:tcW w:w="54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242</w:t>
            </w:r>
          </w:p>
        </w:tc>
        <w:tc>
          <w:tcPr>
            <w:tcW w:w="714"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2" w:hRule="atLeast"/>
          <w:jc w:val="center"/>
        </w:trPr>
        <w:tc>
          <w:tcPr>
            <w:tcW w:w="267"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800"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氟化物</w:t>
            </w:r>
          </w:p>
        </w:tc>
        <w:tc>
          <w:tcPr>
            <w:tcW w:w="39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c>
          <w:tcPr>
            <w:tcW w:w="71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1.0</w:t>
            </w:r>
          </w:p>
        </w:tc>
        <w:tc>
          <w:tcPr>
            <w:tcW w:w="51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0.40</w:t>
            </w:r>
          </w:p>
        </w:tc>
        <w:tc>
          <w:tcPr>
            <w:tcW w:w="41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0.4</w:t>
            </w:r>
          </w:p>
        </w:tc>
        <w:tc>
          <w:tcPr>
            <w:tcW w:w="465"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0.42</w:t>
            </w:r>
          </w:p>
        </w:tc>
        <w:tc>
          <w:tcPr>
            <w:tcW w:w="473"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0.42</w:t>
            </w:r>
          </w:p>
        </w:tc>
        <w:tc>
          <w:tcPr>
            <w:tcW w:w="54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0.39</w:t>
            </w:r>
          </w:p>
        </w:tc>
        <w:tc>
          <w:tcPr>
            <w:tcW w:w="714"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2" w:hRule="atLeast"/>
          <w:jc w:val="center"/>
        </w:trPr>
        <w:tc>
          <w:tcPr>
            <w:tcW w:w="267"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tc>
        <w:tc>
          <w:tcPr>
            <w:tcW w:w="800"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氰化物</w:t>
            </w:r>
          </w:p>
        </w:tc>
        <w:tc>
          <w:tcPr>
            <w:tcW w:w="39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c>
          <w:tcPr>
            <w:tcW w:w="71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0.05</w:t>
            </w:r>
          </w:p>
        </w:tc>
        <w:tc>
          <w:tcPr>
            <w:tcW w:w="51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0.003</w:t>
            </w:r>
          </w:p>
        </w:tc>
        <w:tc>
          <w:tcPr>
            <w:tcW w:w="41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0.06</w:t>
            </w:r>
          </w:p>
        </w:tc>
        <w:tc>
          <w:tcPr>
            <w:tcW w:w="465"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0.004</w:t>
            </w:r>
          </w:p>
        </w:tc>
        <w:tc>
          <w:tcPr>
            <w:tcW w:w="473"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0.08</w:t>
            </w:r>
          </w:p>
        </w:tc>
        <w:tc>
          <w:tcPr>
            <w:tcW w:w="54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0.004</w:t>
            </w:r>
          </w:p>
        </w:tc>
        <w:tc>
          <w:tcPr>
            <w:tcW w:w="714"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2" w:hRule="atLeast"/>
          <w:jc w:val="center"/>
        </w:trPr>
        <w:tc>
          <w:tcPr>
            <w:tcW w:w="267"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c>
          <w:tcPr>
            <w:tcW w:w="800"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挥发酚</w:t>
            </w:r>
          </w:p>
        </w:tc>
        <w:tc>
          <w:tcPr>
            <w:tcW w:w="39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c>
          <w:tcPr>
            <w:tcW w:w="71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0.002</w:t>
            </w:r>
          </w:p>
        </w:tc>
        <w:tc>
          <w:tcPr>
            <w:tcW w:w="51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&lt;</w:t>
            </w:r>
            <w:r>
              <w:rPr>
                <w:rFonts w:hint="eastAsia" w:ascii="Times New Roman" w:hAnsi="Times New Roman" w:eastAsia="宋体" w:cs="Times New Roman"/>
                <w:color w:val="auto"/>
                <w:sz w:val="21"/>
                <w:szCs w:val="21"/>
                <w:lang w:val="en-US" w:eastAsia="zh-CN"/>
              </w:rPr>
              <w:t>0.0003</w:t>
            </w:r>
          </w:p>
        </w:tc>
        <w:tc>
          <w:tcPr>
            <w:tcW w:w="41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0.075</w:t>
            </w:r>
          </w:p>
        </w:tc>
        <w:tc>
          <w:tcPr>
            <w:tcW w:w="465"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&lt;</w:t>
            </w:r>
            <w:r>
              <w:rPr>
                <w:rFonts w:hint="eastAsia" w:ascii="Times New Roman" w:hAnsi="Times New Roman" w:eastAsia="宋体" w:cs="Times New Roman"/>
                <w:color w:val="auto"/>
                <w:sz w:val="21"/>
                <w:szCs w:val="21"/>
                <w:lang w:val="en-US" w:eastAsia="zh-CN"/>
              </w:rPr>
              <w:t>0.0003</w:t>
            </w:r>
          </w:p>
        </w:tc>
        <w:tc>
          <w:tcPr>
            <w:tcW w:w="473"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0.075</w:t>
            </w:r>
          </w:p>
        </w:tc>
        <w:tc>
          <w:tcPr>
            <w:tcW w:w="54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&lt;</w:t>
            </w:r>
            <w:r>
              <w:rPr>
                <w:rFonts w:hint="eastAsia" w:ascii="Times New Roman" w:hAnsi="Times New Roman" w:eastAsia="宋体" w:cs="Times New Roman"/>
                <w:color w:val="auto"/>
                <w:sz w:val="21"/>
                <w:szCs w:val="21"/>
                <w:lang w:val="en-US" w:eastAsia="zh-CN"/>
              </w:rPr>
              <w:t>0.0003</w:t>
            </w:r>
          </w:p>
        </w:tc>
        <w:tc>
          <w:tcPr>
            <w:tcW w:w="714"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2" w:hRule="atLeast"/>
          <w:jc w:val="center"/>
        </w:trPr>
        <w:tc>
          <w:tcPr>
            <w:tcW w:w="267"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800"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镉</w:t>
            </w:r>
          </w:p>
        </w:tc>
        <w:tc>
          <w:tcPr>
            <w:tcW w:w="39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μg/L</w:t>
            </w:r>
          </w:p>
        </w:tc>
        <w:tc>
          <w:tcPr>
            <w:tcW w:w="71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5</w:t>
            </w:r>
          </w:p>
        </w:tc>
        <w:tc>
          <w:tcPr>
            <w:tcW w:w="51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&lt;</w:t>
            </w:r>
            <w:r>
              <w:rPr>
                <w:rFonts w:hint="eastAsia" w:ascii="Times New Roman" w:hAnsi="Times New Roman" w:eastAsia="宋体" w:cs="Times New Roman"/>
                <w:color w:val="auto"/>
                <w:sz w:val="21"/>
                <w:szCs w:val="21"/>
                <w:lang w:val="en-US" w:eastAsia="zh-CN"/>
              </w:rPr>
              <w:t>0.25</w:t>
            </w:r>
          </w:p>
        </w:tc>
        <w:tc>
          <w:tcPr>
            <w:tcW w:w="41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0.025</w:t>
            </w:r>
          </w:p>
        </w:tc>
        <w:tc>
          <w:tcPr>
            <w:tcW w:w="465"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&lt;</w:t>
            </w:r>
            <w:r>
              <w:rPr>
                <w:rFonts w:hint="eastAsia" w:ascii="Times New Roman" w:hAnsi="Times New Roman" w:eastAsia="宋体" w:cs="Times New Roman"/>
                <w:color w:val="auto"/>
                <w:sz w:val="21"/>
                <w:szCs w:val="21"/>
                <w:lang w:val="en-US" w:eastAsia="zh-CN"/>
              </w:rPr>
              <w:t>0.25</w:t>
            </w:r>
          </w:p>
        </w:tc>
        <w:tc>
          <w:tcPr>
            <w:tcW w:w="473"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0.025</w:t>
            </w:r>
          </w:p>
        </w:tc>
        <w:tc>
          <w:tcPr>
            <w:tcW w:w="54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&lt;</w:t>
            </w:r>
            <w:r>
              <w:rPr>
                <w:rFonts w:hint="eastAsia" w:ascii="Times New Roman" w:hAnsi="Times New Roman" w:eastAsia="宋体" w:cs="Times New Roman"/>
                <w:color w:val="auto"/>
                <w:sz w:val="21"/>
                <w:szCs w:val="21"/>
                <w:lang w:val="en-US" w:eastAsia="zh-CN"/>
              </w:rPr>
              <w:t>0.25</w:t>
            </w:r>
          </w:p>
        </w:tc>
        <w:tc>
          <w:tcPr>
            <w:tcW w:w="714"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2" w:hRule="atLeast"/>
          <w:jc w:val="center"/>
        </w:trPr>
        <w:tc>
          <w:tcPr>
            <w:tcW w:w="267"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w:t>
            </w:r>
          </w:p>
        </w:tc>
        <w:tc>
          <w:tcPr>
            <w:tcW w:w="800"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碳酸根离子</w:t>
            </w:r>
          </w:p>
        </w:tc>
        <w:tc>
          <w:tcPr>
            <w:tcW w:w="39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c>
          <w:tcPr>
            <w:tcW w:w="71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1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w:t>
            </w:r>
          </w:p>
        </w:tc>
        <w:tc>
          <w:tcPr>
            <w:tcW w:w="41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465"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w:t>
            </w:r>
          </w:p>
        </w:tc>
        <w:tc>
          <w:tcPr>
            <w:tcW w:w="473"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w:t>
            </w:r>
          </w:p>
        </w:tc>
        <w:tc>
          <w:tcPr>
            <w:tcW w:w="54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w:t>
            </w:r>
          </w:p>
        </w:tc>
        <w:tc>
          <w:tcPr>
            <w:tcW w:w="41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2" w:hRule="atLeast"/>
          <w:jc w:val="center"/>
        </w:trPr>
        <w:tc>
          <w:tcPr>
            <w:tcW w:w="267"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800"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碳酸氢根离子</w:t>
            </w:r>
          </w:p>
        </w:tc>
        <w:tc>
          <w:tcPr>
            <w:tcW w:w="39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c>
          <w:tcPr>
            <w:tcW w:w="71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1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236.2</w:t>
            </w:r>
          </w:p>
        </w:tc>
        <w:tc>
          <w:tcPr>
            <w:tcW w:w="41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465"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109.3</w:t>
            </w:r>
          </w:p>
        </w:tc>
        <w:tc>
          <w:tcPr>
            <w:tcW w:w="473"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w:t>
            </w:r>
          </w:p>
        </w:tc>
        <w:tc>
          <w:tcPr>
            <w:tcW w:w="54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327.8</w:t>
            </w:r>
          </w:p>
        </w:tc>
        <w:tc>
          <w:tcPr>
            <w:tcW w:w="41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2" w:hRule="atLeast"/>
          <w:jc w:val="center"/>
        </w:trPr>
        <w:tc>
          <w:tcPr>
            <w:tcW w:w="267"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w:t>
            </w:r>
          </w:p>
        </w:tc>
        <w:tc>
          <w:tcPr>
            <w:tcW w:w="800"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钾离子</w:t>
            </w:r>
          </w:p>
        </w:tc>
        <w:tc>
          <w:tcPr>
            <w:tcW w:w="39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c>
          <w:tcPr>
            <w:tcW w:w="71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1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1.69</w:t>
            </w:r>
          </w:p>
        </w:tc>
        <w:tc>
          <w:tcPr>
            <w:tcW w:w="41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465"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1.83</w:t>
            </w:r>
          </w:p>
        </w:tc>
        <w:tc>
          <w:tcPr>
            <w:tcW w:w="473"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w:t>
            </w:r>
          </w:p>
        </w:tc>
        <w:tc>
          <w:tcPr>
            <w:tcW w:w="54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1.56</w:t>
            </w:r>
          </w:p>
        </w:tc>
        <w:tc>
          <w:tcPr>
            <w:tcW w:w="41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2" w:hRule="atLeast"/>
          <w:jc w:val="center"/>
        </w:trPr>
        <w:tc>
          <w:tcPr>
            <w:tcW w:w="267"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w:t>
            </w:r>
          </w:p>
        </w:tc>
        <w:tc>
          <w:tcPr>
            <w:tcW w:w="800"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钙离子</w:t>
            </w:r>
          </w:p>
        </w:tc>
        <w:tc>
          <w:tcPr>
            <w:tcW w:w="398"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mg/L</w:t>
            </w:r>
          </w:p>
        </w:tc>
        <w:tc>
          <w:tcPr>
            <w:tcW w:w="71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c>
          <w:tcPr>
            <w:tcW w:w="518"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91.3</w:t>
            </w:r>
          </w:p>
        </w:tc>
        <w:tc>
          <w:tcPr>
            <w:tcW w:w="41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465"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75.3</w:t>
            </w:r>
          </w:p>
        </w:tc>
        <w:tc>
          <w:tcPr>
            <w:tcW w:w="473"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54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82.3</w:t>
            </w:r>
          </w:p>
        </w:tc>
        <w:tc>
          <w:tcPr>
            <w:tcW w:w="41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2" w:hRule="atLeast"/>
          <w:jc w:val="center"/>
        </w:trPr>
        <w:tc>
          <w:tcPr>
            <w:tcW w:w="267"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w:t>
            </w:r>
          </w:p>
        </w:tc>
        <w:tc>
          <w:tcPr>
            <w:tcW w:w="800"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钠离子</w:t>
            </w:r>
          </w:p>
        </w:tc>
        <w:tc>
          <w:tcPr>
            <w:tcW w:w="398"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mg/L</w:t>
            </w:r>
          </w:p>
        </w:tc>
        <w:tc>
          <w:tcPr>
            <w:tcW w:w="71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518"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63.9</w:t>
            </w:r>
          </w:p>
        </w:tc>
        <w:tc>
          <w:tcPr>
            <w:tcW w:w="41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465"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82.5</w:t>
            </w:r>
          </w:p>
        </w:tc>
        <w:tc>
          <w:tcPr>
            <w:tcW w:w="473"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54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color w:val="auto"/>
              </w:rPr>
            </w:pPr>
            <w:r>
              <w:rPr>
                <w:rFonts w:hint="eastAsia" w:ascii="Times New Roman" w:hAnsi="Times New Roman" w:eastAsia="宋体" w:cs="Times New Roman"/>
                <w:color w:val="auto"/>
                <w:kern w:val="0"/>
                <w:sz w:val="21"/>
                <w:szCs w:val="21"/>
                <w:lang w:val="en-US" w:eastAsia="zh-CN" w:bidi="ar-SA"/>
              </w:rPr>
              <w:t>117</w:t>
            </w:r>
          </w:p>
        </w:tc>
        <w:tc>
          <w:tcPr>
            <w:tcW w:w="41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2" w:hRule="atLeast"/>
          <w:jc w:val="center"/>
        </w:trPr>
        <w:tc>
          <w:tcPr>
            <w:tcW w:w="267"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w:t>
            </w:r>
          </w:p>
        </w:tc>
        <w:tc>
          <w:tcPr>
            <w:tcW w:w="800"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镁离子</w:t>
            </w:r>
          </w:p>
        </w:tc>
        <w:tc>
          <w:tcPr>
            <w:tcW w:w="398"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mg/L</w:t>
            </w:r>
          </w:p>
        </w:tc>
        <w:tc>
          <w:tcPr>
            <w:tcW w:w="71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c>
          <w:tcPr>
            <w:tcW w:w="518"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45.0</w:t>
            </w:r>
          </w:p>
        </w:tc>
        <w:tc>
          <w:tcPr>
            <w:tcW w:w="41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465"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19.2</w:t>
            </w:r>
          </w:p>
        </w:tc>
        <w:tc>
          <w:tcPr>
            <w:tcW w:w="473"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54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43.9</w:t>
            </w:r>
          </w:p>
        </w:tc>
        <w:tc>
          <w:tcPr>
            <w:tcW w:w="41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2" w:hRule="atLeast"/>
          <w:jc w:val="center"/>
        </w:trPr>
        <w:tc>
          <w:tcPr>
            <w:tcW w:w="267"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800"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铜</w:t>
            </w:r>
          </w:p>
        </w:tc>
        <w:tc>
          <w:tcPr>
            <w:tcW w:w="398"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μ</w:t>
            </w:r>
            <w:r>
              <w:rPr>
                <w:rFonts w:hint="eastAsia" w:ascii="Times New Roman" w:hAnsi="Times New Roman" w:eastAsia="宋体" w:cs="Times New Roman"/>
                <w:color w:val="auto"/>
                <w:kern w:val="0"/>
                <w:sz w:val="21"/>
                <w:szCs w:val="21"/>
                <w:lang w:val="en-US" w:eastAsia="zh-CN" w:bidi="ar-SA"/>
              </w:rPr>
              <w:t>g/L</w:t>
            </w:r>
          </w:p>
        </w:tc>
        <w:tc>
          <w:tcPr>
            <w:tcW w:w="71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1.00mg/L</w:t>
            </w:r>
          </w:p>
        </w:tc>
        <w:tc>
          <w:tcPr>
            <w:tcW w:w="518"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&lt;</w:t>
            </w:r>
            <w:r>
              <w:rPr>
                <w:rFonts w:hint="eastAsia" w:ascii="Times New Roman" w:hAnsi="Times New Roman" w:eastAsia="宋体" w:cs="Times New Roman"/>
                <w:color w:val="auto"/>
                <w:kern w:val="0"/>
                <w:sz w:val="21"/>
                <w:szCs w:val="21"/>
                <w:lang w:val="en-US" w:eastAsia="zh-CN" w:bidi="ar-SA"/>
              </w:rPr>
              <w:t>0.25</w:t>
            </w:r>
          </w:p>
        </w:tc>
        <w:tc>
          <w:tcPr>
            <w:tcW w:w="41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0.000125</w:t>
            </w:r>
          </w:p>
        </w:tc>
        <w:tc>
          <w:tcPr>
            <w:tcW w:w="465"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&lt;</w:t>
            </w:r>
            <w:r>
              <w:rPr>
                <w:rFonts w:hint="eastAsia" w:ascii="Times New Roman" w:hAnsi="Times New Roman" w:eastAsia="宋体" w:cs="Times New Roman"/>
                <w:color w:val="auto"/>
                <w:kern w:val="0"/>
                <w:sz w:val="21"/>
                <w:szCs w:val="21"/>
                <w:lang w:val="en-US" w:eastAsia="zh-CN" w:bidi="ar-SA"/>
              </w:rPr>
              <w:t>0.25</w:t>
            </w:r>
          </w:p>
        </w:tc>
        <w:tc>
          <w:tcPr>
            <w:tcW w:w="473"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0.000125</w:t>
            </w:r>
          </w:p>
        </w:tc>
        <w:tc>
          <w:tcPr>
            <w:tcW w:w="54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&lt;</w:t>
            </w:r>
            <w:r>
              <w:rPr>
                <w:rFonts w:hint="eastAsia" w:ascii="Times New Roman" w:hAnsi="Times New Roman" w:eastAsia="宋体" w:cs="Times New Roman"/>
                <w:color w:val="auto"/>
                <w:kern w:val="0"/>
                <w:sz w:val="21"/>
                <w:szCs w:val="21"/>
                <w:lang w:val="en-US" w:eastAsia="zh-CN" w:bidi="ar-SA"/>
              </w:rPr>
              <w:t>0.25</w:t>
            </w:r>
          </w:p>
        </w:tc>
        <w:tc>
          <w:tcPr>
            <w:tcW w:w="41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0.000125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2" w:hRule="atLeast"/>
          <w:jc w:val="center"/>
        </w:trPr>
        <w:tc>
          <w:tcPr>
            <w:tcW w:w="267"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w:t>
            </w:r>
          </w:p>
        </w:tc>
        <w:tc>
          <w:tcPr>
            <w:tcW w:w="800"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锌</w:t>
            </w:r>
          </w:p>
        </w:tc>
        <w:tc>
          <w:tcPr>
            <w:tcW w:w="398"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mg/L</w:t>
            </w:r>
          </w:p>
        </w:tc>
        <w:tc>
          <w:tcPr>
            <w:tcW w:w="71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1.00</w:t>
            </w:r>
          </w:p>
        </w:tc>
        <w:tc>
          <w:tcPr>
            <w:tcW w:w="518"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&lt;</w:t>
            </w:r>
            <w:r>
              <w:rPr>
                <w:rFonts w:hint="eastAsia" w:ascii="Times New Roman" w:hAnsi="Times New Roman" w:eastAsia="宋体" w:cs="Times New Roman"/>
                <w:color w:val="auto"/>
                <w:kern w:val="0"/>
                <w:sz w:val="21"/>
                <w:szCs w:val="21"/>
                <w:lang w:val="en-US" w:eastAsia="zh-CN" w:bidi="ar-SA"/>
              </w:rPr>
              <w:t>0.01</w:t>
            </w:r>
          </w:p>
        </w:tc>
        <w:tc>
          <w:tcPr>
            <w:tcW w:w="41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0.005</w:t>
            </w:r>
          </w:p>
        </w:tc>
        <w:tc>
          <w:tcPr>
            <w:tcW w:w="465"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&lt;</w:t>
            </w:r>
            <w:r>
              <w:rPr>
                <w:rFonts w:hint="eastAsia" w:ascii="Times New Roman" w:hAnsi="Times New Roman" w:eastAsia="宋体" w:cs="Times New Roman"/>
                <w:color w:val="auto"/>
                <w:kern w:val="0"/>
                <w:sz w:val="21"/>
                <w:szCs w:val="21"/>
                <w:lang w:val="en-US" w:eastAsia="zh-CN" w:bidi="ar-SA"/>
              </w:rPr>
              <w:t>0.01</w:t>
            </w:r>
          </w:p>
        </w:tc>
        <w:tc>
          <w:tcPr>
            <w:tcW w:w="473"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0.005</w:t>
            </w:r>
          </w:p>
        </w:tc>
        <w:tc>
          <w:tcPr>
            <w:tcW w:w="54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&lt;</w:t>
            </w:r>
            <w:r>
              <w:rPr>
                <w:rFonts w:hint="eastAsia" w:ascii="Times New Roman" w:hAnsi="Times New Roman" w:eastAsia="宋体" w:cs="Times New Roman"/>
                <w:color w:val="auto"/>
                <w:kern w:val="0"/>
                <w:sz w:val="21"/>
                <w:szCs w:val="21"/>
                <w:lang w:val="en-US" w:eastAsia="zh-CN" w:bidi="ar-SA"/>
              </w:rPr>
              <w:t>0.01</w:t>
            </w:r>
          </w:p>
        </w:tc>
        <w:tc>
          <w:tcPr>
            <w:tcW w:w="41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2" w:hRule="atLeast"/>
          <w:jc w:val="center"/>
        </w:trPr>
        <w:tc>
          <w:tcPr>
            <w:tcW w:w="267"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w:t>
            </w:r>
          </w:p>
        </w:tc>
        <w:tc>
          <w:tcPr>
            <w:tcW w:w="800"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砷</w:t>
            </w:r>
          </w:p>
        </w:tc>
        <w:tc>
          <w:tcPr>
            <w:tcW w:w="398"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μ</w:t>
            </w:r>
            <w:r>
              <w:rPr>
                <w:rFonts w:hint="eastAsia" w:ascii="Times New Roman" w:hAnsi="Times New Roman" w:eastAsia="宋体" w:cs="Times New Roman"/>
                <w:color w:val="auto"/>
                <w:kern w:val="0"/>
                <w:sz w:val="21"/>
                <w:szCs w:val="21"/>
                <w:lang w:val="en-US" w:eastAsia="zh-CN" w:bidi="ar-SA"/>
              </w:rPr>
              <w:t>g/L</w:t>
            </w:r>
          </w:p>
        </w:tc>
        <w:tc>
          <w:tcPr>
            <w:tcW w:w="71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0.01mg/L</w:t>
            </w:r>
          </w:p>
        </w:tc>
        <w:tc>
          <w:tcPr>
            <w:tcW w:w="518"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2.4</w:t>
            </w:r>
          </w:p>
        </w:tc>
        <w:tc>
          <w:tcPr>
            <w:tcW w:w="41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0.24</w:t>
            </w:r>
          </w:p>
        </w:tc>
        <w:tc>
          <w:tcPr>
            <w:tcW w:w="465"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2.6</w:t>
            </w:r>
          </w:p>
        </w:tc>
        <w:tc>
          <w:tcPr>
            <w:tcW w:w="473"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0.2</w:t>
            </w:r>
            <w:r>
              <w:rPr>
                <w:rFonts w:hint="eastAsia" w:cs="Times New Roman"/>
                <w:color w:val="auto"/>
                <w:kern w:val="0"/>
                <w:sz w:val="21"/>
                <w:szCs w:val="21"/>
                <w:lang w:val="en-US" w:eastAsia="zh-CN" w:bidi="ar-SA"/>
              </w:rPr>
              <w:t>6</w:t>
            </w:r>
          </w:p>
        </w:tc>
        <w:tc>
          <w:tcPr>
            <w:tcW w:w="54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2.7</w:t>
            </w:r>
          </w:p>
        </w:tc>
        <w:tc>
          <w:tcPr>
            <w:tcW w:w="41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0.2</w:t>
            </w:r>
            <w:r>
              <w:rPr>
                <w:rFonts w:hint="eastAsia" w:cs="Times New Roman"/>
                <w:color w:val="auto"/>
                <w:kern w:val="0"/>
                <w:sz w:val="21"/>
                <w:szCs w:val="21"/>
                <w:lang w:val="en-US" w:eastAsia="zh-CN" w:bidi="ar-SA"/>
              </w:rPr>
              <w:t>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2" w:hRule="atLeast"/>
          <w:jc w:val="center"/>
        </w:trPr>
        <w:tc>
          <w:tcPr>
            <w:tcW w:w="267"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w:t>
            </w:r>
          </w:p>
        </w:tc>
        <w:tc>
          <w:tcPr>
            <w:tcW w:w="800"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汞</w:t>
            </w:r>
          </w:p>
        </w:tc>
        <w:tc>
          <w:tcPr>
            <w:tcW w:w="398"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μ</w:t>
            </w:r>
            <w:r>
              <w:rPr>
                <w:rFonts w:hint="eastAsia" w:ascii="Times New Roman" w:hAnsi="Times New Roman" w:eastAsia="宋体" w:cs="Times New Roman"/>
                <w:color w:val="auto"/>
                <w:kern w:val="0"/>
                <w:sz w:val="21"/>
                <w:szCs w:val="21"/>
                <w:lang w:val="en-US" w:eastAsia="zh-CN" w:bidi="ar-SA"/>
              </w:rPr>
              <w:t>g/L</w:t>
            </w:r>
          </w:p>
        </w:tc>
        <w:tc>
          <w:tcPr>
            <w:tcW w:w="71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0.001mg/L</w:t>
            </w:r>
          </w:p>
        </w:tc>
        <w:tc>
          <w:tcPr>
            <w:tcW w:w="518"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&lt;</w:t>
            </w:r>
            <w:r>
              <w:rPr>
                <w:rFonts w:hint="eastAsia" w:ascii="Times New Roman" w:hAnsi="Times New Roman" w:eastAsia="宋体" w:cs="Times New Roman"/>
                <w:color w:val="auto"/>
                <w:kern w:val="0"/>
                <w:sz w:val="21"/>
                <w:szCs w:val="21"/>
                <w:lang w:val="en-US" w:eastAsia="zh-CN" w:bidi="ar-SA"/>
              </w:rPr>
              <w:t>0.04</w:t>
            </w:r>
          </w:p>
        </w:tc>
        <w:tc>
          <w:tcPr>
            <w:tcW w:w="41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0.02</w:t>
            </w:r>
          </w:p>
        </w:tc>
        <w:tc>
          <w:tcPr>
            <w:tcW w:w="465"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&lt;</w:t>
            </w:r>
            <w:r>
              <w:rPr>
                <w:rFonts w:hint="eastAsia" w:ascii="Times New Roman" w:hAnsi="Times New Roman" w:eastAsia="宋体" w:cs="Times New Roman"/>
                <w:color w:val="auto"/>
                <w:kern w:val="0"/>
                <w:sz w:val="21"/>
                <w:szCs w:val="21"/>
                <w:lang w:val="en-US" w:eastAsia="zh-CN" w:bidi="ar-SA"/>
              </w:rPr>
              <w:t>0.04</w:t>
            </w:r>
          </w:p>
        </w:tc>
        <w:tc>
          <w:tcPr>
            <w:tcW w:w="473"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0.02</w:t>
            </w:r>
          </w:p>
        </w:tc>
        <w:tc>
          <w:tcPr>
            <w:tcW w:w="54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&lt;</w:t>
            </w:r>
            <w:r>
              <w:rPr>
                <w:rFonts w:hint="eastAsia" w:ascii="Times New Roman" w:hAnsi="Times New Roman" w:eastAsia="宋体" w:cs="Times New Roman"/>
                <w:color w:val="auto"/>
                <w:kern w:val="0"/>
                <w:sz w:val="21"/>
                <w:szCs w:val="21"/>
                <w:lang w:val="en-US" w:eastAsia="zh-CN" w:bidi="ar-SA"/>
              </w:rPr>
              <w:t>0.04</w:t>
            </w:r>
          </w:p>
        </w:tc>
        <w:tc>
          <w:tcPr>
            <w:tcW w:w="41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2" w:hRule="atLeast"/>
          <w:jc w:val="center"/>
        </w:trPr>
        <w:tc>
          <w:tcPr>
            <w:tcW w:w="267"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w:t>
            </w:r>
          </w:p>
        </w:tc>
        <w:tc>
          <w:tcPr>
            <w:tcW w:w="800"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铅</w:t>
            </w:r>
          </w:p>
        </w:tc>
        <w:tc>
          <w:tcPr>
            <w:tcW w:w="398"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μ</w:t>
            </w:r>
            <w:r>
              <w:rPr>
                <w:rFonts w:hint="eastAsia" w:ascii="Times New Roman" w:hAnsi="Times New Roman" w:eastAsia="宋体" w:cs="Times New Roman"/>
                <w:color w:val="auto"/>
                <w:kern w:val="0"/>
                <w:sz w:val="21"/>
                <w:szCs w:val="21"/>
                <w:lang w:val="en-US" w:eastAsia="zh-CN" w:bidi="ar-SA"/>
              </w:rPr>
              <w:t>g/L</w:t>
            </w:r>
          </w:p>
        </w:tc>
        <w:tc>
          <w:tcPr>
            <w:tcW w:w="71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0.01mg/L</w:t>
            </w:r>
          </w:p>
        </w:tc>
        <w:tc>
          <w:tcPr>
            <w:tcW w:w="518"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&lt;</w:t>
            </w:r>
            <w:r>
              <w:rPr>
                <w:rFonts w:hint="eastAsia" w:ascii="Times New Roman" w:hAnsi="Times New Roman" w:eastAsia="宋体" w:cs="Times New Roman"/>
                <w:color w:val="auto"/>
                <w:kern w:val="0"/>
                <w:sz w:val="21"/>
                <w:szCs w:val="21"/>
                <w:lang w:val="en-US" w:eastAsia="zh-CN" w:bidi="ar-SA"/>
              </w:rPr>
              <w:t>2.5</w:t>
            </w:r>
          </w:p>
        </w:tc>
        <w:tc>
          <w:tcPr>
            <w:tcW w:w="41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0.125</w:t>
            </w:r>
          </w:p>
        </w:tc>
        <w:tc>
          <w:tcPr>
            <w:tcW w:w="465"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&lt;</w:t>
            </w:r>
            <w:r>
              <w:rPr>
                <w:rFonts w:hint="eastAsia" w:ascii="Times New Roman" w:hAnsi="Times New Roman" w:eastAsia="宋体" w:cs="Times New Roman"/>
                <w:color w:val="auto"/>
                <w:kern w:val="0"/>
                <w:sz w:val="21"/>
                <w:szCs w:val="21"/>
                <w:lang w:val="en-US" w:eastAsia="zh-CN" w:bidi="ar-SA"/>
              </w:rPr>
              <w:t>2.5</w:t>
            </w:r>
          </w:p>
        </w:tc>
        <w:tc>
          <w:tcPr>
            <w:tcW w:w="473"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0.125</w:t>
            </w:r>
          </w:p>
        </w:tc>
        <w:tc>
          <w:tcPr>
            <w:tcW w:w="54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&lt;</w:t>
            </w:r>
            <w:r>
              <w:rPr>
                <w:rFonts w:hint="eastAsia" w:ascii="Times New Roman" w:hAnsi="Times New Roman" w:eastAsia="宋体" w:cs="Times New Roman"/>
                <w:color w:val="auto"/>
                <w:kern w:val="0"/>
                <w:sz w:val="21"/>
                <w:szCs w:val="21"/>
                <w:lang w:val="en-US" w:eastAsia="zh-CN" w:bidi="ar-SA"/>
              </w:rPr>
              <w:t>2.5</w:t>
            </w:r>
          </w:p>
        </w:tc>
        <w:tc>
          <w:tcPr>
            <w:tcW w:w="41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0.125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2" w:hRule="atLeast"/>
          <w:jc w:val="center"/>
        </w:trPr>
        <w:tc>
          <w:tcPr>
            <w:tcW w:w="267"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8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六价铬</w:t>
            </w:r>
          </w:p>
        </w:tc>
        <w:tc>
          <w:tcPr>
            <w:tcW w:w="398"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mg/L</w:t>
            </w:r>
          </w:p>
        </w:tc>
        <w:tc>
          <w:tcPr>
            <w:tcW w:w="71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0.05</w:t>
            </w:r>
          </w:p>
        </w:tc>
        <w:tc>
          <w:tcPr>
            <w:tcW w:w="518"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0.004</w:t>
            </w:r>
          </w:p>
        </w:tc>
        <w:tc>
          <w:tcPr>
            <w:tcW w:w="41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0.08</w:t>
            </w:r>
          </w:p>
        </w:tc>
        <w:tc>
          <w:tcPr>
            <w:tcW w:w="465"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0.004</w:t>
            </w:r>
          </w:p>
        </w:tc>
        <w:tc>
          <w:tcPr>
            <w:tcW w:w="473"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0.08</w:t>
            </w:r>
          </w:p>
        </w:tc>
        <w:tc>
          <w:tcPr>
            <w:tcW w:w="54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0.004</w:t>
            </w:r>
          </w:p>
        </w:tc>
        <w:tc>
          <w:tcPr>
            <w:tcW w:w="41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2" w:hRule="atLeast"/>
          <w:jc w:val="center"/>
        </w:trPr>
        <w:tc>
          <w:tcPr>
            <w:tcW w:w="267"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w:t>
            </w:r>
          </w:p>
        </w:tc>
        <w:tc>
          <w:tcPr>
            <w:tcW w:w="800"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铁</w:t>
            </w:r>
          </w:p>
        </w:tc>
        <w:tc>
          <w:tcPr>
            <w:tcW w:w="398"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mg/L</w:t>
            </w:r>
          </w:p>
        </w:tc>
        <w:tc>
          <w:tcPr>
            <w:tcW w:w="71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0.3</w:t>
            </w:r>
          </w:p>
        </w:tc>
        <w:tc>
          <w:tcPr>
            <w:tcW w:w="518"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&lt;</w:t>
            </w:r>
            <w:r>
              <w:rPr>
                <w:rFonts w:hint="eastAsia" w:ascii="Times New Roman" w:hAnsi="Times New Roman" w:eastAsia="宋体" w:cs="Times New Roman"/>
                <w:color w:val="auto"/>
                <w:kern w:val="0"/>
                <w:sz w:val="21"/>
                <w:szCs w:val="21"/>
                <w:lang w:val="en-US" w:eastAsia="zh-CN" w:bidi="ar-SA"/>
              </w:rPr>
              <w:t>0.03</w:t>
            </w:r>
          </w:p>
        </w:tc>
        <w:tc>
          <w:tcPr>
            <w:tcW w:w="41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0.05</w:t>
            </w:r>
          </w:p>
        </w:tc>
        <w:tc>
          <w:tcPr>
            <w:tcW w:w="465"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&lt;</w:t>
            </w:r>
            <w:r>
              <w:rPr>
                <w:rFonts w:hint="eastAsia" w:ascii="Times New Roman" w:hAnsi="Times New Roman" w:eastAsia="宋体" w:cs="Times New Roman"/>
                <w:color w:val="auto"/>
                <w:kern w:val="0"/>
                <w:sz w:val="21"/>
                <w:szCs w:val="21"/>
                <w:lang w:val="en-US" w:eastAsia="zh-CN" w:bidi="ar-SA"/>
              </w:rPr>
              <w:t>0.03</w:t>
            </w:r>
          </w:p>
        </w:tc>
        <w:tc>
          <w:tcPr>
            <w:tcW w:w="473"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0.05</w:t>
            </w:r>
          </w:p>
        </w:tc>
        <w:tc>
          <w:tcPr>
            <w:tcW w:w="54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&lt;</w:t>
            </w:r>
            <w:r>
              <w:rPr>
                <w:rFonts w:hint="eastAsia" w:ascii="Times New Roman" w:hAnsi="Times New Roman" w:eastAsia="宋体" w:cs="Times New Roman"/>
                <w:color w:val="auto"/>
                <w:kern w:val="0"/>
                <w:sz w:val="21"/>
                <w:szCs w:val="21"/>
                <w:lang w:val="en-US" w:eastAsia="zh-CN" w:bidi="ar-SA"/>
              </w:rPr>
              <w:t>0.03</w:t>
            </w:r>
          </w:p>
        </w:tc>
        <w:tc>
          <w:tcPr>
            <w:tcW w:w="41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2" w:hRule="atLeast"/>
          <w:jc w:val="center"/>
        </w:trPr>
        <w:tc>
          <w:tcPr>
            <w:tcW w:w="267"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w:t>
            </w:r>
          </w:p>
        </w:tc>
        <w:tc>
          <w:tcPr>
            <w:tcW w:w="800"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锰</w:t>
            </w:r>
          </w:p>
        </w:tc>
        <w:tc>
          <w:tcPr>
            <w:tcW w:w="398"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mg/L</w:t>
            </w:r>
          </w:p>
        </w:tc>
        <w:tc>
          <w:tcPr>
            <w:tcW w:w="71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0.10</w:t>
            </w:r>
          </w:p>
        </w:tc>
        <w:tc>
          <w:tcPr>
            <w:tcW w:w="518"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&lt;</w:t>
            </w:r>
            <w:r>
              <w:rPr>
                <w:rFonts w:hint="eastAsia" w:ascii="Times New Roman" w:hAnsi="Times New Roman" w:eastAsia="宋体" w:cs="Times New Roman"/>
                <w:color w:val="auto"/>
                <w:kern w:val="0"/>
                <w:sz w:val="21"/>
                <w:szCs w:val="21"/>
                <w:lang w:val="en-US" w:eastAsia="zh-CN" w:bidi="ar-SA"/>
              </w:rPr>
              <w:t>0.01</w:t>
            </w:r>
          </w:p>
        </w:tc>
        <w:tc>
          <w:tcPr>
            <w:tcW w:w="41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0.05</w:t>
            </w:r>
          </w:p>
        </w:tc>
        <w:tc>
          <w:tcPr>
            <w:tcW w:w="465"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&lt;</w:t>
            </w:r>
            <w:r>
              <w:rPr>
                <w:rFonts w:hint="eastAsia" w:ascii="Times New Roman" w:hAnsi="Times New Roman" w:eastAsia="宋体" w:cs="Times New Roman"/>
                <w:color w:val="auto"/>
                <w:kern w:val="0"/>
                <w:sz w:val="21"/>
                <w:szCs w:val="21"/>
                <w:lang w:val="en-US" w:eastAsia="zh-CN" w:bidi="ar-SA"/>
              </w:rPr>
              <w:t>0.01</w:t>
            </w:r>
          </w:p>
        </w:tc>
        <w:tc>
          <w:tcPr>
            <w:tcW w:w="473"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0.05</w:t>
            </w:r>
          </w:p>
        </w:tc>
        <w:tc>
          <w:tcPr>
            <w:tcW w:w="54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&lt;</w:t>
            </w:r>
            <w:r>
              <w:rPr>
                <w:rFonts w:hint="eastAsia" w:ascii="Times New Roman" w:hAnsi="Times New Roman" w:eastAsia="宋体" w:cs="Times New Roman"/>
                <w:color w:val="auto"/>
                <w:kern w:val="0"/>
                <w:sz w:val="21"/>
                <w:szCs w:val="21"/>
                <w:lang w:val="en-US" w:eastAsia="zh-CN" w:bidi="ar-SA"/>
              </w:rPr>
              <w:t>0.01</w:t>
            </w:r>
          </w:p>
        </w:tc>
        <w:tc>
          <w:tcPr>
            <w:tcW w:w="41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2" w:hRule="atLeast"/>
          <w:jc w:val="center"/>
        </w:trPr>
        <w:tc>
          <w:tcPr>
            <w:tcW w:w="267"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28</w:t>
            </w:r>
          </w:p>
        </w:tc>
        <w:tc>
          <w:tcPr>
            <w:tcW w:w="800"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阴离子表面活性剂</w:t>
            </w:r>
          </w:p>
        </w:tc>
        <w:tc>
          <w:tcPr>
            <w:tcW w:w="398"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mg/L</w:t>
            </w:r>
          </w:p>
        </w:tc>
        <w:tc>
          <w:tcPr>
            <w:tcW w:w="71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0.3</w:t>
            </w:r>
          </w:p>
        </w:tc>
        <w:tc>
          <w:tcPr>
            <w:tcW w:w="518"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&lt;</w:t>
            </w:r>
            <w:r>
              <w:rPr>
                <w:rFonts w:hint="eastAsia" w:ascii="Times New Roman" w:hAnsi="Times New Roman" w:eastAsia="宋体" w:cs="Times New Roman"/>
                <w:color w:val="auto"/>
                <w:kern w:val="0"/>
                <w:sz w:val="21"/>
                <w:szCs w:val="21"/>
                <w:lang w:val="en-US" w:eastAsia="zh-CN" w:bidi="ar-SA"/>
              </w:rPr>
              <w:t>0.05</w:t>
            </w:r>
          </w:p>
        </w:tc>
        <w:tc>
          <w:tcPr>
            <w:tcW w:w="41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0.0833</w:t>
            </w:r>
          </w:p>
        </w:tc>
        <w:tc>
          <w:tcPr>
            <w:tcW w:w="465"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&lt;</w:t>
            </w:r>
            <w:r>
              <w:rPr>
                <w:rFonts w:hint="eastAsia" w:ascii="Times New Roman" w:hAnsi="Times New Roman" w:eastAsia="宋体" w:cs="Times New Roman"/>
                <w:color w:val="auto"/>
                <w:kern w:val="0"/>
                <w:sz w:val="21"/>
                <w:szCs w:val="21"/>
                <w:lang w:val="en-US" w:eastAsia="zh-CN" w:bidi="ar-SA"/>
              </w:rPr>
              <w:t>0.05</w:t>
            </w:r>
          </w:p>
        </w:tc>
        <w:tc>
          <w:tcPr>
            <w:tcW w:w="473"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0.0833</w:t>
            </w:r>
          </w:p>
        </w:tc>
        <w:tc>
          <w:tcPr>
            <w:tcW w:w="54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&lt;</w:t>
            </w:r>
            <w:r>
              <w:rPr>
                <w:rFonts w:hint="eastAsia" w:ascii="Times New Roman" w:hAnsi="Times New Roman" w:eastAsia="宋体" w:cs="Times New Roman"/>
                <w:color w:val="auto"/>
                <w:kern w:val="0"/>
                <w:sz w:val="21"/>
                <w:szCs w:val="21"/>
                <w:lang w:val="en-US" w:eastAsia="zh-CN" w:bidi="ar-SA"/>
              </w:rPr>
              <w:t>0.05</w:t>
            </w:r>
          </w:p>
        </w:tc>
        <w:tc>
          <w:tcPr>
            <w:tcW w:w="41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0.0833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2" w:hRule="atLeast"/>
          <w:jc w:val="center"/>
        </w:trPr>
        <w:tc>
          <w:tcPr>
            <w:tcW w:w="267"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29</w:t>
            </w:r>
          </w:p>
        </w:tc>
        <w:tc>
          <w:tcPr>
            <w:tcW w:w="800"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硫化物</w:t>
            </w:r>
          </w:p>
        </w:tc>
        <w:tc>
          <w:tcPr>
            <w:tcW w:w="398"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mg/L</w:t>
            </w:r>
          </w:p>
        </w:tc>
        <w:tc>
          <w:tcPr>
            <w:tcW w:w="71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0.02</w:t>
            </w:r>
          </w:p>
        </w:tc>
        <w:tc>
          <w:tcPr>
            <w:tcW w:w="518"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&lt;</w:t>
            </w:r>
            <w:r>
              <w:rPr>
                <w:rFonts w:hint="eastAsia" w:ascii="Times New Roman" w:hAnsi="Times New Roman" w:eastAsia="宋体" w:cs="Times New Roman"/>
                <w:color w:val="auto"/>
                <w:kern w:val="0"/>
                <w:sz w:val="21"/>
                <w:szCs w:val="21"/>
                <w:lang w:val="en-US" w:eastAsia="zh-CN" w:bidi="ar-SA"/>
              </w:rPr>
              <w:t>0.003</w:t>
            </w:r>
          </w:p>
        </w:tc>
        <w:tc>
          <w:tcPr>
            <w:tcW w:w="41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0.075</w:t>
            </w:r>
          </w:p>
        </w:tc>
        <w:tc>
          <w:tcPr>
            <w:tcW w:w="465"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&lt;</w:t>
            </w:r>
            <w:r>
              <w:rPr>
                <w:rFonts w:hint="eastAsia" w:ascii="Times New Roman" w:hAnsi="Times New Roman" w:eastAsia="宋体" w:cs="Times New Roman"/>
                <w:color w:val="auto"/>
                <w:kern w:val="0"/>
                <w:sz w:val="21"/>
                <w:szCs w:val="21"/>
                <w:lang w:val="en-US" w:eastAsia="zh-CN" w:bidi="ar-SA"/>
              </w:rPr>
              <w:t>0.003</w:t>
            </w:r>
          </w:p>
        </w:tc>
        <w:tc>
          <w:tcPr>
            <w:tcW w:w="473"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0.075</w:t>
            </w:r>
          </w:p>
        </w:tc>
        <w:tc>
          <w:tcPr>
            <w:tcW w:w="54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&lt;</w:t>
            </w:r>
            <w:r>
              <w:rPr>
                <w:rFonts w:hint="eastAsia" w:ascii="Times New Roman" w:hAnsi="Times New Roman" w:eastAsia="宋体" w:cs="Times New Roman"/>
                <w:color w:val="auto"/>
                <w:kern w:val="0"/>
                <w:sz w:val="21"/>
                <w:szCs w:val="21"/>
                <w:lang w:val="en-US" w:eastAsia="zh-CN" w:bidi="ar-SA"/>
              </w:rPr>
              <w:t>0.003</w:t>
            </w:r>
          </w:p>
        </w:tc>
        <w:tc>
          <w:tcPr>
            <w:tcW w:w="41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267"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c>
          <w:tcPr>
            <w:tcW w:w="800"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总大肠菌群</w:t>
            </w:r>
          </w:p>
        </w:tc>
        <w:tc>
          <w:tcPr>
            <w:tcW w:w="398"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MPN/L</w:t>
            </w:r>
          </w:p>
        </w:tc>
        <w:tc>
          <w:tcPr>
            <w:tcW w:w="71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3.0MPN/100mL</w:t>
            </w:r>
          </w:p>
        </w:tc>
        <w:tc>
          <w:tcPr>
            <w:tcW w:w="518"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&lt;</w:t>
            </w:r>
            <w:r>
              <w:rPr>
                <w:rFonts w:hint="eastAsia" w:ascii="Times New Roman" w:hAnsi="Times New Roman" w:eastAsia="宋体" w:cs="Times New Roman"/>
                <w:color w:val="auto"/>
                <w:kern w:val="0"/>
                <w:sz w:val="21"/>
                <w:szCs w:val="21"/>
                <w:lang w:val="en-US" w:eastAsia="zh-CN" w:bidi="ar-SA"/>
              </w:rPr>
              <w:t>10</w:t>
            </w:r>
          </w:p>
        </w:tc>
        <w:tc>
          <w:tcPr>
            <w:tcW w:w="41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0.167</w:t>
            </w:r>
          </w:p>
        </w:tc>
        <w:tc>
          <w:tcPr>
            <w:tcW w:w="465"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&lt;</w:t>
            </w:r>
            <w:r>
              <w:rPr>
                <w:rFonts w:hint="eastAsia" w:ascii="Times New Roman" w:hAnsi="Times New Roman" w:eastAsia="宋体" w:cs="Times New Roman"/>
                <w:color w:val="auto"/>
                <w:kern w:val="0"/>
                <w:sz w:val="21"/>
                <w:szCs w:val="21"/>
                <w:lang w:val="en-US" w:eastAsia="zh-CN" w:bidi="ar-SA"/>
              </w:rPr>
              <w:t>10</w:t>
            </w:r>
          </w:p>
        </w:tc>
        <w:tc>
          <w:tcPr>
            <w:tcW w:w="473"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0.167</w:t>
            </w:r>
          </w:p>
        </w:tc>
        <w:tc>
          <w:tcPr>
            <w:tcW w:w="54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&lt;</w:t>
            </w:r>
            <w:r>
              <w:rPr>
                <w:rFonts w:hint="eastAsia" w:ascii="Times New Roman" w:hAnsi="Times New Roman" w:eastAsia="宋体" w:cs="Times New Roman"/>
                <w:color w:val="auto"/>
                <w:kern w:val="0"/>
                <w:sz w:val="21"/>
                <w:szCs w:val="21"/>
                <w:lang w:val="en-US" w:eastAsia="zh-CN" w:bidi="ar-SA"/>
              </w:rPr>
              <w:t>10</w:t>
            </w:r>
          </w:p>
        </w:tc>
        <w:tc>
          <w:tcPr>
            <w:tcW w:w="411" w:type="pct"/>
            <w:tcBorders>
              <w:tl2br w:val="nil"/>
              <w:tr2bl w:val="nil"/>
            </w:tcBorders>
            <w:noWrap w:val="0"/>
            <w:vAlign w:val="center"/>
          </w:tcPr>
          <w:p>
            <w:pPr>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0.167</w:t>
            </w:r>
          </w:p>
        </w:tc>
      </w:tr>
    </w:tbl>
    <w:p>
      <w:pPr>
        <w:pageBreakBefore w:val="0"/>
        <w:wordWrap/>
        <w:bidi w:val="0"/>
        <w:adjustRightInd w:val="0"/>
        <w:ind w:left="0" w:leftChars="0" w:right="0" w:rightChars="0" w:firstLine="42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注：低出方法检出限数据，以&lt;检出限表示，并按1/2最低检出限值进行统计计算。</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由表4.2-6</w:t>
      </w:r>
      <w:r>
        <w:rPr>
          <w:rFonts w:hint="default" w:ascii="Times New Roman" w:hAnsi="Times New Roman" w:eastAsia="宋体" w:cs="Times New Roman"/>
          <w:color w:val="auto"/>
          <w:highlight w:val="none"/>
        </w:rPr>
        <w:t>可知，项目区地下水监测指标均满足《地下水质量标准》（GB/T14848-2017）Ⅲ类标准。</w:t>
      </w:r>
    </w:p>
    <w:p>
      <w:pPr>
        <w:pStyle w:val="5"/>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rPr>
      </w:pPr>
      <w:bookmarkStart w:id="213" w:name="_Toc24011"/>
      <w:r>
        <w:rPr>
          <w:rFonts w:hint="default" w:ascii="Times New Roman" w:hAnsi="Times New Roman" w:eastAsia="宋体" w:cs="Times New Roman"/>
          <w:color w:val="auto"/>
          <w:highlight w:val="none"/>
        </w:rPr>
        <w:t>声环境现状调查及评价</w:t>
      </w:r>
      <w:bookmarkEnd w:id="213"/>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本项目委托</w:t>
      </w:r>
      <w:r>
        <w:rPr>
          <w:rFonts w:hint="eastAsia" w:ascii="Times New Roman" w:hAnsi="Times New Roman" w:eastAsia="宋体" w:cs="Times New Roman"/>
          <w:color w:val="auto"/>
          <w:highlight w:val="none"/>
          <w:lang w:val="en-US" w:eastAsia="zh-CN"/>
        </w:rPr>
        <w:t>新疆锡水金山环境科技有限公司</w:t>
      </w:r>
      <w:r>
        <w:rPr>
          <w:rFonts w:hint="default" w:ascii="Times New Roman" w:hAnsi="Times New Roman" w:eastAsia="宋体" w:cs="Times New Roman"/>
          <w:color w:val="auto"/>
          <w:highlight w:val="none"/>
        </w:rPr>
        <w:t>对评价区域声环境质量进行了现状监测。</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（1）监测布点</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在项目</w:t>
      </w:r>
      <w:r>
        <w:rPr>
          <w:rFonts w:hint="default" w:ascii="Times New Roman" w:hAnsi="Times New Roman" w:eastAsia="宋体" w:cs="Times New Roman"/>
          <w:color w:val="auto"/>
          <w:highlight w:val="none"/>
          <w:lang w:eastAsia="zh-CN"/>
        </w:rPr>
        <w:t>场区</w:t>
      </w:r>
      <w:r>
        <w:rPr>
          <w:rFonts w:hint="default" w:ascii="Times New Roman" w:hAnsi="Times New Roman" w:eastAsia="宋体" w:cs="Times New Roman"/>
          <w:color w:val="auto"/>
          <w:highlight w:val="none"/>
        </w:rPr>
        <w:t>的东、南、西、北</w:t>
      </w:r>
      <w:r>
        <w:rPr>
          <w:rFonts w:hint="default" w:ascii="Times New Roman" w:hAnsi="Times New Roman" w:cs="Times New Roman"/>
          <w:color w:val="auto"/>
          <w:highlight w:val="none"/>
          <w:lang w:eastAsia="zh-CN"/>
        </w:rPr>
        <w:t>场</w:t>
      </w:r>
      <w:r>
        <w:rPr>
          <w:rFonts w:hint="default" w:ascii="Times New Roman" w:hAnsi="Times New Roman" w:eastAsia="宋体" w:cs="Times New Roman"/>
          <w:color w:val="auto"/>
          <w:highlight w:val="none"/>
        </w:rPr>
        <w:t>界分别布设4个现状监测点，参见图4.2-1监测布点图。</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（2）监测时间和频次</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监测时间为20</w:t>
      </w:r>
      <w:r>
        <w:rPr>
          <w:rFonts w:hint="default" w:ascii="Times New Roman" w:hAnsi="Times New Roman" w:eastAsia="宋体" w:cs="Times New Roman"/>
          <w:color w:val="auto"/>
          <w:highlight w:val="none"/>
          <w:lang w:val="en-US" w:eastAsia="zh-CN"/>
        </w:rPr>
        <w:t>2</w:t>
      </w:r>
      <w:r>
        <w:rPr>
          <w:rFonts w:hint="eastAsia" w:cs="Times New Roman"/>
          <w:color w:val="auto"/>
          <w:highlight w:val="none"/>
          <w:lang w:val="en-US" w:eastAsia="zh-CN"/>
        </w:rPr>
        <w:t>3</w:t>
      </w:r>
      <w:r>
        <w:rPr>
          <w:rFonts w:hint="default" w:ascii="Times New Roman" w:hAnsi="Times New Roman" w:eastAsia="宋体" w:cs="Times New Roman"/>
          <w:color w:val="auto"/>
          <w:highlight w:val="none"/>
        </w:rPr>
        <w:t>年</w:t>
      </w:r>
      <w:r>
        <w:rPr>
          <w:rFonts w:hint="default"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月</w:t>
      </w:r>
      <w:r>
        <w:rPr>
          <w:rFonts w:hint="eastAsia" w:cs="Times New Roman"/>
          <w:color w:val="auto"/>
          <w:highlight w:val="none"/>
          <w:lang w:val="en-US" w:eastAsia="zh-CN"/>
        </w:rPr>
        <w:t>13</w:t>
      </w:r>
      <w:r>
        <w:rPr>
          <w:rFonts w:hint="default" w:ascii="Times New Roman" w:hAnsi="Times New Roman" w:eastAsia="宋体" w:cs="Times New Roman"/>
          <w:color w:val="auto"/>
          <w:highlight w:val="none"/>
          <w:lang w:val="en-US" w:eastAsia="zh-CN"/>
        </w:rPr>
        <w:t>日</w:t>
      </w:r>
      <w:r>
        <w:rPr>
          <w:rFonts w:hint="default" w:ascii="Times New Roman" w:hAnsi="Times New Roman" w:eastAsia="宋体" w:cs="Times New Roman"/>
          <w:color w:val="auto"/>
          <w:highlight w:val="none"/>
        </w:rPr>
        <w:t>，监测频率为昼、夜各监测一次。</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（3）监测仪器及监测方法</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监测仪器和监测方法执行《声环境质量标准》（GB3096-2008）的有关规定。</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（4）监测结果</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项目区声环境现状监测及评价结果见表4.2-7。</w:t>
      </w:r>
    </w:p>
    <w:p>
      <w:pPr>
        <w:pStyle w:val="50"/>
        <w:pageBreakBefore w:val="0"/>
        <w:widowControl w:val="0"/>
        <w:kinsoku/>
        <w:wordWrap/>
        <w:overflowPunct/>
        <w:topLinePunct w:val="0"/>
        <w:autoSpaceDE/>
        <w:autoSpaceDN/>
        <w:bidi w:val="0"/>
        <w:adjustRightInd w:val="0"/>
        <w:snapToGrid w:val="0"/>
        <w:spacing w:afterLines="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表4.2-7         项目区声环境质量现状监测及评价结果</w:t>
      </w:r>
    </w:p>
    <w:tbl>
      <w:tblPr>
        <w:tblStyle w:val="39"/>
        <w:tblpPr w:leftFromText="180" w:rightFromText="180" w:vertAnchor="text" w:tblpXSpec="center" w:tblpY="1"/>
        <w:tblOverlap w:val="never"/>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318"/>
        <w:gridCol w:w="1349"/>
        <w:gridCol w:w="1280"/>
        <w:gridCol w:w="2160"/>
        <w:gridCol w:w="1116"/>
        <w:gridCol w:w="11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1318"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w:t>
            </w:r>
          </w:p>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点位</w:t>
            </w:r>
          </w:p>
        </w:tc>
        <w:tc>
          <w:tcPr>
            <w:tcW w:w="1349"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环境功能</w:t>
            </w:r>
          </w:p>
        </w:tc>
        <w:tc>
          <w:tcPr>
            <w:tcW w:w="1280"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监测时间</w:t>
            </w:r>
          </w:p>
        </w:tc>
        <w:tc>
          <w:tcPr>
            <w:tcW w:w="2160"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监测结果</w:t>
            </w:r>
          </w:p>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dB</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lang w:eastAsia="zh-CN"/>
              </w:rPr>
              <w:t>）</w:t>
            </w:r>
          </w:p>
        </w:tc>
        <w:tc>
          <w:tcPr>
            <w:tcW w:w="1116"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标准值dB</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lang w:eastAsia="zh-CN"/>
              </w:rPr>
              <w:t>）</w:t>
            </w:r>
          </w:p>
        </w:tc>
        <w:tc>
          <w:tcPr>
            <w:tcW w:w="1116"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达标状况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1318" w:type="dxa"/>
            <w:vMerge w:val="restar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项目区</w:t>
            </w:r>
            <w:r>
              <w:rPr>
                <w:rFonts w:hint="eastAsia" w:ascii="Times New Roman" w:hAnsi="Times New Roman" w:eastAsia="宋体" w:cs="Times New Roman"/>
                <w:color w:val="auto"/>
                <w:sz w:val="21"/>
                <w:szCs w:val="21"/>
                <w:highlight w:val="none"/>
                <w:lang w:val="en-US" w:eastAsia="zh-CN"/>
              </w:rPr>
              <w:t>东侧</w:t>
            </w:r>
          </w:p>
        </w:tc>
        <w:tc>
          <w:tcPr>
            <w:tcW w:w="1349" w:type="dxa"/>
            <w:vMerge w:val="restar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（GB3096-2008）2类</w:t>
            </w:r>
          </w:p>
        </w:tc>
        <w:tc>
          <w:tcPr>
            <w:tcW w:w="1280"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w:t>
            </w:r>
          </w:p>
        </w:tc>
        <w:tc>
          <w:tcPr>
            <w:tcW w:w="2160"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42</w:t>
            </w:r>
          </w:p>
        </w:tc>
        <w:tc>
          <w:tcPr>
            <w:tcW w:w="1116"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1116"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1318" w:type="dxa"/>
            <w:vMerge w:val="continue"/>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c>
          <w:tcPr>
            <w:tcW w:w="1349" w:type="dxa"/>
            <w:vMerge w:val="continue"/>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c>
          <w:tcPr>
            <w:tcW w:w="1280"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w:t>
            </w:r>
          </w:p>
        </w:tc>
        <w:tc>
          <w:tcPr>
            <w:tcW w:w="2160"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39</w:t>
            </w:r>
          </w:p>
        </w:tc>
        <w:tc>
          <w:tcPr>
            <w:tcW w:w="1116"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c>
          <w:tcPr>
            <w:tcW w:w="1116"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1318" w:type="dxa"/>
            <w:vMerge w:val="restar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项目区南侧</w:t>
            </w:r>
          </w:p>
        </w:tc>
        <w:tc>
          <w:tcPr>
            <w:tcW w:w="1349" w:type="dxa"/>
            <w:vMerge w:val="continue"/>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c>
          <w:tcPr>
            <w:tcW w:w="1280"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w:t>
            </w:r>
          </w:p>
        </w:tc>
        <w:tc>
          <w:tcPr>
            <w:tcW w:w="2160"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41</w:t>
            </w:r>
          </w:p>
        </w:tc>
        <w:tc>
          <w:tcPr>
            <w:tcW w:w="1116"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1116"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1318" w:type="dxa"/>
            <w:vMerge w:val="continue"/>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c>
          <w:tcPr>
            <w:tcW w:w="1349" w:type="dxa"/>
            <w:vMerge w:val="continue"/>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c>
          <w:tcPr>
            <w:tcW w:w="1280"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w:t>
            </w:r>
          </w:p>
        </w:tc>
        <w:tc>
          <w:tcPr>
            <w:tcW w:w="2160"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38</w:t>
            </w:r>
          </w:p>
        </w:tc>
        <w:tc>
          <w:tcPr>
            <w:tcW w:w="1116"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c>
          <w:tcPr>
            <w:tcW w:w="1116"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1318" w:type="dxa"/>
            <w:vMerge w:val="restar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项目区西侧</w:t>
            </w:r>
          </w:p>
        </w:tc>
        <w:tc>
          <w:tcPr>
            <w:tcW w:w="1349" w:type="dxa"/>
            <w:vMerge w:val="continue"/>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c>
          <w:tcPr>
            <w:tcW w:w="1280"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w:t>
            </w:r>
          </w:p>
        </w:tc>
        <w:tc>
          <w:tcPr>
            <w:tcW w:w="2160"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41</w:t>
            </w:r>
          </w:p>
        </w:tc>
        <w:tc>
          <w:tcPr>
            <w:tcW w:w="1116"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1116"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1318" w:type="dxa"/>
            <w:vMerge w:val="continue"/>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c>
          <w:tcPr>
            <w:tcW w:w="1349" w:type="dxa"/>
            <w:vMerge w:val="continue"/>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c>
          <w:tcPr>
            <w:tcW w:w="1280"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w:t>
            </w:r>
          </w:p>
        </w:tc>
        <w:tc>
          <w:tcPr>
            <w:tcW w:w="2160"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39</w:t>
            </w:r>
          </w:p>
        </w:tc>
        <w:tc>
          <w:tcPr>
            <w:tcW w:w="1116"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c>
          <w:tcPr>
            <w:tcW w:w="1116"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1318" w:type="dxa"/>
            <w:vMerge w:val="restar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项目区北侧</w:t>
            </w:r>
          </w:p>
        </w:tc>
        <w:tc>
          <w:tcPr>
            <w:tcW w:w="1349" w:type="dxa"/>
            <w:vMerge w:val="continue"/>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c>
          <w:tcPr>
            <w:tcW w:w="1280"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w:t>
            </w:r>
          </w:p>
        </w:tc>
        <w:tc>
          <w:tcPr>
            <w:tcW w:w="2160"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42</w:t>
            </w:r>
          </w:p>
        </w:tc>
        <w:tc>
          <w:tcPr>
            <w:tcW w:w="1116"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1116"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1318" w:type="dxa"/>
            <w:vMerge w:val="continue"/>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c>
          <w:tcPr>
            <w:tcW w:w="1349" w:type="dxa"/>
            <w:vMerge w:val="continue"/>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c>
          <w:tcPr>
            <w:tcW w:w="1280"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w:t>
            </w:r>
          </w:p>
        </w:tc>
        <w:tc>
          <w:tcPr>
            <w:tcW w:w="2160"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38</w:t>
            </w:r>
          </w:p>
        </w:tc>
        <w:tc>
          <w:tcPr>
            <w:tcW w:w="1116"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c>
          <w:tcPr>
            <w:tcW w:w="1116"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由上表可看出，各监测点昼夜噪声值均达到《声环境质量标准》</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GB3096-2008</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 xml:space="preserve"> 2类标准要求，项目所在区域声环境质量良好。</w:t>
      </w:r>
    </w:p>
    <w:p>
      <w:pPr>
        <w:pStyle w:val="5"/>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rPr>
      </w:pPr>
      <w:bookmarkStart w:id="214" w:name="_Toc15056"/>
      <w:bookmarkStart w:id="215" w:name="_Toc7540"/>
      <w:bookmarkStart w:id="216" w:name="_Toc2084"/>
      <w:bookmarkStart w:id="217" w:name="_Toc25326"/>
      <w:bookmarkStart w:id="218" w:name="_Toc29064"/>
      <w:r>
        <w:rPr>
          <w:rFonts w:hint="default" w:ascii="Times New Roman" w:hAnsi="Times New Roman" w:eastAsia="宋体" w:cs="Times New Roman"/>
          <w:color w:val="auto"/>
          <w:highlight w:val="none"/>
        </w:rPr>
        <w:t>土壤环境质量现状</w:t>
      </w:r>
      <w:bookmarkEnd w:id="214"/>
      <w:bookmarkEnd w:id="215"/>
      <w:bookmarkEnd w:id="216"/>
      <w:bookmarkEnd w:id="217"/>
      <w:bookmarkEnd w:id="218"/>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根据《环境影响评价技术导则 土壤环境（试行）》（HJ964-2018），本次评价委托</w:t>
      </w:r>
      <w:r>
        <w:rPr>
          <w:rFonts w:hint="eastAsia" w:cs="Times New Roman"/>
          <w:color w:val="auto"/>
          <w:highlight w:val="none"/>
          <w:lang w:eastAsia="zh-CN"/>
        </w:rPr>
        <w:t>新疆锡水金山环境科技有限公司</w:t>
      </w:r>
      <w:r>
        <w:rPr>
          <w:rFonts w:hint="default" w:ascii="Times New Roman" w:hAnsi="Times New Roman" w:eastAsia="宋体" w:cs="Times New Roman"/>
          <w:color w:val="auto"/>
          <w:highlight w:val="none"/>
        </w:rPr>
        <w:t>对项目区土壤环境进行实测。</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（1）监测布点与监测因子</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根据《环境影响评价技术导则 土壤环境（试行）》（HJ964-2018），本项目在项目区用地范围内共布设3个，土壤表层样点，具体位置详见表4.2-8及图4.2-1监测布点图。</w:t>
      </w:r>
    </w:p>
    <w:p>
      <w:pPr>
        <w:pStyle w:val="50"/>
        <w:pageBreakBefore w:val="0"/>
        <w:wordWrap/>
        <w:bidi w:val="0"/>
        <w:adjustRightInd w:val="0"/>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表4.2-8    </w:t>
      </w:r>
      <w:r>
        <w:rPr>
          <w:rFonts w:hint="default" w:ascii="Times New Roman" w:hAnsi="Times New Roman" w:eastAsia="宋体" w:cs="Times New Roman"/>
          <w:color w:val="auto"/>
          <w:sz w:val="21"/>
          <w:szCs w:val="21"/>
          <w:highlight w:val="none"/>
        </w:rPr>
        <w:tab/>
      </w:r>
      <w:r>
        <w:rPr>
          <w:rFonts w:hint="default" w:ascii="Times New Roman" w:hAnsi="Times New Roman" w:eastAsia="宋体" w:cs="Times New Roman"/>
          <w:color w:val="auto"/>
          <w:sz w:val="21"/>
          <w:szCs w:val="21"/>
          <w:highlight w:val="none"/>
        </w:rPr>
        <w:t>土壤质量现状监测布点一览表</w:t>
      </w:r>
    </w:p>
    <w:tbl>
      <w:tblPr>
        <w:tblStyle w:val="39"/>
        <w:tblW w:w="499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045"/>
        <w:gridCol w:w="2239"/>
        <w:gridCol w:w="449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3" w:hRule="atLeast"/>
        </w:trPr>
        <w:tc>
          <w:tcPr>
            <w:tcW w:w="1165" w:type="pct"/>
            <w:tcBorders>
              <w:tl2br w:val="nil"/>
              <w:tr2bl w:val="nil"/>
            </w:tcBorders>
            <w:noWrap w:val="0"/>
            <w:vAlign w:val="top"/>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监测点位</w:t>
            </w:r>
          </w:p>
        </w:tc>
        <w:tc>
          <w:tcPr>
            <w:tcW w:w="1275" w:type="pct"/>
            <w:tcBorders>
              <w:tl2br w:val="nil"/>
              <w:tr2bl w:val="nil"/>
            </w:tcBorders>
            <w:noWrap w:val="0"/>
            <w:vAlign w:val="top"/>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相对位置</w:t>
            </w:r>
          </w:p>
        </w:tc>
        <w:tc>
          <w:tcPr>
            <w:tcW w:w="2558" w:type="pct"/>
            <w:tcBorders>
              <w:tl2br w:val="nil"/>
              <w:tr2bl w:val="nil"/>
            </w:tcBorders>
            <w:noWrap w:val="0"/>
            <w:vAlign w:val="top"/>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地理坐标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7" w:hRule="atLeast"/>
        </w:trPr>
        <w:tc>
          <w:tcPr>
            <w:tcW w:w="1165" w:type="pct"/>
            <w:tcBorders>
              <w:tl2br w:val="nil"/>
              <w:tr2bl w:val="nil"/>
            </w:tcBorders>
            <w:noWrap w:val="0"/>
            <w:vAlign w:val="top"/>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275" w:type="pct"/>
            <w:tcBorders>
              <w:tl2br w:val="nil"/>
              <w:tr2bl w:val="nil"/>
            </w:tcBorders>
            <w:noWrap w:val="0"/>
            <w:vAlign w:val="top"/>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项目区范围内</w:t>
            </w:r>
          </w:p>
        </w:tc>
        <w:tc>
          <w:tcPr>
            <w:tcW w:w="2558" w:type="pct"/>
            <w:tcBorders>
              <w:tl2br w:val="nil"/>
              <w:tr2bl w:val="nil"/>
            </w:tcBorders>
            <w:noWrap w:val="0"/>
            <w:vAlign w:val="top"/>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E</w:t>
            </w:r>
            <w:r>
              <w:rPr>
                <w:rFonts w:hint="eastAsia" w:ascii="Times New Roman" w:hAnsi="Times New Roman" w:eastAsia="宋体" w:cs="Times New Roman"/>
                <w:color w:val="auto"/>
                <w:sz w:val="21"/>
                <w:szCs w:val="21"/>
                <w:highlight w:val="none"/>
                <w:lang w:val="en-US" w:eastAsia="zh-CN"/>
              </w:rPr>
              <w:t>：83</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11</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47.21</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N</w:t>
            </w:r>
            <w:r>
              <w:rPr>
                <w:rFonts w:hint="eastAsia" w:ascii="Times New Roman" w:hAnsi="Times New Roman" w:eastAsia="宋体" w:cs="Times New Roman"/>
                <w:color w:val="auto"/>
                <w:sz w:val="21"/>
                <w:szCs w:val="21"/>
                <w:highlight w:val="none"/>
                <w:lang w:val="en-US" w:eastAsia="zh-CN"/>
              </w:rPr>
              <w:t>：46</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36</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3.73</w:t>
            </w:r>
            <w:r>
              <w:rPr>
                <w:rFonts w:hint="default" w:ascii="Times New Roman" w:hAnsi="Times New Roman" w:eastAsia="宋体" w:cs="Times New Roman"/>
                <w:color w:val="auto"/>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7" w:hRule="atLeast"/>
        </w:trPr>
        <w:tc>
          <w:tcPr>
            <w:tcW w:w="1165" w:type="pct"/>
            <w:tcBorders>
              <w:tl2br w:val="nil"/>
              <w:tr2bl w:val="nil"/>
            </w:tcBorders>
            <w:noWrap w:val="0"/>
            <w:vAlign w:val="top"/>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275" w:type="pct"/>
            <w:tcBorders>
              <w:tl2br w:val="nil"/>
              <w:tr2bl w:val="nil"/>
            </w:tcBorders>
            <w:noWrap w:val="0"/>
            <w:vAlign w:val="top"/>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项目区范围内</w:t>
            </w:r>
          </w:p>
        </w:tc>
        <w:tc>
          <w:tcPr>
            <w:tcW w:w="2558" w:type="pct"/>
            <w:tcBorders>
              <w:tl2br w:val="nil"/>
              <w:tr2bl w:val="nil"/>
            </w:tcBorders>
            <w:noWrap w:val="0"/>
            <w:vAlign w:val="top"/>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E</w:t>
            </w:r>
            <w:r>
              <w:rPr>
                <w:rFonts w:hint="eastAsia" w:ascii="Times New Roman" w:hAnsi="Times New Roman" w:eastAsia="宋体" w:cs="Times New Roman"/>
                <w:color w:val="auto"/>
                <w:sz w:val="21"/>
                <w:szCs w:val="21"/>
                <w:highlight w:val="none"/>
                <w:lang w:val="en-US" w:eastAsia="zh-CN"/>
              </w:rPr>
              <w:t>：83</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11</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39.10</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N</w:t>
            </w:r>
            <w:r>
              <w:rPr>
                <w:rFonts w:hint="eastAsia" w:ascii="Times New Roman" w:hAnsi="Times New Roman" w:eastAsia="宋体" w:cs="Times New Roman"/>
                <w:color w:val="auto"/>
                <w:sz w:val="21"/>
                <w:szCs w:val="21"/>
                <w:highlight w:val="none"/>
                <w:lang w:val="en-US" w:eastAsia="zh-CN"/>
              </w:rPr>
              <w:t>：46</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35</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41.48</w:t>
            </w:r>
            <w:r>
              <w:rPr>
                <w:rFonts w:hint="default" w:ascii="Times New Roman" w:hAnsi="Times New Roman" w:eastAsia="宋体" w:cs="Times New Roman"/>
                <w:color w:val="auto"/>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0" w:hRule="atLeast"/>
        </w:trPr>
        <w:tc>
          <w:tcPr>
            <w:tcW w:w="1165" w:type="pct"/>
            <w:tcBorders>
              <w:tl2br w:val="nil"/>
              <w:tr2bl w:val="nil"/>
            </w:tcBorders>
            <w:noWrap w:val="0"/>
            <w:vAlign w:val="top"/>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275" w:type="pct"/>
            <w:tcBorders>
              <w:tl2br w:val="nil"/>
              <w:tr2bl w:val="nil"/>
            </w:tcBorders>
            <w:noWrap w:val="0"/>
            <w:vAlign w:val="top"/>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项目区范围内</w:t>
            </w:r>
          </w:p>
        </w:tc>
        <w:tc>
          <w:tcPr>
            <w:tcW w:w="2558" w:type="pct"/>
            <w:tcBorders>
              <w:tl2br w:val="nil"/>
              <w:tr2bl w:val="nil"/>
            </w:tcBorders>
            <w:noWrap w:val="0"/>
            <w:vAlign w:val="top"/>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E</w:t>
            </w:r>
            <w:r>
              <w:rPr>
                <w:rFonts w:hint="eastAsia" w:ascii="Times New Roman" w:hAnsi="Times New Roman" w:eastAsia="宋体" w:cs="Times New Roman"/>
                <w:color w:val="auto"/>
                <w:sz w:val="21"/>
                <w:szCs w:val="21"/>
                <w:highlight w:val="none"/>
                <w:lang w:val="en-US" w:eastAsia="zh-CN"/>
              </w:rPr>
              <w:t>：83</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12</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3.51</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N</w:t>
            </w:r>
            <w:r>
              <w:rPr>
                <w:rFonts w:hint="eastAsia" w:ascii="Times New Roman" w:hAnsi="Times New Roman" w:eastAsia="宋体" w:cs="Times New Roman"/>
                <w:color w:val="auto"/>
                <w:sz w:val="21"/>
                <w:szCs w:val="21"/>
                <w:highlight w:val="none"/>
                <w:lang w:val="en-US" w:eastAsia="zh-CN"/>
              </w:rPr>
              <w:t>：46</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35</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37.46</w:t>
            </w:r>
            <w:r>
              <w:rPr>
                <w:rFonts w:hint="default" w:ascii="Times New Roman" w:hAnsi="Times New Roman" w:eastAsia="宋体" w:cs="Times New Roman"/>
                <w:color w:val="auto"/>
                <w:sz w:val="21"/>
                <w:szCs w:val="21"/>
                <w:highlight w:val="none"/>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before="157" w:beforeLines="50"/>
        <w:ind w:left="0" w:leftChars="0" w:right="0" w:rightChars="0"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监测因子选择《土壤环境质量 </w:t>
      </w:r>
      <w:r>
        <w:rPr>
          <w:rFonts w:hint="default" w:ascii="Times New Roman" w:hAnsi="Times New Roman" w:cs="Times New Roman"/>
          <w:color w:val="auto"/>
          <w:highlight w:val="none"/>
          <w:lang w:eastAsia="zh-CN"/>
        </w:rPr>
        <w:t>农用地土壤污染风险管控标准（试行）</w:t>
      </w:r>
      <w:r>
        <w:rPr>
          <w:rFonts w:hint="default" w:ascii="Times New Roman" w:hAnsi="Times New Roman" w:eastAsia="宋体" w:cs="Times New Roman"/>
          <w:color w:val="auto"/>
          <w:highlight w:val="none"/>
        </w:rPr>
        <w:t>》（GB15618-2018）表1中</w:t>
      </w:r>
      <w:r>
        <w:rPr>
          <w:rFonts w:hint="default" w:ascii="Times New Roman" w:hAnsi="Times New Roman" w:eastAsia="宋体" w:cs="Times New Roman"/>
          <w:color w:val="auto"/>
          <w:highlight w:val="none"/>
          <w:lang w:val="zh-CN"/>
        </w:rPr>
        <w:t>基本</w:t>
      </w:r>
      <w:r>
        <w:rPr>
          <w:rFonts w:hint="default" w:ascii="Times New Roman" w:hAnsi="Times New Roman" w:eastAsia="宋体" w:cs="Times New Roman"/>
          <w:color w:val="auto"/>
          <w:highlight w:val="none"/>
        </w:rPr>
        <w:t>9</w:t>
      </w:r>
      <w:r>
        <w:rPr>
          <w:rFonts w:hint="default" w:ascii="Times New Roman" w:hAnsi="Times New Roman" w:eastAsia="宋体" w:cs="Times New Roman"/>
          <w:color w:val="auto"/>
          <w:highlight w:val="none"/>
          <w:lang w:val="zh-CN"/>
        </w:rPr>
        <w:t>项，同时检测土壤理化性质</w:t>
      </w:r>
      <w:r>
        <w:rPr>
          <w:rFonts w:hint="default" w:ascii="Times New Roman" w:hAnsi="Times New Roman" w:eastAsia="宋体" w:cs="Times New Roman"/>
          <w:color w:val="auto"/>
          <w:highlight w:val="none"/>
        </w:rPr>
        <w:t>。</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（2）监测时间</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采样时间为202</w:t>
      </w:r>
      <w:r>
        <w:rPr>
          <w:rFonts w:hint="eastAsia" w:cs="Times New Roman"/>
          <w:color w:val="auto"/>
          <w:highlight w:val="none"/>
          <w:lang w:val="en-US" w:eastAsia="zh-CN"/>
        </w:rPr>
        <w:t>3</w:t>
      </w:r>
      <w:r>
        <w:rPr>
          <w:rFonts w:hint="default" w:ascii="Times New Roman" w:hAnsi="Times New Roman" w:eastAsia="宋体" w:cs="Times New Roman"/>
          <w:color w:val="auto"/>
          <w:highlight w:val="none"/>
        </w:rPr>
        <w:t>年</w:t>
      </w:r>
      <w:r>
        <w:rPr>
          <w:rFonts w:hint="default"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月</w:t>
      </w:r>
      <w:r>
        <w:rPr>
          <w:rFonts w:hint="default" w:ascii="Times New Roman" w:hAnsi="Times New Roman" w:eastAsia="宋体" w:cs="Times New Roman"/>
          <w:color w:val="auto"/>
          <w:highlight w:val="none"/>
          <w:lang w:val="en-US" w:eastAsia="zh-CN"/>
        </w:rPr>
        <w:t>1</w:t>
      </w:r>
      <w:r>
        <w:rPr>
          <w:rFonts w:hint="eastAsia" w:cs="Times New Roman"/>
          <w:color w:val="auto"/>
          <w:highlight w:val="none"/>
          <w:lang w:val="en-US" w:eastAsia="zh-CN"/>
        </w:rPr>
        <w:t>3</w:t>
      </w:r>
      <w:r>
        <w:rPr>
          <w:rFonts w:hint="default" w:ascii="Times New Roman" w:hAnsi="Times New Roman" w:eastAsia="宋体" w:cs="Times New Roman"/>
          <w:color w:val="auto"/>
          <w:highlight w:val="none"/>
        </w:rPr>
        <w:t>日，分析时间为202</w:t>
      </w:r>
      <w:r>
        <w:rPr>
          <w:rFonts w:hint="eastAsia" w:cs="Times New Roman"/>
          <w:color w:val="auto"/>
          <w:highlight w:val="none"/>
          <w:lang w:val="en-US" w:eastAsia="zh-CN"/>
        </w:rPr>
        <w:t>3</w:t>
      </w:r>
      <w:r>
        <w:rPr>
          <w:rFonts w:hint="default" w:ascii="Times New Roman" w:hAnsi="Times New Roman" w:eastAsia="宋体" w:cs="Times New Roman"/>
          <w:color w:val="auto"/>
          <w:highlight w:val="none"/>
        </w:rPr>
        <w:t>年</w:t>
      </w:r>
      <w:r>
        <w:rPr>
          <w:rFonts w:hint="default"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月</w:t>
      </w:r>
      <w:r>
        <w:rPr>
          <w:rFonts w:hint="default" w:ascii="Times New Roman" w:hAnsi="Times New Roman" w:eastAsia="宋体" w:cs="Times New Roman"/>
          <w:color w:val="auto"/>
          <w:highlight w:val="none"/>
          <w:lang w:val="en-US" w:eastAsia="zh-CN"/>
        </w:rPr>
        <w:t>1</w:t>
      </w:r>
      <w:r>
        <w:rPr>
          <w:rFonts w:hint="eastAsia" w:cs="Times New Roman"/>
          <w:color w:val="auto"/>
          <w:highlight w:val="none"/>
          <w:lang w:val="en-US" w:eastAsia="zh-CN"/>
        </w:rPr>
        <w:t>3</w:t>
      </w:r>
      <w:r>
        <w:rPr>
          <w:rFonts w:hint="default" w:ascii="Times New Roman" w:hAnsi="Times New Roman" w:eastAsia="宋体" w:cs="Times New Roman"/>
          <w:color w:val="auto"/>
          <w:highlight w:val="none"/>
        </w:rPr>
        <w:t>日至</w:t>
      </w:r>
      <w:r>
        <w:rPr>
          <w:rFonts w:hint="default"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月</w:t>
      </w:r>
      <w:r>
        <w:rPr>
          <w:rFonts w:hint="eastAsia" w:cs="Times New Roman"/>
          <w:color w:val="auto"/>
          <w:highlight w:val="none"/>
          <w:lang w:val="en-US" w:eastAsia="zh-CN"/>
        </w:rPr>
        <w:t>16</w:t>
      </w:r>
      <w:r>
        <w:rPr>
          <w:rFonts w:hint="default" w:ascii="Times New Roman" w:hAnsi="Times New Roman" w:eastAsia="宋体" w:cs="Times New Roman"/>
          <w:color w:val="auto"/>
          <w:highlight w:val="none"/>
        </w:rPr>
        <w:t>日。</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（3）评价标准</w:t>
      </w:r>
    </w:p>
    <w:p>
      <w:pPr>
        <w:pageBreakBefore w:val="0"/>
        <w:wordWrap/>
        <w:bidi w:val="0"/>
        <w:adjustRightInd w:val="0"/>
        <w:ind w:left="0" w:leftChars="0" w:right="0" w:rightChars="0" w:firstLine="480"/>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 xml:space="preserve">满足《土壤环境质量 </w:t>
      </w:r>
      <w:r>
        <w:rPr>
          <w:rFonts w:hint="default" w:ascii="Times New Roman" w:hAnsi="Times New Roman" w:cs="Times New Roman"/>
          <w:color w:val="auto"/>
          <w:highlight w:val="none"/>
          <w:lang w:eastAsia="zh-CN"/>
        </w:rPr>
        <w:t>农用地土壤污染风险管控标准（试行）</w:t>
      </w:r>
      <w:r>
        <w:rPr>
          <w:rFonts w:hint="default" w:ascii="Times New Roman" w:hAnsi="Times New Roman" w:eastAsia="宋体" w:cs="Times New Roman"/>
          <w:color w:val="auto"/>
          <w:highlight w:val="none"/>
        </w:rPr>
        <w:t>》（GB15618-2018）表1</w:t>
      </w:r>
      <w:r>
        <w:rPr>
          <w:rFonts w:hint="default" w:ascii="Times New Roman" w:hAnsi="Times New Roman" w:cs="Times New Roman"/>
          <w:color w:val="auto"/>
          <w:highlight w:val="none"/>
          <w:lang w:eastAsia="zh-CN"/>
        </w:rPr>
        <w:t>农用地土壤污染风险</w:t>
      </w:r>
      <w:r>
        <w:rPr>
          <w:rFonts w:hint="default" w:ascii="Times New Roman" w:hAnsi="Times New Roman" w:eastAsia="宋体" w:cs="Times New Roman"/>
          <w:color w:val="auto"/>
          <w:highlight w:val="none"/>
        </w:rPr>
        <w:t>筛选值，且镉、砷、铜、铅、铬、锌、汞、镍要满足</w:t>
      </w:r>
      <w:r>
        <w:rPr>
          <w:rFonts w:hint="default" w:ascii="Times New Roman" w:hAnsi="Times New Roman" w:eastAsia="宋体" w:cs="Times New Roman"/>
          <w:color w:val="auto"/>
          <w:highlight w:val="none"/>
          <w:lang w:val="zh-CN"/>
        </w:rPr>
        <w:t>《</w:t>
      </w:r>
      <w:r>
        <w:rPr>
          <w:rFonts w:hint="default" w:ascii="Times New Roman" w:hAnsi="Times New Roman" w:eastAsia="宋体" w:cs="Times New Roman"/>
          <w:color w:val="auto"/>
          <w:highlight w:val="none"/>
        </w:rPr>
        <w:t>畜禽场环境质量及卫生控制规范</w:t>
      </w:r>
      <w:r>
        <w:rPr>
          <w:rFonts w:hint="default" w:ascii="Times New Roman" w:hAnsi="Times New Roman" w:eastAsia="宋体" w:cs="Times New Roman"/>
          <w:color w:val="auto"/>
          <w:highlight w:val="none"/>
          <w:lang w:val="zh-CN"/>
        </w:rPr>
        <w:t>》（</w:t>
      </w:r>
      <w:r>
        <w:rPr>
          <w:rFonts w:hint="default" w:ascii="Times New Roman" w:hAnsi="Times New Roman" w:eastAsia="宋体" w:cs="Times New Roman"/>
          <w:color w:val="auto"/>
          <w:highlight w:val="none"/>
        </w:rPr>
        <w:t>NY</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T 1167-2006）中“表1”和</w:t>
      </w:r>
      <w:r>
        <w:rPr>
          <w:rFonts w:hint="default" w:ascii="Times New Roman" w:hAnsi="Times New Roman" w:eastAsia="宋体" w:cs="Times New Roman"/>
          <w:color w:val="auto"/>
          <w:highlight w:val="none"/>
          <w:lang w:val="zh-CN"/>
        </w:rPr>
        <w:t>《</w:t>
      </w:r>
      <w:r>
        <w:rPr>
          <w:rFonts w:hint="default" w:ascii="Times New Roman" w:hAnsi="Times New Roman" w:eastAsia="宋体" w:cs="Times New Roman"/>
          <w:color w:val="auto"/>
          <w:highlight w:val="none"/>
        </w:rPr>
        <w:t>畜禽养殖产地环境评价规范</w:t>
      </w:r>
      <w:r>
        <w:rPr>
          <w:rFonts w:hint="default" w:ascii="Times New Roman" w:hAnsi="Times New Roman" w:eastAsia="宋体" w:cs="Times New Roman"/>
          <w:color w:val="auto"/>
          <w:highlight w:val="none"/>
          <w:lang w:val="zh-CN"/>
        </w:rPr>
        <w:t>》（</w:t>
      </w:r>
      <w:r>
        <w:rPr>
          <w:rFonts w:hint="default" w:ascii="Times New Roman" w:hAnsi="Times New Roman" w:eastAsia="宋体" w:cs="Times New Roman"/>
          <w:color w:val="auto"/>
          <w:highlight w:val="none"/>
        </w:rPr>
        <w:t>HJ</w:t>
      </w:r>
      <w:r>
        <w:rPr>
          <w:rFonts w:hint="default" w:ascii="Times New Roman" w:hAnsi="Times New Roman" w:eastAsia="宋体" w:cs="Times New Roman"/>
          <w:color w:val="auto"/>
          <w:highlight w:val="none"/>
          <w:lang w:eastAsia="zh-CN"/>
        </w:rPr>
        <w:t>568-2010</w:t>
      </w:r>
      <w:r>
        <w:rPr>
          <w:rFonts w:hint="default" w:ascii="Times New Roman" w:hAnsi="Times New Roman" w:eastAsia="宋体" w:cs="Times New Roman"/>
          <w:color w:val="auto"/>
          <w:highlight w:val="none"/>
        </w:rPr>
        <w:t>）中“表4”（ 镉≤0.3mg/kg、砷≤25mg/kg、铜≤50mg/kg、铅≤250mg/kg、铬≤250mg/kg、锌≤200mg/kg、汞≤1.5mg/kg、镍≤200mg/kg）</w:t>
      </w:r>
      <w:r>
        <w:rPr>
          <w:rFonts w:hint="eastAsia"/>
          <w:color w:val="auto"/>
          <w:lang w:eastAsia="zh-CN"/>
        </w:rPr>
        <w:t>。</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（4）监测结果及评价</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土壤理化性质</w:t>
      </w:r>
      <w:r>
        <w:rPr>
          <w:rFonts w:hint="default" w:ascii="Times New Roman" w:hAnsi="Times New Roman" w:cs="Times New Roman"/>
          <w:color w:val="auto"/>
          <w:highlight w:val="none"/>
          <w:lang w:val="en-US" w:eastAsia="zh-CN"/>
        </w:rPr>
        <w:t>见表4.2-9，</w:t>
      </w:r>
      <w:r>
        <w:rPr>
          <w:rFonts w:hint="default" w:ascii="Times New Roman" w:hAnsi="Times New Roman" w:cs="Times New Roman"/>
          <w:color w:val="auto"/>
          <w:highlight w:val="none"/>
        </w:rPr>
        <w:t>监测结果及评价结果详见表4.2-</w:t>
      </w:r>
      <w:r>
        <w:rPr>
          <w:rFonts w:hint="default" w:ascii="Times New Roman" w:hAnsi="Times New Roman" w:cs="Times New Roman"/>
          <w:color w:val="auto"/>
          <w:highlight w:val="none"/>
          <w:lang w:val="en-US" w:eastAsia="zh-CN"/>
        </w:rPr>
        <w:t>10</w:t>
      </w:r>
      <w:r>
        <w:rPr>
          <w:rFonts w:hint="default" w:ascii="Times New Roman" w:hAnsi="Times New Roman" w:cs="Times New Roman"/>
          <w:color w:val="auto"/>
          <w:highlight w:val="none"/>
        </w:rPr>
        <w:t>。</w:t>
      </w:r>
    </w:p>
    <w:p>
      <w:pPr>
        <w:pStyle w:val="50"/>
        <w:keepNext w:val="0"/>
        <w:keepLines w:val="0"/>
        <w:pageBreakBefore w:val="0"/>
        <w:widowControl w:val="0"/>
        <w:kinsoku/>
        <w:wordWrap/>
        <w:overflowPunct/>
        <w:autoSpaceDE/>
        <w:autoSpaceDN/>
        <w:bidi w:val="0"/>
        <w:adjustRightInd w:val="0"/>
        <w:snapToGrid w:val="0"/>
        <w:spacing w:afterLines="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表4.2-</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 xml:space="preserve">      土壤理化性质    </w:t>
      </w:r>
    </w:p>
    <w:tbl>
      <w:tblPr>
        <w:tblStyle w:val="39"/>
        <w:tblW w:w="500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45"/>
        <w:gridCol w:w="2558"/>
        <w:gridCol w:w="1533"/>
        <w:gridCol w:w="1764"/>
        <w:gridCol w:w="14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2274" w:type="pct"/>
            <w:gridSpan w:val="2"/>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点号</w:t>
            </w:r>
          </w:p>
        </w:tc>
        <w:tc>
          <w:tcPr>
            <w:tcW w:w="871"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1#监测点</w:t>
            </w:r>
          </w:p>
        </w:tc>
        <w:tc>
          <w:tcPr>
            <w:tcW w:w="1002"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2#监测点</w:t>
            </w:r>
          </w:p>
        </w:tc>
        <w:tc>
          <w:tcPr>
            <w:tcW w:w="851"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3#监测点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274" w:type="pct"/>
            <w:gridSpan w:val="2"/>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深度</w:t>
            </w:r>
          </w:p>
        </w:tc>
        <w:tc>
          <w:tcPr>
            <w:tcW w:w="871"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18</w:t>
            </w:r>
          </w:p>
        </w:tc>
        <w:tc>
          <w:tcPr>
            <w:tcW w:w="1002"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19</w:t>
            </w:r>
          </w:p>
        </w:tc>
        <w:tc>
          <w:tcPr>
            <w:tcW w:w="851"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821" w:type="pct"/>
            <w:vMerge w:val="restar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现场记录</w:t>
            </w:r>
          </w:p>
        </w:tc>
        <w:tc>
          <w:tcPr>
            <w:tcW w:w="1453"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颜色</w:t>
            </w:r>
          </w:p>
        </w:tc>
        <w:tc>
          <w:tcPr>
            <w:tcW w:w="871"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淡黄色</w:t>
            </w:r>
          </w:p>
        </w:tc>
        <w:tc>
          <w:tcPr>
            <w:tcW w:w="1002"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淡黄色</w:t>
            </w:r>
          </w:p>
        </w:tc>
        <w:tc>
          <w:tcPr>
            <w:tcW w:w="851"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淡黄色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821" w:type="pct"/>
            <w:vMerge w:val="continue"/>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c>
          <w:tcPr>
            <w:tcW w:w="1453"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结构</w:t>
            </w:r>
          </w:p>
        </w:tc>
        <w:tc>
          <w:tcPr>
            <w:tcW w:w="871"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粒状</w:t>
            </w:r>
          </w:p>
        </w:tc>
        <w:tc>
          <w:tcPr>
            <w:tcW w:w="1002"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粒状</w:t>
            </w:r>
          </w:p>
        </w:tc>
        <w:tc>
          <w:tcPr>
            <w:tcW w:w="851"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粒状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821" w:type="pct"/>
            <w:vMerge w:val="continue"/>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c>
          <w:tcPr>
            <w:tcW w:w="1453"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质地</w:t>
            </w:r>
          </w:p>
        </w:tc>
        <w:tc>
          <w:tcPr>
            <w:tcW w:w="871"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壤土</w:t>
            </w:r>
          </w:p>
        </w:tc>
        <w:tc>
          <w:tcPr>
            <w:tcW w:w="1002"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壤土</w:t>
            </w:r>
          </w:p>
        </w:tc>
        <w:tc>
          <w:tcPr>
            <w:tcW w:w="851"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壤土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821" w:type="pct"/>
            <w:vMerge w:val="continue"/>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c>
          <w:tcPr>
            <w:tcW w:w="1453"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砂砾含量</w:t>
            </w:r>
          </w:p>
        </w:tc>
        <w:tc>
          <w:tcPr>
            <w:tcW w:w="871"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002"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851"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821" w:type="pct"/>
            <w:vMerge w:val="continue"/>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c>
          <w:tcPr>
            <w:tcW w:w="1453"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其他异物</w:t>
            </w:r>
          </w:p>
        </w:tc>
        <w:tc>
          <w:tcPr>
            <w:tcW w:w="871"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002"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851"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821" w:type="pct"/>
            <w:vMerge w:val="continue"/>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c>
          <w:tcPr>
            <w:tcW w:w="1453"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氧化还原电位（mv）</w:t>
            </w:r>
          </w:p>
        </w:tc>
        <w:tc>
          <w:tcPr>
            <w:tcW w:w="871"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450</w:t>
            </w:r>
          </w:p>
        </w:tc>
        <w:tc>
          <w:tcPr>
            <w:tcW w:w="1002"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520</w:t>
            </w:r>
          </w:p>
        </w:tc>
        <w:tc>
          <w:tcPr>
            <w:tcW w:w="851"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821" w:type="pct"/>
            <w:vMerge w:val="restar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实验室测定</w:t>
            </w:r>
          </w:p>
        </w:tc>
        <w:tc>
          <w:tcPr>
            <w:tcW w:w="1453"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pH（</w:t>
            </w:r>
            <w:r>
              <w:rPr>
                <w:rFonts w:hint="default" w:ascii="Times New Roman" w:hAnsi="Times New Roman" w:eastAsia="宋体" w:cs="Times New Roman"/>
                <w:color w:val="auto"/>
                <w:sz w:val="21"/>
                <w:szCs w:val="21"/>
                <w:highlight w:val="none"/>
                <w:lang w:eastAsia="zh-CN"/>
              </w:rPr>
              <w:t>无量纲</w:t>
            </w:r>
            <w:r>
              <w:rPr>
                <w:rFonts w:hint="default" w:ascii="Times New Roman" w:hAnsi="Times New Roman" w:eastAsia="宋体" w:cs="Times New Roman"/>
                <w:color w:val="auto"/>
                <w:sz w:val="21"/>
                <w:szCs w:val="21"/>
                <w:highlight w:val="none"/>
                <w:lang w:val="en-US" w:eastAsia="zh-CN"/>
              </w:rPr>
              <w:t>）</w:t>
            </w:r>
          </w:p>
        </w:tc>
        <w:tc>
          <w:tcPr>
            <w:tcW w:w="871"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7.90</w:t>
            </w:r>
          </w:p>
        </w:tc>
        <w:tc>
          <w:tcPr>
            <w:tcW w:w="1002"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7.96</w:t>
            </w:r>
          </w:p>
        </w:tc>
        <w:tc>
          <w:tcPr>
            <w:tcW w:w="851"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821" w:type="pct"/>
            <w:vMerge w:val="continue"/>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c>
          <w:tcPr>
            <w:tcW w:w="1453"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阳离子交换量（cmol</w:t>
            </w:r>
            <w:r>
              <w:rPr>
                <w:rFonts w:hint="eastAsia" w:cs="Times New Roman"/>
                <w:color w:val="auto"/>
                <w:sz w:val="21"/>
                <w:szCs w:val="21"/>
                <w:highlight w:val="none"/>
                <w:vertAlign w:val="superscript"/>
                <w:lang w:val="en-US" w:eastAsia="zh-CN"/>
              </w:rPr>
              <w:t>+</w:t>
            </w:r>
            <w:r>
              <w:rPr>
                <w:rFonts w:hint="default" w:ascii="Times New Roman" w:hAnsi="Times New Roman" w:eastAsia="宋体" w:cs="Times New Roman"/>
                <w:color w:val="auto"/>
                <w:sz w:val="21"/>
                <w:szCs w:val="21"/>
                <w:highlight w:val="none"/>
                <w:lang w:val="en-US" w:eastAsia="zh-CN"/>
              </w:rPr>
              <w:t>/kg）</w:t>
            </w:r>
          </w:p>
        </w:tc>
        <w:tc>
          <w:tcPr>
            <w:tcW w:w="871"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7.9</w:t>
            </w:r>
          </w:p>
        </w:tc>
        <w:tc>
          <w:tcPr>
            <w:tcW w:w="1002"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8.1</w:t>
            </w:r>
          </w:p>
        </w:tc>
        <w:tc>
          <w:tcPr>
            <w:tcW w:w="851"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821" w:type="pct"/>
            <w:vMerge w:val="continue"/>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c>
          <w:tcPr>
            <w:tcW w:w="1453"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sz w:val="21"/>
                <w:szCs w:val="21"/>
                <w:highlight w:val="none"/>
                <w:lang w:val="en-US" w:eastAsia="zh-CN"/>
              </w:rPr>
              <w:t>渗滤率</w:t>
            </w:r>
            <w:r>
              <w:rPr>
                <w:rFonts w:hint="eastAsia"/>
                <w:color w:val="auto"/>
                <w:kern w:val="0"/>
                <w:sz w:val="21"/>
                <w:szCs w:val="21"/>
                <w:highlight w:val="none"/>
                <w:lang w:val="en-US" w:eastAsia="zh-CN"/>
              </w:rPr>
              <w:t>(mm/min)</w:t>
            </w:r>
          </w:p>
        </w:tc>
        <w:tc>
          <w:tcPr>
            <w:tcW w:w="871"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0.608</w:t>
            </w:r>
          </w:p>
        </w:tc>
        <w:tc>
          <w:tcPr>
            <w:tcW w:w="1002"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0.614</w:t>
            </w:r>
          </w:p>
        </w:tc>
        <w:tc>
          <w:tcPr>
            <w:tcW w:w="851"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0.616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821" w:type="pct"/>
            <w:vMerge w:val="continue"/>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c>
          <w:tcPr>
            <w:tcW w:w="1453"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土壤容重（g/cm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w:t>
            </w:r>
          </w:p>
        </w:tc>
        <w:tc>
          <w:tcPr>
            <w:tcW w:w="871"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2.64</w:t>
            </w:r>
          </w:p>
        </w:tc>
        <w:tc>
          <w:tcPr>
            <w:tcW w:w="1002"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2.41</w:t>
            </w:r>
          </w:p>
        </w:tc>
        <w:tc>
          <w:tcPr>
            <w:tcW w:w="851"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821" w:type="pct"/>
            <w:vMerge w:val="continue"/>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c>
          <w:tcPr>
            <w:tcW w:w="1453"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总孔隙度（%）</w:t>
            </w:r>
          </w:p>
        </w:tc>
        <w:tc>
          <w:tcPr>
            <w:tcW w:w="871"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34.0</w:t>
            </w:r>
          </w:p>
        </w:tc>
        <w:tc>
          <w:tcPr>
            <w:tcW w:w="1002"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34.0</w:t>
            </w:r>
          </w:p>
        </w:tc>
        <w:tc>
          <w:tcPr>
            <w:tcW w:w="851" w:type="pc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33.6</w:t>
            </w:r>
          </w:p>
        </w:tc>
      </w:tr>
    </w:tbl>
    <w:p>
      <w:pPr>
        <w:pStyle w:val="50"/>
        <w:pageBreakBefore w:val="0"/>
        <w:wordWrap/>
        <w:bidi w:val="0"/>
        <w:adjustRightInd w:val="0"/>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表4.2-</w:t>
      </w:r>
      <w:r>
        <w:rPr>
          <w:rFonts w:hint="default" w:ascii="Times New Roman" w:hAnsi="Times New Roman"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 xml:space="preserve">      土壤监测结果及评价</w:t>
      </w:r>
      <w:r>
        <w:rPr>
          <w:rFonts w:hint="eastAsia" w:ascii="Times New Roman" w:hAnsi="Times New Roman" w:cs="Times New Roman"/>
          <w:color w:val="auto"/>
          <w:sz w:val="21"/>
          <w:szCs w:val="21"/>
          <w:highlight w:val="none"/>
          <w:lang w:val="en-US" w:eastAsia="zh-CN"/>
        </w:rPr>
        <w:t>结果</w:t>
      </w:r>
      <w:r>
        <w:rPr>
          <w:rFonts w:hint="default" w:ascii="Times New Roman" w:hAnsi="Times New Roman" w:eastAsia="宋体" w:cs="Times New Roman"/>
          <w:color w:val="auto"/>
          <w:sz w:val="21"/>
          <w:szCs w:val="21"/>
          <w:highlight w:val="none"/>
        </w:rPr>
        <w:t xml:space="preserve">表    </w:t>
      </w:r>
    </w:p>
    <w:tbl>
      <w:tblPr>
        <w:tblStyle w:val="39"/>
        <w:tblW w:w="877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22"/>
        <w:gridCol w:w="980"/>
        <w:gridCol w:w="831"/>
        <w:gridCol w:w="1558"/>
        <w:gridCol w:w="1546"/>
        <w:gridCol w:w="1315"/>
        <w:gridCol w:w="929"/>
        <w:gridCol w:w="9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90" w:hRule="atLeast"/>
          <w:jc w:val="center"/>
        </w:trPr>
        <w:tc>
          <w:tcPr>
            <w:tcW w:w="6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9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检测项目</w:t>
            </w:r>
          </w:p>
        </w:tc>
        <w:tc>
          <w:tcPr>
            <w:tcW w:w="8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单位</w:t>
            </w:r>
          </w:p>
        </w:tc>
        <w:tc>
          <w:tcPr>
            <w:tcW w:w="15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1#监测点监测值</w:t>
            </w:r>
          </w:p>
        </w:tc>
        <w:tc>
          <w:tcPr>
            <w:tcW w:w="15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2#监测点监测值</w:t>
            </w:r>
          </w:p>
        </w:tc>
        <w:tc>
          <w:tcPr>
            <w:tcW w:w="13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3#监测点监测值</w:t>
            </w:r>
          </w:p>
        </w:tc>
        <w:tc>
          <w:tcPr>
            <w:tcW w:w="9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标准值</w:t>
            </w:r>
          </w:p>
        </w:tc>
        <w:tc>
          <w:tcPr>
            <w:tcW w:w="9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90" w:hRule="atLeast"/>
          <w:jc w:val="center"/>
        </w:trPr>
        <w:tc>
          <w:tcPr>
            <w:tcW w:w="6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1</w:t>
            </w:r>
          </w:p>
        </w:tc>
        <w:tc>
          <w:tcPr>
            <w:tcW w:w="9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pH</w:t>
            </w:r>
          </w:p>
        </w:tc>
        <w:tc>
          <w:tcPr>
            <w:tcW w:w="8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无量纲</w:t>
            </w:r>
          </w:p>
        </w:tc>
        <w:tc>
          <w:tcPr>
            <w:tcW w:w="15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7.90</w:t>
            </w:r>
          </w:p>
        </w:tc>
        <w:tc>
          <w:tcPr>
            <w:tcW w:w="15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7.96</w:t>
            </w:r>
          </w:p>
        </w:tc>
        <w:tc>
          <w:tcPr>
            <w:tcW w:w="13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7.93</w:t>
            </w:r>
          </w:p>
        </w:tc>
        <w:tc>
          <w:tcPr>
            <w:tcW w:w="9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w:t>
            </w:r>
          </w:p>
        </w:tc>
        <w:tc>
          <w:tcPr>
            <w:tcW w:w="9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90" w:hRule="atLeast"/>
          <w:jc w:val="center"/>
        </w:trPr>
        <w:tc>
          <w:tcPr>
            <w:tcW w:w="6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rPr>
              <w:t>2</w:t>
            </w:r>
          </w:p>
        </w:tc>
        <w:tc>
          <w:tcPr>
            <w:tcW w:w="9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砷</w:t>
            </w:r>
          </w:p>
        </w:tc>
        <w:tc>
          <w:tcPr>
            <w:tcW w:w="8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mg/</w:t>
            </w:r>
            <w:r>
              <w:rPr>
                <w:rFonts w:hint="eastAsia" w:ascii="Times New Roman" w:hAnsi="Times New Roman" w:eastAsia="宋体" w:cs="Times New Roman"/>
                <w:color w:val="auto"/>
                <w:sz w:val="21"/>
                <w:szCs w:val="21"/>
                <w:highlight w:val="none"/>
                <w:lang w:val="en-US" w:eastAsia="zh-CN"/>
              </w:rPr>
              <w:t>kg</w:t>
            </w:r>
          </w:p>
        </w:tc>
        <w:tc>
          <w:tcPr>
            <w:tcW w:w="15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6.02</w:t>
            </w:r>
          </w:p>
        </w:tc>
        <w:tc>
          <w:tcPr>
            <w:tcW w:w="15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6.82</w:t>
            </w:r>
          </w:p>
        </w:tc>
        <w:tc>
          <w:tcPr>
            <w:tcW w:w="13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7.38</w:t>
            </w:r>
          </w:p>
        </w:tc>
        <w:tc>
          <w:tcPr>
            <w:tcW w:w="9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25m</w:t>
            </w:r>
            <w:r>
              <w:rPr>
                <w:rFonts w:hint="default" w:ascii="Times New Roman" w:hAnsi="Times New Roman" w:eastAsia="宋体" w:cs="Times New Roman"/>
                <w:color w:val="auto"/>
                <w:sz w:val="21"/>
                <w:szCs w:val="21"/>
                <w:highlight w:val="none"/>
              </w:rPr>
              <w:t>g/</w:t>
            </w:r>
            <w:r>
              <w:rPr>
                <w:rFonts w:hint="default" w:ascii="Times New Roman" w:hAnsi="Times New Roman" w:eastAsia="宋体" w:cs="Times New Roman"/>
                <w:color w:val="auto"/>
                <w:sz w:val="21"/>
                <w:szCs w:val="21"/>
                <w:highlight w:val="none"/>
                <w:lang w:val="en-US" w:eastAsia="zh-CN"/>
              </w:rPr>
              <w:t>kg</w:t>
            </w:r>
          </w:p>
        </w:tc>
        <w:tc>
          <w:tcPr>
            <w:tcW w:w="9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90" w:hRule="atLeast"/>
          <w:jc w:val="center"/>
        </w:trPr>
        <w:tc>
          <w:tcPr>
            <w:tcW w:w="6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rPr>
              <w:t>3</w:t>
            </w:r>
          </w:p>
        </w:tc>
        <w:tc>
          <w:tcPr>
            <w:tcW w:w="9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铅</w:t>
            </w:r>
          </w:p>
        </w:tc>
        <w:tc>
          <w:tcPr>
            <w:tcW w:w="8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mg/</w:t>
            </w:r>
            <w:r>
              <w:rPr>
                <w:rFonts w:hint="eastAsia" w:ascii="Times New Roman" w:hAnsi="Times New Roman" w:eastAsia="宋体" w:cs="Times New Roman"/>
                <w:color w:val="auto"/>
                <w:sz w:val="21"/>
                <w:szCs w:val="21"/>
                <w:highlight w:val="none"/>
                <w:lang w:val="en-US" w:eastAsia="zh-CN"/>
              </w:rPr>
              <w:t>kg</w:t>
            </w:r>
          </w:p>
        </w:tc>
        <w:tc>
          <w:tcPr>
            <w:tcW w:w="15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25</w:t>
            </w:r>
          </w:p>
        </w:tc>
        <w:tc>
          <w:tcPr>
            <w:tcW w:w="15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28</w:t>
            </w:r>
          </w:p>
        </w:tc>
        <w:tc>
          <w:tcPr>
            <w:tcW w:w="13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26</w:t>
            </w:r>
          </w:p>
        </w:tc>
        <w:tc>
          <w:tcPr>
            <w:tcW w:w="9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170m</w:t>
            </w:r>
            <w:r>
              <w:rPr>
                <w:rFonts w:hint="default" w:ascii="Times New Roman" w:hAnsi="Times New Roman" w:eastAsia="宋体" w:cs="Times New Roman"/>
                <w:color w:val="auto"/>
                <w:sz w:val="21"/>
                <w:szCs w:val="21"/>
                <w:highlight w:val="none"/>
              </w:rPr>
              <w:t>g/</w:t>
            </w:r>
            <w:r>
              <w:rPr>
                <w:rFonts w:hint="default" w:ascii="Times New Roman" w:hAnsi="Times New Roman" w:eastAsia="宋体" w:cs="Times New Roman"/>
                <w:color w:val="auto"/>
                <w:sz w:val="21"/>
                <w:szCs w:val="21"/>
                <w:highlight w:val="none"/>
                <w:lang w:val="en-US" w:eastAsia="zh-CN"/>
              </w:rPr>
              <w:t>kg</w:t>
            </w:r>
          </w:p>
        </w:tc>
        <w:tc>
          <w:tcPr>
            <w:tcW w:w="9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90" w:hRule="atLeast"/>
          <w:jc w:val="center"/>
        </w:trPr>
        <w:tc>
          <w:tcPr>
            <w:tcW w:w="6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rPr>
              <w:t>4</w:t>
            </w:r>
          </w:p>
        </w:tc>
        <w:tc>
          <w:tcPr>
            <w:tcW w:w="9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汞</w:t>
            </w:r>
          </w:p>
        </w:tc>
        <w:tc>
          <w:tcPr>
            <w:tcW w:w="8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mg/</w:t>
            </w:r>
            <w:r>
              <w:rPr>
                <w:rFonts w:hint="eastAsia" w:ascii="Times New Roman" w:hAnsi="Times New Roman" w:eastAsia="宋体" w:cs="Times New Roman"/>
                <w:color w:val="auto"/>
                <w:sz w:val="21"/>
                <w:szCs w:val="21"/>
                <w:highlight w:val="none"/>
                <w:lang w:val="en-US" w:eastAsia="zh-CN"/>
              </w:rPr>
              <w:t>kg</w:t>
            </w:r>
          </w:p>
        </w:tc>
        <w:tc>
          <w:tcPr>
            <w:tcW w:w="15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0.188</w:t>
            </w:r>
          </w:p>
        </w:tc>
        <w:tc>
          <w:tcPr>
            <w:tcW w:w="15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0.172</w:t>
            </w:r>
          </w:p>
        </w:tc>
        <w:tc>
          <w:tcPr>
            <w:tcW w:w="13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0.165</w:t>
            </w:r>
          </w:p>
        </w:tc>
        <w:tc>
          <w:tcPr>
            <w:tcW w:w="9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1.5m</w:t>
            </w:r>
            <w:r>
              <w:rPr>
                <w:rFonts w:hint="default" w:ascii="Times New Roman" w:hAnsi="Times New Roman" w:eastAsia="宋体" w:cs="Times New Roman"/>
                <w:color w:val="auto"/>
                <w:sz w:val="21"/>
                <w:szCs w:val="21"/>
                <w:highlight w:val="none"/>
              </w:rPr>
              <w:t>g/</w:t>
            </w:r>
            <w:r>
              <w:rPr>
                <w:rFonts w:hint="default" w:ascii="Times New Roman" w:hAnsi="Times New Roman" w:eastAsia="宋体" w:cs="Times New Roman"/>
                <w:color w:val="auto"/>
                <w:sz w:val="21"/>
                <w:szCs w:val="21"/>
                <w:highlight w:val="none"/>
                <w:lang w:val="en-US" w:eastAsia="zh-CN"/>
              </w:rPr>
              <w:t>kg</w:t>
            </w:r>
          </w:p>
        </w:tc>
        <w:tc>
          <w:tcPr>
            <w:tcW w:w="9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90" w:hRule="atLeast"/>
          <w:jc w:val="center"/>
        </w:trPr>
        <w:tc>
          <w:tcPr>
            <w:tcW w:w="6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rPr>
              <w:t>5</w:t>
            </w:r>
          </w:p>
        </w:tc>
        <w:tc>
          <w:tcPr>
            <w:tcW w:w="9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镉</w:t>
            </w:r>
          </w:p>
        </w:tc>
        <w:tc>
          <w:tcPr>
            <w:tcW w:w="8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mg/</w:t>
            </w:r>
            <w:r>
              <w:rPr>
                <w:rFonts w:hint="eastAsia" w:ascii="Times New Roman" w:hAnsi="Times New Roman" w:eastAsia="宋体" w:cs="Times New Roman"/>
                <w:color w:val="auto"/>
                <w:sz w:val="21"/>
                <w:szCs w:val="21"/>
                <w:highlight w:val="none"/>
                <w:lang w:val="en-US" w:eastAsia="zh-CN"/>
              </w:rPr>
              <w:t>kg</w:t>
            </w:r>
          </w:p>
        </w:tc>
        <w:tc>
          <w:tcPr>
            <w:tcW w:w="15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0.10</w:t>
            </w:r>
          </w:p>
        </w:tc>
        <w:tc>
          <w:tcPr>
            <w:tcW w:w="15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0.10</w:t>
            </w:r>
          </w:p>
        </w:tc>
        <w:tc>
          <w:tcPr>
            <w:tcW w:w="13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0.11</w:t>
            </w:r>
          </w:p>
        </w:tc>
        <w:tc>
          <w:tcPr>
            <w:tcW w:w="9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0.3m</w:t>
            </w:r>
            <w:r>
              <w:rPr>
                <w:rFonts w:hint="default" w:ascii="Times New Roman" w:hAnsi="Times New Roman" w:eastAsia="宋体" w:cs="Times New Roman"/>
                <w:color w:val="auto"/>
                <w:sz w:val="21"/>
                <w:szCs w:val="21"/>
                <w:highlight w:val="none"/>
              </w:rPr>
              <w:t>g/</w:t>
            </w:r>
            <w:r>
              <w:rPr>
                <w:rFonts w:hint="default" w:ascii="Times New Roman" w:hAnsi="Times New Roman" w:eastAsia="宋体" w:cs="Times New Roman"/>
                <w:color w:val="auto"/>
                <w:sz w:val="21"/>
                <w:szCs w:val="21"/>
                <w:highlight w:val="none"/>
                <w:lang w:val="en-US" w:eastAsia="zh-CN"/>
              </w:rPr>
              <w:t>kg</w:t>
            </w:r>
          </w:p>
        </w:tc>
        <w:tc>
          <w:tcPr>
            <w:tcW w:w="9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90" w:hRule="atLeast"/>
          <w:jc w:val="center"/>
        </w:trPr>
        <w:tc>
          <w:tcPr>
            <w:tcW w:w="6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rPr>
              <w:t>6</w:t>
            </w:r>
          </w:p>
        </w:tc>
        <w:tc>
          <w:tcPr>
            <w:tcW w:w="9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铜</w:t>
            </w:r>
          </w:p>
        </w:tc>
        <w:tc>
          <w:tcPr>
            <w:tcW w:w="8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mg/</w:t>
            </w:r>
            <w:r>
              <w:rPr>
                <w:rFonts w:hint="eastAsia" w:ascii="Times New Roman" w:hAnsi="Times New Roman" w:eastAsia="宋体" w:cs="Times New Roman"/>
                <w:color w:val="auto"/>
                <w:sz w:val="21"/>
                <w:szCs w:val="21"/>
                <w:highlight w:val="none"/>
                <w:lang w:val="en-US" w:eastAsia="zh-CN"/>
              </w:rPr>
              <w:t>kg</w:t>
            </w:r>
          </w:p>
        </w:tc>
        <w:tc>
          <w:tcPr>
            <w:tcW w:w="15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25</w:t>
            </w:r>
          </w:p>
        </w:tc>
        <w:tc>
          <w:tcPr>
            <w:tcW w:w="15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25</w:t>
            </w:r>
          </w:p>
        </w:tc>
        <w:tc>
          <w:tcPr>
            <w:tcW w:w="13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22</w:t>
            </w:r>
          </w:p>
        </w:tc>
        <w:tc>
          <w:tcPr>
            <w:tcW w:w="9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w:t>
            </w:r>
            <w:r>
              <w:rPr>
                <w:rFonts w:hint="eastAsia"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rPr>
              <w:t>g/</w:t>
            </w:r>
            <w:r>
              <w:rPr>
                <w:rFonts w:hint="default" w:ascii="Times New Roman" w:hAnsi="Times New Roman" w:eastAsia="宋体" w:cs="Times New Roman"/>
                <w:color w:val="auto"/>
                <w:sz w:val="21"/>
                <w:szCs w:val="21"/>
                <w:highlight w:val="none"/>
                <w:lang w:val="en-US" w:eastAsia="zh-CN"/>
              </w:rPr>
              <w:t>kg</w:t>
            </w:r>
          </w:p>
        </w:tc>
        <w:tc>
          <w:tcPr>
            <w:tcW w:w="9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90" w:hRule="atLeast"/>
          <w:jc w:val="center"/>
        </w:trPr>
        <w:tc>
          <w:tcPr>
            <w:tcW w:w="6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rPr>
              <w:t>7</w:t>
            </w:r>
          </w:p>
        </w:tc>
        <w:tc>
          <w:tcPr>
            <w:tcW w:w="9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镍</w:t>
            </w:r>
          </w:p>
        </w:tc>
        <w:tc>
          <w:tcPr>
            <w:tcW w:w="8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mg/</w:t>
            </w:r>
            <w:r>
              <w:rPr>
                <w:rFonts w:hint="eastAsia" w:ascii="Times New Roman" w:hAnsi="Times New Roman" w:eastAsia="宋体" w:cs="Times New Roman"/>
                <w:color w:val="auto"/>
                <w:sz w:val="21"/>
                <w:szCs w:val="21"/>
                <w:highlight w:val="none"/>
                <w:lang w:val="en-US" w:eastAsia="zh-CN"/>
              </w:rPr>
              <w:t>kg</w:t>
            </w:r>
          </w:p>
        </w:tc>
        <w:tc>
          <w:tcPr>
            <w:tcW w:w="15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24</w:t>
            </w:r>
          </w:p>
        </w:tc>
        <w:tc>
          <w:tcPr>
            <w:tcW w:w="15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23</w:t>
            </w:r>
          </w:p>
        </w:tc>
        <w:tc>
          <w:tcPr>
            <w:tcW w:w="13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22</w:t>
            </w:r>
          </w:p>
        </w:tc>
        <w:tc>
          <w:tcPr>
            <w:tcW w:w="9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190m</w:t>
            </w:r>
            <w:r>
              <w:rPr>
                <w:rFonts w:hint="default" w:ascii="Times New Roman" w:hAnsi="Times New Roman" w:eastAsia="宋体" w:cs="Times New Roman"/>
                <w:color w:val="auto"/>
                <w:sz w:val="21"/>
                <w:szCs w:val="21"/>
                <w:highlight w:val="none"/>
              </w:rPr>
              <w:t>g/</w:t>
            </w:r>
            <w:r>
              <w:rPr>
                <w:rFonts w:hint="default" w:ascii="Times New Roman" w:hAnsi="Times New Roman" w:eastAsia="宋体" w:cs="Times New Roman"/>
                <w:color w:val="auto"/>
                <w:sz w:val="21"/>
                <w:szCs w:val="21"/>
                <w:highlight w:val="none"/>
                <w:lang w:val="en-US" w:eastAsia="zh-CN"/>
              </w:rPr>
              <w:t>kg</w:t>
            </w:r>
          </w:p>
        </w:tc>
        <w:tc>
          <w:tcPr>
            <w:tcW w:w="9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90" w:hRule="atLeast"/>
          <w:jc w:val="center"/>
        </w:trPr>
        <w:tc>
          <w:tcPr>
            <w:tcW w:w="6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rPr>
              <w:t>8</w:t>
            </w:r>
          </w:p>
        </w:tc>
        <w:tc>
          <w:tcPr>
            <w:tcW w:w="9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铬</w:t>
            </w:r>
          </w:p>
        </w:tc>
        <w:tc>
          <w:tcPr>
            <w:tcW w:w="8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mg/</w:t>
            </w:r>
            <w:r>
              <w:rPr>
                <w:rFonts w:hint="eastAsia" w:ascii="Times New Roman" w:hAnsi="Times New Roman" w:eastAsia="宋体" w:cs="Times New Roman"/>
                <w:color w:val="auto"/>
                <w:sz w:val="21"/>
                <w:szCs w:val="21"/>
                <w:highlight w:val="none"/>
                <w:lang w:val="en-US" w:eastAsia="zh-CN"/>
              </w:rPr>
              <w:t>kg</w:t>
            </w:r>
          </w:p>
        </w:tc>
        <w:tc>
          <w:tcPr>
            <w:tcW w:w="15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62</w:t>
            </w:r>
          </w:p>
        </w:tc>
        <w:tc>
          <w:tcPr>
            <w:tcW w:w="15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65</w:t>
            </w:r>
          </w:p>
        </w:tc>
        <w:tc>
          <w:tcPr>
            <w:tcW w:w="13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65</w:t>
            </w:r>
          </w:p>
        </w:tc>
        <w:tc>
          <w:tcPr>
            <w:tcW w:w="9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250m</w:t>
            </w:r>
            <w:r>
              <w:rPr>
                <w:rFonts w:hint="default" w:ascii="Times New Roman" w:hAnsi="Times New Roman" w:eastAsia="宋体" w:cs="Times New Roman"/>
                <w:color w:val="auto"/>
                <w:sz w:val="21"/>
                <w:szCs w:val="21"/>
                <w:highlight w:val="none"/>
              </w:rPr>
              <w:t>g/</w:t>
            </w:r>
            <w:r>
              <w:rPr>
                <w:rFonts w:hint="default" w:ascii="Times New Roman" w:hAnsi="Times New Roman" w:eastAsia="宋体" w:cs="Times New Roman"/>
                <w:color w:val="auto"/>
                <w:sz w:val="21"/>
                <w:szCs w:val="21"/>
                <w:highlight w:val="none"/>
                <w:lang w:val="en-US" w:eastAsia="zh-CN"/>
              </w:rPr>
              <w:t>kg</w:t>
            </w:r>
          </w:p>
        </w:tc>
        <w:tc>
          <w:tcPr>
            <w:tcW w:w="9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90" w:hRule="atLeast"/>
          <w:jc w:val="center"/>
        </w:trPr>
        <w:tc>
          <w:tcPr>
            <w:tcW w:w="6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9</w:t>
            </w:r>
          </w:p>
        </w:tc>
        <w:tc>
          <w:tcPr>
            <w:tcW w:w="9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锌</w:t>
            </w:r>
          </w:p>
        </w:tc>
        <w:tc>
          <w:tcPr>
            <w:tcW w:w="8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mg/</w:t>
            </w:r>
            <w:r>
              <w:rPr>
                <w:rFonts w:hint="eastAsia" w:ascii="Times New Roman" w:hAnsi="Times New Roman" w:eastAsia="宋体" w:cs="Times New Roman"/>
                <w:color w:val="auto"/>
                <w:sz w:val="21"/>
                <w:szCs w:val="21"/>
                <w:highlight w:val="none"/>
                <w:lang w:val="en-US" w:eastAsia="zh-CN"/>
              </w:rPr>
              <w:t>kg</w:t>
            </w:r>
          </w:p>
        </w:tc>
        <w:tc>
          <w:tcPr>
            <w:tcW w:w="15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49</w:t>
            </w:r>
          </w:p>
        </w:tc>
        <w:tc>
          <w:tcPr>
            <w:tcW w:w="15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48</w:t>
            </w:r>
          </w:p>
        </w:tc>
        <w:tc>
          <w:tcPr>
            <w:tcW w:w="13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44</w:t>
            </w:r>
          </w:p>
        </w:tc>
        <w:tc>
          <w:tcPr>
            <w:tcW w:w="9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00</w:t>
            </w:r>
            <w:r>
              <w:rPr>
                <w:rFonts w:hint="eastAsia"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rPr>
              <w:t>g/</w:t>
            </w:r>
            <w:r>
              <w:rPr>
                <w:rFonts w:hint="default" w:ascii="Times New Roman" w:hAnsi="Times New Roman" w:eastAsia="宋体" w:cs="Times New Roman"/>
                <w:color w:val="auto"/>
                <w:sz w:val="21"/>
                <w:szCs w:val="21"/>
                <w:highlight w:val="none"/>
                <w:lang w:val="en-US" w:eastAsia="zh-CN"/>
              </w:rPr>
              <w:t>kg</w:t>
            </w:r>
          </w:p>
        </w:tc>
        <w:tc>
          <w:tcPr>
            <w:tcW w:w="9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通过表4.2-</w:t>
      </w:r>
      <w:r>
        <w:rPr>
          <w:rFonts w:hint="default" w:ascii="Times New Roman" w:hAnsi="Times New Roman" w:cs="Times New Roman"/>
          <w:color w:val="auto"/>
          <w:highlight w:val="none"/>
          <w:lang w:val="en-US" w:eastAsia="zh-CN"/>
        </w:rPr>
        <w:t>10</w:t>
      </w:r>
      <w:r>
        <w:rPr>
          <w:rFonts w:hint="default" w:ascii="Times New Roman" w:hAnsi="Times New Roman" w:eastAsia="宋体" w:cs="Times New Roman"/>
          <w:color w:val="auto"/>
          <w:highlight w:val="none"/>
        </w:rPr>
        <w:t xml:space="preserve">，项目所在区域土壤环境质量现状良好。监测因子能够满足《土壤环境质量 </w:t>
      </w:r>
      <w:r>
        <w:rPr>
          <w:rFonts w:hint="default" w:ascii="Times New Roman" w:hAnsi="Times New Roman" w:cs="Times New Roman"/>
          <w:color w:val="auto"/>
          <w:highlight w:val="none"/>
          <w:lang w:eastAsia="zh-CN"/>
        </w:rPr>
        <w:t>农用地土壤污染风险管控标准（试行）</w:t>
      </w:r>
      <w:r>
        <w:rPr>
          <w:rFonts w:hint="default" w:ascii="Times New Roman" w:hAnsi="Times New Roman" w:eastAsia="宋体" w:cs="Times New Roman"/>
          <w:color w:val="auto"/>
          <w:highlight w:val="none"/>
        </w:rPr>
        <w:t>》（GB15618-2018）表1</w:t>
      </w:r>
      <w:r>
        <w:rPr>
          <w:rFonts w:hint="default" w:ascii="Times New Roman" w:hAnsi="Times New Roman" w:cs="Times New Roman"/>
          <w:color w:val="auto"/>
          <w:highlight w:val="none"/>
          <w:lang w:eastAsia="zh-CN"/>
        </w:rPr>
        <w:t>农用地土壤污染风险</w:t>
      </w:r>
      <w:r>
        <w:rPr>
          <w:rFonts w:hint="default" w:ascii="Times New Roman" w:hAnsi="Times New Roman" w:eastAsia="宋体" w:cs="Times New Roman"/>
          <w:color w:val="auto"/>
          <w:highlight w:val="none"/>
        </w:rPr>
        <w:t>筛选值及</w:t>
      </w:r>
      <w:r>
        <w:rPr>
          <w:rFonts w:hint="default" w:ascii="Times New Roman" w:hAnsi="Times New Roman" w:eastAsia="宋体" w:cs="Times New Roman"/>
          <w:color w:val="auto"/>
          <w:highlight w:val="none"/>
          <w:lang w:val="zh-CN"/>
        </w:rPr>
        <w:t>《</w:t>
      </w:r>
      <w:r>
        <w:rPr>
          <w:rFonts w:hint="default" w:ascii="Times New Roman" w:hAnsi="Times New Roman" w:eastAsia="宋体" w:cs="Times New Roman"/>
          <w:color w:val="auto"/>
          <w:highlight w:val="none"/>
        </w:rPr>
        <w:t>畜禽场环境质量及卫生控制规范</w:t>
      </w:r>
      <w:r>
        <w:rPr>
          <w:rFonts w:hint="default" w:ascii="Times New Roman" w:hAnsi="Times New Roman" w:eastAsia="宋体" w:cs="Times New Roman"/>
          <w:color w:val="auto"/>
          <w:highlight w:val="none"/>
          <w:lang w:val="zh-CN"/>
        </w:rPr>
        <w:t>》（</w:t>
      </w:r>
      <w:r>
        <w:rPr>
          <w:rFonts w:hint="default" w:ascii="Times New Roman" w:hAnsi="Times New Roman" w:eastAsia="宋体" w:cs="Times New Roman"/>
          <w:color w:val="auto"/>
          <w:highlight w:val="none"/>
        </w:rPr>
        <w:t>NY</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T 1167-2006）中“表1”和</w:t>
      </w:r>
      <w:r>
        <w:rPr>
          <w:rFonts w:hint="default" w:ascii="Times New Roman" w:hAnsi="Times New Roman" w:eastAsia="宋体" w:cs="Times New Roman"/>
          <w:color w:val="auto"/>
          <w:highlight w:val="none"/>
          <w:lang w:val="zh-CN"/>
        </w:rPr>
        <w:t>《</w:t>
      </w:r>
      <w:r>
        <w:rPr>
          <w:rFonts w:hint="default" w:ascii="Times New Roman" w:hAnsi="Times New Roman" w:eastAsia="宋体" w:cs="Times New Roman"/>
          <w:color w:val="auto"/>
          <w:highlight w:val="none"/>
        </w:rPr>
        <w:t>畜禽养殖产地环境评价规范</w:t>
      </w:r>
      <w:r>
        <w:rPr>
          <w:rFonts w:hint="default" w:ascii="Times New Roman" w:hAnsi="Times New Roman" w:eastAsia="宋体" w:cs="Times New Roman"/>
          <w:color w:val="auto"/>
          <w:highlight w:val="none"/>
          <w:lang w:val="zh-CN"/>
        </w:rPr>
        <w:t>》（</w:t>
      </w:r>
      <w:r>
        <w:rPr>
          <w:rFonts w:hint="default" w:ascii="Times New Roman" w:hAnsi="Times New Roman" w:eastAsia="宋体" w:cs="Times New Roman"/>
          <w:color w:val="auto"/>
          <w:highlight w:val="none"/>
        </w:rPr>
        <w:t>HJ</w:t>
      </w:r>
      <w:r>
        <w:rPr>
          <w:rFonts w:hint="default" w:ascii="Times New Roman" w:hAnsi="Times New Roman" w:eastAsia="宋体" w:cs="Times New Roman"/>
          <w:color w:val="auto"/>
          <w:highlight w:val="none"/>
          <w:lang w:eastAsia="zh-CN"/>
        </w:rPr>
        <w:t>568-2010</w:t>
      </w:r>
      <w:r>
        <w:rPr>
          <w:rFonts w:hint="default" w:ascii="Times New Roman" w:hAnsi="Times New Roman" w:eastAsia="宋体" w:cs="Times New Roman"/>
          <w:color w:val="auto"/>
          <w:highlight w:val="none"/>
        </w:rPr>
        <w:t>）中“表4”标准要求。</w:t>
      </w:r>
    </w:p>
    <w:p>
      <w:pPr>
        <w:pStyle w:val="5"/>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rPr>
      </w:pPr>
      <w:bookmarkStart w:id="219" w:name="_Toc518897976"/>
      <w:bookmarkStart w:id="220" w:name="_Toc19775"/>
      <w:bookmarkStart w:id="221" w:name="_Toc6418"/>
      <w:r>
        <w:rPr>
          <w:rFonts w:hint="default" w:ascii="Times New Roman" w:hAnsi="Times New Roman" w:eastAsia="宋体" w:cs="Times New Roman"/>
          <w:color w:val="auto"/>
          <w:highlight w:val="none"/>
        </w:rPr>
        <w:t>生态环境调查与评价</w:t>
      </w:r>
      <w:bookmarkEnd w:id="219"/>
      <w:bookmarkEnd w:id="220"/>
      <w:bookmarkEnd w:id="221"/>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（1）生态功能区划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cs="Times New Roman"/>
          <w:color w:val="auto"/>
          <w:highlight w:val="none"/>
        </w:rPr>
        <w:t>根据《新疆生态功能区划》，</w:t>
      </w:r>
      <w:r>
        <w:rPr>
          <w:rFonts w:hint="default" w:ascii="Times New Roman" w:hAnsi="Times New Roman" w:eastAsia="宋体" w:cs="Times New Roman"/>
          <w:color w:val="auto"/>
          <w:sz w:val="24"/>
          <w:highlight w:val="none"/>
        </w:rPr>
        <w:t>项</w:t>
      </w:r>
      <w:r>
        <w:rPr>
          <w:rFonts w:hint="default" w:ascii="Times New Roman" w:hAnsi="Times New Roman" w:eastAsia="宋体" w:cs="Times New Roman"/>
          <w:color w:val="auto"/>
          <w:sz w:val="24"/>
        </w:rPr>
        <w:t>目位于阿尔泰—准噶尔西部山地温凉森林、草原生态区</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准噶尔西部山地草原牧业及盆地绿洲农业生态亚区</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塔城盆地绿洲农业生态功能</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项目所在区域生态功能区划见</w:t>
      </w:r>
      <w:r>
        <w:rPr>
          <w:rFonts w:hint="default" w:ascii="Times New Roman" w:hAnsi="Times New Roman" w:eastAsia="宋体" w:cs="Times New Roman"/>
          <w:color w:val="auto"/>
          <w:sz w:val="24"/>
          <w:highlight w:val="none"/>
        </w:rPr>
        <w:t>表</w:t>
      </w:r>
      <w:r>
        <w:rPr>
          <w:rFonts w:hint="default" w:ascii="Times New Roman" w:hAnsi="Times New Roman" w:cs="Times New Roman"/>
          <w:color w:val="auto"/>
          <w:sz w:val="24"/>
          <w:highlight w:val="none"/>
          <w:lang w:val="en-US" w:eastAsia="zh-CN"/>
        </w:rPr>
        <w:t>4.2-11</w:t>
      </w:r>
      <w:r>
        <w:rPr>
          <w:rFonts w:hint="default" w:ascii="Times New Roman" w:hAnsi="Times New Roman" w:eastAsia="宋体" w:cs="Times New Roman"/>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pacing w:val="16"/>
          <w:sz w:val="21"/>
          <w:szCs w:val="21"/>
          <w:lang w:val="zh-CN"/>
        </w:rPr>
      </w:pPr>
      <w:r>
        <w:rPr>
          <w:rFonts w:hint="default" w:ascii="Times New Roman" w:hAnsi="Times New Roman" w:eastAsia="宋体" w:cs="Times New Roman"/>
          <w:b/>
          <w:bCs w:val="0"/>
          <w:color w:val="auto"/>
          <w:spacing w:val="16"/>
          <w:sz w:val="21"/>
          <w:szCs w:val="21"/>
          <w:lang w:val="zh-CN"/>
        </w:rPr>
        <w:t>表</w:t>
      </w:r>
      <w:r>
        <w:rPr>
          <w:rFonts w:hint="default" w:ascii="Times New Roman" w:hAnsi="Times New Roman" w:cs="Times New Roman"/>
          <w:b/>
          <w:bCs w:val="0"/>
          <w:color w:val="auto"/>
          <w:spacing w:val="16"/>
          <w:sz w:val="21"/>
          <w:szCs w:val="21"/>
          <w:lang w:val="en-US" w:eastAsia="zh-CN"/>
        </w:rPr>
        <w:t>4.2-11</w:t>
      </w:r>
      <w:r>
        <w:rPr>
          <w:rFonts w:hint="default" w:ascii="Times New Roman" w:hAnsi="Times New Roman" w:eastAsia="宋体" w:cs="Times New Roman"/>
          <w:b/>
          <w:bCs w:val="0"/>
          <w:color w:val="auto"/>
          <w:spacing w:val="16"/>
          <w:sz w:val="21"/>
          <w:szCs w:val="21"/>
          <w:lang w:val="en-US" w:eastAsia="zh-CN"/>
        </w:rPr>
        <w:t xml:space="preserve">    </w:t>
      </w:r>
      <w:r>
        <w:rPr>
          <w:rFonts w:hint="default" w:ascii="Times New Roman" w:hAnsi="Times New Roman" w:eastAsia="宋体" w:cs="Times New Roman"/>
          <w:b/>
          <w:bCs w:val="0"/>
          <w:color w:val="auto"/>
          <w:spacing w:val="16"/>
          <w:sz w:val="21"/>
          <w:szCs w:val="21"/>
          <w:lang w:val="zh-CN"/>
        </w:rPr>
        <w:t xml:space="preserve">  项目所在区域生态功能区划</w:t>
      </w:r>
    </w:p>
    <w:tbl>
      <w:tblPr>
        <w:tblStyle w:val="3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9"/>
        <w:gridCol w:w="1407"/>
        <w:gridCol w:w="66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zh-CN"/>
              </w:rPr>
            </w:pPr>
            <w:r>
              <w:rPr>
                <w:rFonts w:hint="default" w:ascii="Times New Roman" w:hAnsi="Times New Roman" w:eastAsia="宋体" w:cs="Times New Roman"/>
                <w:b w:val="0"/>
                <w:bCs/>
                <w:color w:val="auto"/>
                <w:sz w:val="21"/>
                <w:szCs w:val="21"/>
              </w:rPr>
              <w:t>生态功能分区单元</w:t>
            </w:r>
          </w:p>
        </w:tc>
        <w:tc>
          <w:tcPr>
            <w:tcW w:w="1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zh-CN"/>
              </w:rPr>
            </w:pPr>
            <w:r>
              <w:rPr>
                <w:rFonts w:hint="default" w:ascii="Times New Roman" w:hAnsi="Times New Roman" w:eastAsia="宋体" w:cs="Times New Roman"/>
                <w:b w:val="0"/>
                <w:bCs/>
                <w:color w:val="auto"/>
                <w:sz w:val="21"/>
                <w:szCs w:val="21"/>
              </w:rPr>
              <w:t>生态区</w:t>
            </w:r>
          </w:p>
        </w:tc>
        <w:tc>
          <w:tcPr>
            <w:tcW w:w="66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zh-CN"/>
              </w:rPr>
            </w:pPr>
            <w:r>
              <w:rPr>
                <w:rFonts w:hint="default" w:ascii="Times New Roman" w:hAnsi="Times New Roman" w:eastAsia="宋体" w:cs="Times New Roman"/>
                <w:b w:val="0"/>
                <w:bCs/>
                <w:color w:val="auto"/>
                <w:sz w:val="21"/>
                <w:szCs w:val="21"/>
              </w:rPr>
              <w:t>Ⅰ 阿尔泰—准噶尔西部山地温凉森林、草原生态区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zh-CN"/>
              </w:rPr>
            </w:pPr>
          </w:p>
        </w:tc>
        <w:tc>
          <w:tcPr>
            <w:tcW w:w="1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zh-CN"/>
              </w:rPr>
            </w:pPr>
            <w:r>
              <w:rPr>
                <w:rFonts w:hint="default" w:ascii="Times New Roman" w:hAnsi="Times New Roman" w:eastAsia="宋体" w:cs="Times New Roman"/>
                <w:b w:val="0"/>
                <w:bCs/>
                <w:color w:val="auto"/>
                <w:sz w:val="21"/>
                <w:szCs w:val="21"/>
              </w:rPr>
              <w:t>生态亚区</w:t>
            </w:r>
          </w:p>
        </w:tc>
        <w:tc>
          <w:tcPr>
            <w:tcW w:w="66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zh-CN"/>
              </w:rPr>
            </w:pPr>
            <w:r>
              <w:rPr>
                <w:rFonts w:hint="default" w:ascii="Times New Roman" w:hAnsi="Times New Roman" w:eastAsia="宋体" w:cs="Times New Roman"/>
                <w:b w:val="0"/>
                <w:bCs/>
                <w:color w:val="auto"/>
                <w:sz w:val="21"/>
                <w:szCs w:val="21"/>
              </w:rPr>
              <w:t>Ⅰ</w:t>
            </w:r>
            <w:r>
              <w:rPr>
                <w:rFonts w:hint="default" w:ascii="Times New Roman" w:hAnsi="Times New Roman" w:eastAsia="宋体" w:cs="Times New Roman"/>
                <w:b w:val="0"/>
                <w:bCs/>
                <w:color w:val="auto"/>
                <w:sz w:val="21"/>
                <w:szCs w:val="21"/>
                <w:vertAlign w:val="subscript"/>
              </w:rPr>
              <w:t>3</w:t>
            </w:r>
            <w:r>
              <w:rPr>
                <w:rFonts w:hint="default" w:ascii="Times New Roman" w:hAnsi="Times New Roman" w:eastAsia="宋体" w:cs="Times New Roman"/>
                <w:b w:val="0"/>
                <w:bCs/>
                <w:color w:val="auto"/>
                <w:sz w:val="21"/>
                <w:szCs w:val="21"/>
              </w:rPr>
              <w:t xml:space="preserve"> 准噶尔西部山地草原牧业及盆地绿洲农业生态亚区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zh-CN"/>
              </w:rPr>
            </w:pPr>
          </w:p>
        </w:tc>
        <w:tc>
          <w:tcPr>
            <w:tcW w:w="1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zh-CN"/>
              </w:rPr>
            </w:pPr>
            <w:r>
              <w:rPr>
                <w:rFonts w:hint="default" w:ascii="Times New Roman" w:hAnsi="Times New Roman" w:eastAsia="宋体" w:cs="Times New Roman"/>
                <w:b w:val="0"/>
                <w:bCs/>
                <w:color w:val="auto"/>
                <w:sz w:val="21"/>
                <w:szCs w:val="21"/>
              </w:rPr>
              <w:t>生态功能区</w:t>
            </w:r>
          </w:p>
        </w:tc>
        <w:tc>
          <w:tcPr>
            <w:tcW w:w="66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zh-CN"/>
              </w:rPr>
            </w:pPr>
            <w:r>
              <w:rPr>
                <w:rFonts w:hint="default" w:ascii="Times New Roman" w:hAnsi="Times New Roman" w:eastAsia="宋体" w:cs="Times New Roman"/>
                <w:b w:val="0"/>
                <w:bCs/>
                <w:color w:val="auto"/>
                <w:sz w:val="21"/>
                <w:szCs w:val="21"/>
              </w:rPr>
              <w:t>11．塔城盆地绿洲农业生态功能区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0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隶属行政区</w:t>
            </w:r>
          </w:p>
        </w:tc>
        <w:tc>
          <w:tcPr>
            <w:tcW w:w="66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塔城市、额敏县、裕民县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0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主要生态服务功能</w:t>
            </w:r>
          </w:p>
        </w:tc>
        <w:tc>
          <w:tcPr>
            <w:tcW w:w="66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农产品生产、人居环境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0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主要生态环境问题</w:t>
            </w:r>
          </w:p>
        </w:tc>
        <w:tc>
          <w:tcPr>
            <w:tcW w:w="66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土壤有机质下降、土壤侵蚀、农田土壤环境质量下降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0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zh-CN"/>
              </w:rPr>
            </w:pPr>
            <w:r>
              <w:rPr>
                <w:rFonts w:hint="default" w:ascii="Times New Roman" w:hAnsi="Times New Roman" w:eastAsia="宋体" w:cs="Times New Roman"/>
                <w:b w:val="0"/>
                <w:bCs/>
                <w:color w:val="auto"/>
                <w:sz w:val="21"/>
                <w:szCs w:val="21"/>
              </w:rPr>
              <w:t>主要保护目标</w:t>
            </w:r>
          </w:p>
        </w:tc>
        <w:tc>
          <w:tcPr>
            <w:tcW w:w="66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保护基本农田、保护土壤环境质量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0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zh-CN"/>
              </w:rPr>
            </w:pPr>
            <w:r>
              <w:rPr>
                <w:rFonts w:hint="default" w:ascii="Times New Roman" w:hAnsi="Times New Roman" w:eastAsia="宋体" w:cs="Times New Roman"/>
                <w:b w:val="0"/>
                <w:bCs/>
                <w:color w:val="auto"/>
                <w:sz w:val="21"/>
                <w:szCs w:val="21"/>
              </w:rPr>
              <w:t>主要保护措施</w:t>
            </w:r>
          </w:p>
        </w:tc>
        <w:tc>
          <w:tcPr>
            <w:tcW w:w="66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节水灌溉、种植牧草培肥土壤、加强农田投入品管理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0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zh-CN"/>
              </w:rPr>
            </w:pPr>
            <w:r>
              <w:rPr>
                <w:rFonts w:hint="default" w:ascii="Times New Roman" w:hAnsi="Times New Roman" w:eastAsia="宋体" w:cs="Times New Roman"/>
                <w:b w:val="0"/>
                <w:bCs/>
                <w:color w:val="auto"/>
                <w:sz w:val="21"/>
                <w:szCs w:val="21"/>
              </w:rPr>
              <w:t>适宜发展方向</w:t>
            </w:r>
          </w:p>
        </w:tc>
        <w:tc>
          <w:tcPr>
            <w:tcW w:w="66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建立优质、高效、高产的粮油、饲草料基地，发展农区畜牧业</w:t>
            </w:r>
          </w:p>
        </w:tc>
      </w:tr>
    </w:tbl>
    <w:p>
      <w:pPr>
        <w:keepNext w:val="0"/>
        <w:keepLines w:val="0"/>
        <w:pageBreakBefore w:val="0"/>
        <w:widowControl w:val="0"/>
        <w:kinsoku/>
        <w:wordWrap/>
        <w:overflowPunct/>
        <w:topLinePunct w:val="0"/>
        <w:autoSpaceDE w:val="0"/>
        <w:autoSpaceDN w:val="0"/>
        <w:bidi w:val="0"/>
        <w:adjustRightInd w:val="0"/>
        <w:snapToGrid w:val="0"/>
        <w:spacing w:before="157" w:beforeLines="50"/>
        <w:ind w:left="0" w:leftChars="0" w:right="0" w:rightChars="0"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（2）生态现状调查</w:t>
      </w:r>
    </w:p>
    <w:p>
      <w:pPr>
        <w:pageBreakBefore w:val="0"/>
        <w:wordWrap/>
        <w:autoSpaceDE w:val="0"/>
        <w:autoSpaceDN w:val="0"/>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①土壤类型调查</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本项目土壤类型为</w:t>
      </w:r>
      <w:r>
        <w:rPr>
          <w:rFonts w:hint="default" w:ascii="Times New Roman" w:hAnsi="Times New Roman" w:cs="Times New Roman"/>
          <w:color w:val="auto"/>
          <w:highlight w:val="none"/>
          <w:lang w:eastAsia="zh-CN"/>
        </w:rPr>
        <w:t>灰色草甸土</w:t>
      </w:r>
      <w:r>
        <w:rPr>
          <w:rFonts w:hint="default" w:ascii="Times New Roman" w:hAnsi="Times New Roman" w:eastAsia="宋体" w:cs="Times New Roman"/>
          <w:color w:val="auto"/>
          <w:highlight w:val="none"/>
        </w:rPr>
        <w:t>，土壤类型见图4.2-2。</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②土地利用现状调查</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eastAsia" w:cs="Times New Roman"/>
          <w:color w:val="auto"/>
          <w:highlight w:val="none"/>
          <w:lang w:val="en-US" w:eastAsia="zh-CN"/>
        </w:rPr>
        <w:t>本项目</w:t>
      </w:r>
      <w:r>
        <w:rPr>
          <w:rFonts w:hint="default" w:ascii="Times New Roman" w:hAnsi="Times New Roman" w:eastAsia="宋体" w:cs="Times New Roman"/>
          <w:color w:val="auto"/>
          <w:highlight w:val="none"/>
          <w:lang w:val="en-US" w:eastAsia="zh-CN"/>
        </w:rPr>
        <w:t>土地利用类型</w:t>
      </w:r>
      <w:r>
        <w:rPr>
          <w:rFonts w:hint="default" w:ascii="Times New Roman" w:hAnsi="Times New Roman" w:eastAsia="宋体" w:cs="Times New Roman"/>
          <w:color w:val="auto"/>
          <w:highlight w:val="none"/>
        </w:rPr>
        <w:t>为</w:t>
      </w:r>
      <w:r>
        <w:rPr>
          <w:rFonts w:hint="default" w:ascii="Times New Roman" w:hAnsi="Times New Roman" w:cs="Times New Roman"/>
          <w:color w:val="auto"/>
          <w:highlight w:val="none"/>
          <w:lang w:eastAsia="zh-CN"/>
        </w:rPr>
        <w:t>草地和裸地，土地利用类型见图4.2-</w:t>
      </w:r>
      <w:r>
        <w:rPr>
          <w:rFonts w:hint="default" w:ascii="Times New Roman" w:hAnsi="Times New Roman" w:cs="Times New Roman"/>
          <w:color w:val="auto"/>
          <w:highlight w:val="none"/>
          <w:lang w:val="en-US" w:eastAsia="zh-CN"/>
        </w:rPr>
        <w:t>3</w:t>
      </w:r>
      <w:r>
        <w:rPr>
          <w:rFonts w:hint="default" w:ascii="Times New Roman" w:hAnsi="Times New Roman" w:eastAsia="宋体" w:cs="Times New Roman"/>
          <w:color w:val="auto"/>
          <w:highlight w:val="none"/>
        </w:rPr>
        <w:t>。</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③植物现状调查</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lang w:eastAsia="zh-CN"/>
        </w:rPr>
        <w:sectPr>
          <w:pgSz w:w="11906" w:h="16838"/>
          <w:pgMar w:top="1440" w:right="1531"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cs="Times New Roman"/>
          <w:color w:val="auto"/>
          <w:highlight w:val="none"/>
          <w:lang w:val="en-US" w:eastAsia="zh-CN"/>
        </w:rPr>
        <w:t>本项目所在区域为三类天然牧草地。</w:t>
      </w:r>
      <w:r>
        <w:rPr>
          <w:rFonts w:hint="default" w:ascii="Times New Roman" w:hAnsi="Times New Roman" w:eastAsia="宋体" w:cs="Times New Roman"/>
          <w:color w:val="auto"/>
          <w:highlight w:val="none"/>
          <w:lang w:eastAsia="zh-CN"/>
        </w:rPr>
        <w:t>根据现场勘查，项目区域内植被覆盖</w:t>
      </w:r>
      <w:r>
        <w:rPr>
          <w:rFonts w:hint="eastAsia" w:ascii="Times New Roman" w:hAnsi="Times New Roman" w:eastAsia="宋体" w:cs="Times New Roman"/>
          <w:color w:val="auto"/>
          <w:highlight w:val="none"/>
          <w:lang w:val="en-US" w:eastAsia="zh-CN"/>
        </w:rPr>
        <w:t>度约为50%</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eastAsia="zh-CN"/>
        </w:rPr>
        <w:t>没有国家及自治区级珍稀濒危保护植物分布</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eastAsia="zh-CN"/>
        </w:rPr>
        <w:t>地表自然植被主要是多种耐旱、耐盐植被。植被类型见图4.2-</w:t>
      </w:r>
      <w:r>
        <w:rPr>
          <w:rFonts w:hint="default"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lang w:eastAsia="zh-CN"/>
        </w:rPr>
        <w:t>。</w:t>
      </w:r>
    </w:p>
    <w:p>
      <w:pPr>
        <w:pageBreakBefore w:val="0"/>
        <w:wordWrap/>
        <w:bidi w:val="0"/>
        <w:adjustRightInd w:val="0"/>
        <w:ind w:left="0" w:leftChars="0" w:right="0" w:rightChars="0" w:firstLine="0" w:firstLineChars="0"/>
        <w:jc w:val="center"/>
        <w:rPr>
          <w:rFonts w:hint="default" w:ascii="Times New Roman" w:hAnsi="Times New Roman" w:eastAsia="宋体" w:cs="Times New Roman"/>
          <w:color w:val="auto"/>
          <w:highlight w:val="yellow"/>
          <w:lang w:eastAsia="zh-CN"/>
        </w:rPr>
      </w:pPr>
      <w:r>
        <w:rPr>
          <w:color w:val="auto"/>
        </w:rPr>
        <w:drawing>
          <wp:anchor distT="0" distB="0" distL="114300" distR="114300" simplePos="0" relativeHeight="251697152" behindDoc="0" locked="0" layoutInCell="1" allowOverlap="1">
            <wp:simplePos x="0" y="0"/>
            <wp:positionH relativeFrom="column">
              <wp:posOffset>8046720</wp:posOffset>
            </wp:positionH>
            <wp:positionV relativeFrom="paragraph">
              <wp:posOffset>233680</wp:posOffset>
            </wp:positionV>
            <wp:extent cx="600710" cy="845820"/>
            <wp:effectExtent l="0" t="0" r="8890" b="11430"/>
            <wp:wrapNone/>
            <wp:docPr id="8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
                    <pic:cNvPicPr>
                      <a:picLocks noChangeAspect="1"/>
                    </pic:cNvPicPr>
                  </pic:nvPicPr>
                  <pic:blipFill>
                    <a:blip r:embed="rId40"/>
                    <a:stretch>
                      <a:fillRect/>
                    </a:stretch>
                  </pic:blipFill>
                  <pic:spPr>
                    <a:xfrm>
                      <a:off x="0" y="0"/>
                      <a:ext cx="600710" cy="845820"/>
                    </a:xfrm>
                    <a:prstGeom prst="rect">
                      <a:avLst/>
                    </a:prstGeom>
                    <a:noFill/>
                    <a:ln>
                      <a:noFill/>
                    </a:ln>
                  </pic:spPr>
                </pic:pic>
              </a:graphicData>
            </a:graphic>
          </wp:anchor>
        </w:drawing>
      </w:r>
      <w:r>
        <w:rPr>
          <w:rFonts w:hint="default" w:ascii="Times New Roman" w:hAnsi="Times New Roman" w:eastAsia="宋体" w:cs="Times New Roman"/>
          <w:color w:val="auto"/>
          <w:highlight w:val="yellow"/>
          <w:lang w:eastAsia="zh-CN"/>
        </w:rPr>
        <w:drawing>
          <wp:anchor distT="0" distB="0" distL="114300" distR="114300" simplePos="0" relativeHeight="251677696" behindDoc="0" locked="0" layoutInCell="1" allowOverlap="1">
            <wp:simplePos x="0" y="0"/>
            <wp:positionH relativeFrom="column">
              <wp:posOffset>1631950</wp:posOffset>
            </wp:positionH>
            <wp:positionV relativeFrom="paragraph">
              <wp:posOffset>2278380</wp:posOffset>
            </wp:positionV>
            <wp:extent cx="1927860" cy="1029335"/>
            <wp:effectExtent l="0" t="0" r="7620" b="6985"/>
            <wp:wrapNone/>
            <wp:docPr id="27" name="图片 27" descr="168317138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83171382146"/>
                    <pic:cNvPicPr>
                      <a:picLocks noChangeAspect="1"/>
                    </pic:cNvPicPr>
                  </pic:nvPicPr>
                  <pic:blipFill>
                    <a:blip r:embed="rId45"/>
                    <a:stretch>
                      <a:fillRect/>
                    </a:stretch>
                  </pic:blipFill>
                  <pic:spPr>
                    <a:xfrm>
                      <a:off x="0" y="0"/>
                      <a:ext cx="1927860" cy="1029335"/>
                    </a:xfrm>
                    <a:prstGeom prst="rect">
                      <a:avLst/>
                    </a:prstGeom>
                  </pic:spPr>
                </pic:pic>
              </a:graphicData>
            </a:graphic>
          </wp:anchor>
        </w:drawing>
      </w:r>
      <w:r>
        <w:rPr>
          <w:rFonts w:hint="default" w:ascii="Times New Roman" w:hAnsi="Times New Roman" w:cs="Times New Roman"/>
          <w:color w:val="auto"/>
        </w:rPr>
        <w:drawing>
          <wp:inline distT="0" distB="0" distL="114300" distR="114300">
            <wp:extent cx="8859520" cy="4930775"/>
            <wp:effectExtent l="0" t="0" r="0" b="0"/>
            <wp:docPr id="6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
                    <pic:cNvPicPr>
                      <a:picLocks noChangeAspect="1"/>
                    </pic:cNvPicPr>
                  </pic:nvPicPr>
                  <pic:blipFill>
                    <a:blip r:embed="rId46"/>
                    <a:srcRect t="5881" b="924"/>
                    <a:stretch>
                      <a:fillRect/>
                    </a:stretch>
                  </pic:blipFill>
                  <pic:spPr>
                    <a:xfrm>
                      <a:off x="0" y="0"/>
                      <a:ext cx="8859520" cy="4930775"/>
                    </a:xfrm>
                    <a:prstGeom prst="rect">
                      <a:avLst/>
                    </a:prstGeom>
                    <a:noFill/>
                    <a:ln>
                      <a:noFill/>
                    </a:ln>
                  </pic:spPr>
                </pic:pic>
              </a:graphicData>
            </a:graphic>
          </wp:inline>
        </w:drawing>
      </w:r>
    </w:p>
    <w:p>
      <w:pPr>
        <w:pageBreakBefore w:val="0"/>
        <w:wordWrap/>
        <w:bidi w:val="0"/>
        <w:adjustRightInd w:val="0"/>
        <w:ind w:left="0" w:leftChars="0" w:right="0" w:rightChars="0" w:firstLine="0" w:firstLineChars="0"/>
        <w:jc w:val="center"/>
        <w:rPr>
          <w:rFonts w:hint="default" w:ascii="Times New Roman" w:hAnsi="Times New Roman" w:cs="Times New Roman"/>
          <w:color w:val="auto"/>
        </w:rPr>
      </w:pPr>
      <w:r>
        <w:rPr>
          <w:rFonts w:hint="default" w:ascii="Times New Roman" w:hAnsi="Times New Roman" w:eastAsia="宋体" w:cs="Times New Roman"/>
          <w:b/>
          <w:bCs/>
          <w:color w:val="auto"/>
          <w:highlight w:val="none"/>
        </w:rPr>
        <w:t>图4.2-2  土壤类型图</w:t>
      </w:r>
      <w:r>
        <w:rPr>
          <w:color w:val="auto"/>
        </w:rPr>
        <w:drawing>
          <wp:anchor distT="0" distB="0" distL="114300" distR="114300" simplePos="0" relativeHeight="251698176" behindDoc="0" locked="0" layoutInCell="1" allowOverlap="1">
            <wp:simplePos x="0" y="0"/>
            <wp:positionH relativeFrom="column">
              <wp:posOffset>8183245</wp:posOffset>
            </wp:positionH>
            <wp:positionV relativeFrom="paragraph">
              <wp:posOffset>165735</wp:posOffset>
            </wp:positionV>
            <wp:extent cx="600710" cy="845820"/>
            <wp:effectExtent l="0" t="0" r="8890" b="11430"/>
            <wp:wrapNone/>
            <wp:docPr id="8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5"/>
                    <pic:cNvPicPr>
                      <a:picLocks noChangeAspect="1"/>
                    </pic:cNvPicPr>
                  </pic:nvPicPr>
                  <pic:blipFill>
                    <a:blip r:embed="rId40"/>
                    <a:stretch>
                      <a:fillRect/>
                    </a:stretch>
                  </pic:blipFill>
                  <pic:spPr>
                    <a:xfrm>
                      <a:off x="0" y="0"/>
                      <a:ext cx="600710" cy="845820"/>
                    </a:xfrm>
                    <a:prstGeom prst="rect">
                      <a:avLst/>
                    </a:prstGeom>
                    <a:noFill/>
                    <a:ln>
                      <a:noFill/>
                    </a:ln>
                  </pic:spPr>
                </pic:pic>
              </a:graphicData>
            </a:graphic>
          </wp:anchor>
        </w:drawing>
      </w:r>
      <w:r>
        <w:rPr>
          <w:rFonts w:hint="default" w:ascii="Times New Roman" w:hAnsi="Times New Roman" w:cs="Times New Roman"/>
          <w:color w:val="auto"/>
        </w:rPr>
        <w:drawing>
          <wp:anchor distT="0" distB="0" distL="114300" distR="114300" simplePos="0" relativeHeight="251678720" behindDoc="0" locked="0" layoutInCell="1" allowOverlap="1">
            <wp:simplePos x="0" y="0"/>
            <wp:positionH relativeFrom="column">
              <wp:posOffset>335280</wp:posOffset>
            </wp:positionH>
            <wp:positionV relativeFrom="page">
              <wp:posOffset>4942205</wp:posOffset>
            </wp:positionV>
            <wp:extent cx="1576070" cy="1136015"/>
            <wp:effectExtent l="0" t="0" r="8890" b="6985"/>
            <wp:wrapNone/>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47"/>
                    <a:stretch>
                      <a:fillRect/>
                    </a:stretch>
                  </pic:blipFill>
                  <pic:spPr>
                    <a:xfrm>
                      <a:off x="0" y="0"/>
                      <a:ext cx="1576070" cy="1136015"/>
                    </a:xfrm>
                    <a:prstGeom prst="rect">
                      <a:avLst/>
                    </a:prstGeom>
                    <a:noFill/>
                    <a:ln>
                      <a:noFill/>
                    </a:ln>
                  </pic:spPr>
                </pic:pic>
              </a:graphicData>
            </a:graphic>
          </wp:anchor>
        </w:drawing>
      </w:r>
      <w:r>
        <w:rPr>
          <w:rFonts w:hint="default" w:ascii="Times New Roman" w:hAnsi="Times New Roman" w:cs="Times New Roman"/>
          <w:color w:val="auto"/>
        </w:rPr>
        <w:drawing>
          <wp:inline distT="0" distB="0" distL="114300" distR="114300">
            <wp:extent cx="8856345" cy="4946650"/>
            <wp:effectExtent l="0" t="0" r="0" b="0"/>
            <wp:docPr id="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
                    <pic:cNvPicPr>
                      <a:picLocks noChangeAspect="1"/>
                    </pic:cNvPicPr>
                  </pic:nvPicPr>
                  <pic:blipFill>
                    <a:blip r:embed="rId48"/>
                    <a:srcRect t="7592"/>
                    <a:stretch>
                      <a:fillRect/>
                    </a:stretch>
                  </pic:blipFill>
                  <pic:spPr>
                    <a:xfrm>
                      <a:off x="0" y="0"/>
                      <a:ext cx="8856345" cy="4946650"/>
                    </a:xfrm>
                    <a:prstGeom prst="rect">
                      <a:avLst/>
                    </a:prstGeom>
                    <a:noFill/>
                    <a:ln>
                      <a:noFill/>
                    </a:ln>
                  </pic:spPr>
                </pic:pic>
              </a:graphicData>
            </a:graphic>
          </wp:inline>
        </w:drawing>
      </w:r>
    </w:p>
    <w:p>
      <w:pPr>
        <w:pageBreakBefore w:val="0"/>
        <w:wordWrap/>
        <w:bidi w:val="0"/>
        <w:adjustRightInd w:val="0"/>
        <w:ind w:left="0" w:leftChars="0" w:right="0" w:rightChars="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rPr>
        <w:t>图4.2-</w:t>
      </w:r>
      <w:r>
        <w:rPr>
          <w:rFonts w:hint="default" w:ascii="Times New Roman" w:hAnsi="Times New Roman" w:eastAsia="宋体" w:cs="Times New Roman"/>
          <w:b/>
          <w:bCs/>
          <w:color w:val="auto"/>
          <w:highlight w:val="none"/>
          <w:lang w:val="en-US" w:eastAsia="zh-CN"/>
        </w:rPr>
        <w:t>3</w:t>
      </w:r>
      <w:r>
        <w:rPr>
          <w:rFonts w:hint="default" w:ascii="Times New Roman" w:hAnsi="Times New Roman" w:eastAsia="宋体" w:cs="Times New Roman"/>
          <w:b/>
          <w:bCs/>
          <w:color w:val="auto"/>
          <w:highlight w:val="none"/>
        </w:rPr>
        <w:t xml:space="preserve">  </w:t>
      </w:r>
      <w:r>
        <w:rPr>
          <w:rFonts w:hint="default" w:ascii="Times New Roman" w:hAnsi="Times New Roman" w:cs="Times New Roman"/>
          <w:b/>
          <w:bCs/>
          <w:color w:val="auto"/>
          <w:highlight w:val="none"/>
          <w:lang w:eastAsia="zh-CN"/>
        </w:rPr>
        <w:t>土地利用</w:t>
      </w:r>
      <w:r>
        <w:rPr>
          <w:rFonts w:hint="default" w:ascii="Times New Roman" w:hAnsi="Times New Roman" w:eastAsia="宋体" w:cs="Times New Roman"/>
          <w:b/>
          <w:bCs/>
          <w:color w:val="auto"/>
          <w:highlight w:val="none"/>
        </w:rPr>
        <w:t>类型图</w:t>
      </w:r>
    </w:p>
    <w:p>
      <w:pPr>
        <w:pageBreakBefore w:val="0"/>
        <w:wordWrap/>
        <w:bidi w:val="0"/>
        <w:adjustRightInd w:val="0"/>
        <w:ind w:left="0" w:leftChars="0" w:right="0" w:rightChars="0" w:firstLine="0" w:firstLineChars="0"/>
        <w:jc w:val="center"/>
        <w:rPr>
          <w:rFonts w:hint="default" w:ascii="Times New Roman" w:hAnsi="Times New Roman" w:eastAsia="宋体" w:cs="Times New Roman"/>
          <w:color w:val="auto"/>
          <w:highlight w:val="yellow"/>
          <w:lang w:eastAsia="zh-CN"/>
        </w:rPr>
      </w:pPr>
      <w:r>
        <w:rPr>
          <w:color w:val="auto"/>
        </w:rPr>
        <w:drawing>
          <wp:anchor distT="0" distB="0" distL="114300" distR="114300" simplePos="0" relativeHeight="251699200" behindDoc="0" locked="0" layoutInCell="1" allowOverlap="1">
            <wp:simplePos x="0" y="0"/>
            <wp:positionH relativeFrom="column">
              <wp:posOffset>8023860</wp:posOffset>
            </wp:positionH>
            <wp:positionV relativeFrom="paragraph">
              <wp:posOffset>256540</wp:posOffset>
            </wp:positionV>
            <wp:extent cx="600710" cy="845820"/>
            <wp:effectExtent l="0" t="0" r="8890" b="11430"/>
            <wp:wrapNone/>
            <wp:docPr id="8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5"/>
                    <pic:cNvPicPr>
                      <a:picLocks noChangeAspect="1"/>
                    </pic:cNvPicPr>
                  </pic:nvPicPr>
                  <pic:blipFill>
                    <a:blip r:embed="rId40"/>
                    <a:stretch>
                      <a:fillRect/>
                    </a:stretch>
                  </pic:blipFill>
                  <pic:spPr>
                    <a:xfrm>
                      <a:off x="0" y="0"/>
                      <a:ext cx="600710" cy="845820"/>
                    </a:xfrm>
                    <a:prstGeom prst="rect">
                      <a:avLst/>
                    </a:prstGeom>
                    <a:noFill/>
                    <a:ln>
                      <a:noFill/>
                    </a:ln>
                  </pic:spPr>
                </pic:pic>
              </a:graphicData>
            </a:graphic>
          </wp:anchor>
        </w:drawing>
      </w:r>
      <w:r>
        <w:rPr>
          <w:rFonts w:hint="default" w:ascii="Times New Roman" w:hAnsi="Times New Roman" w:cs="Times New Roman"/>
          <w:color w:val="auto"/>
        </w:rPr>
        <w:drawing>
          <wp:inline distT="0" distB="0" distL="114300" distR="114300">
            <wp:extent cx="8853805" cy="5033010"/>
            <wp:effectExtent l="0" t="0" r="0" b="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49"/>
                    <a:srcRect t="4275"/>
                    <a:stretch>
                      <a:fillRect/>
                    </a:stretch>
                  </pic:blipFill>
                  <pic:spPr>
                    <a:xfrm>
                      <a:off x="0" y="0"/>
                      <a:ext cx="8853805" cy="5033010"/>
                    </a:xfrm>
                    <a:prstGeom prst="rect">
                      <a:avLst/>
                    </a:prstGeom>
                    <a:noFill/>
                    <a:ln>
                      <a:noFill/>
                    </a:ln>
                  </pic:spPr>
                </pic:pic>
              </a:graphicData>
            </a:graphic>
          </wp:inline>
        </w:drawing>
      </w:r>
    </w:p>
    <w:p>
      <w:pPr>
        <w:pageBreakBefore w:val="0"/>
        <w:wordWrap/>
        <w:bidi w:val="0"/>
        <w:adjustRightInd w:val="0"/>
        <w:ind w:left="0" w:leftChars="0" w:right="0" w:rightChars="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rPr>
        <w:t>图4.2-</w:t>
      </w:r>
      <w:r>
        <w:rPr>
          <w:rFonts w:hint="default" w:ascii="Times New Roman" w:hAnsi="Times New Roman" w:cs="Times New Roman"/>
          <w:b/>
          <w:bCs/>
          <w:color w:val="auto"/>
          <w:highlight w:val="none"/>
          <w:lang w:val="en-US" w:eastAsia="zh-CN"/>
        </w:rPr>
        <w:t>4</w:t>
      </w:r>
      <w:r>
        <w:rPr>
          <w:rFonts w:hint="default" w:ascii="Times New Roman" w:hAnsi="Times New Roman" w:eastAsia="宋体" w:cs="Times New Roman"/>
          <w:b/>
          <w:bCs/>
          <w:color w:val="auto"/>
          <w:highlight w:val="none"/>
        </w:rPr>
        <w:t xml:space="preserve">  植被类型图</w:t>
      </w:r>
    </w:p>
    <w:p>
      <w:pPr>
        <w:pageBreakBefore w:val="0"/>
        <w:wordWrap/>
        <w:bidi w:val="0"/>
        <w:adjustRightInd w:val="0"/>
        <w:ind w:left="0" w:leftChars="0" w:right="0" w:rightChars="0" w:firstLine="0" w:firstLineChars="0"/>
        <w:jc w:val="center"/>
        <w:rPr>
          <w:rFonts w:hint="default" w:ascii="Times New Roman" w:hAnsi="Times New Roman" w:eastAsia="宋体" w:cs="Times New Roman"/>
          <w:color w:val="auto"/>
          <w:highlight w:val="yellow"/>
        </w:rPr>
        <w:sectPr>
          <w:pgSz w:w="16838" w:h="11906" w:orient="landscape"/>
          <w:pgMar w:top="1797" w:right="1440" w:bottom="1531"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3"/>
        <w:pageBreakBefore w:val="0"/>
        <w:wordWrap/>
        <w:bidi w:val="0"/>
        <w:adjustRightInd w:val="0"/>
        <w:ind w:left="0" w:leftChars="0" w:right="0" w:rightChars="0" w:hanging="432" w:firstLineChars="0"/>
        <w:rPr>
          <w:rFonts w:hint="default" w:ascii="Times New Roman" w:hAnsi="Times New Roman" w:eastAsia="宋体" w:cs="Times New Roman"/>
          <w:color w:val="auto"/>
          <w:highlight w:val="none"/>
        </w:rPr>
      </w:pPr>
      <w:bookmarkStart w:id="222" w:name="_Toc28537"/>
      <w:bookmarkStart w:id="223" w:name="_Toc21997"/>
      <w:bookmarkStart w:id="224" w:name="_Toc22466"/>
      <w:bookmarkStart w:id="225" w:name="_Toc263850728"/>
      <w:r>
        <w:rPr>
          <w:rFonts w:hint="default" w:ascii="Times New Roman" w:hAnsi="Times New Roman" w:eastAsia="宋体" w:cs="Times New Roman"/>
          <w:color w:val="auto"/>
          <w:highlight w:val="none"/>
        </w:rPr>
        <w:t>环境影响预测与评价</w:t>
      </w:r>
      <w:bookmarkEnd w:id="222"/>
      <w:bookmarkEnd w:id="223"/>
      <w:bookmarkEnd w:id="224"/>
    </w:p>
    <w:p>
      <w:pPr>
        <w:pStyle w:val="4"/>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rPr>
      </w:pPr>
      <w:bookmarkStart w:id="226" w:name="_Toc28158"/>
      <w:bookmarkStart w:id="227" w:name="_Toc14888"/>
      <w:bookmarkStart w:id="228" w:name="_Toc7072"/>
      <w:r>
        <w:rPr>
          <w:rFonts w:hint="default" w:ascii="Times New Roman" w:hAnsi="Times New Roman" w:eastAsia="宋体" w:cs="Times New Roman"/>
          <w:color w:val="auto"/>
          <w:highlight w:val="none"/>
        </w:rPr>
        <w:t>施工期环境影响分析</w:t>
      </w:r>
      <w:bookmarkEnd w:id="226"/>
      <w:bookmarkEnd w:id="227"/>
      <w:bookmarkEnd w:id="228"/>
    </w:p>
    <w:p>
      <w:pPr>
        <w:pStyle w:val="5"/>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rPr>
      </w:pPr>
      <w:bookmarkStart w:id="229" w:name="_Toc229909551"/>
      <w:bookmarkStart w:id="230" w:name="_Toc113250664"/>
      <w:bookmarkStart w:id="231" w:name="_Toc13175"/>
      <w:r>
        <w:rPr>
          <w:rFonts w:hint="default" w:ascii="Times New Roman" w:hAnsi="Times New Roman" w:eastAsia="宋体" w:cs="Times New Roman"/>
          <w:color w:val="auto"/>
          <w:highlight w:val="none"/>
        </w:rPr>
        <w:t>施工期</w:t>
      </w:r>
      <w:bookmarkEnd w:id="229"/>
      <w:bookmarkEnd w:id="230"/>
      <w:r>
        <w:rPr>
          <w:rFonts w:hint="default" w:ascii="Times New Roman" w:hAnsi="Times New Roman" w:eastAsia="宋体" w:cs="Times New Roman"/>
          <w:color w:val="auto"/>
          <w:highlight w:val="none"/>
        </w:rPr>
        <w:t>环境空气影响分析</w:t>
      </w:r>
      <w:bookmarkEnd w:id="231"/>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施工过程中废气主要来源于施工扬尘、施工机械和运输车辆所排放的废气。</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期对环境空气影响最主要的是扬尘。干燥地表开挖产生的尘，一部分悬浮于空中，另一部分随风飘落到附近地面；开挖的泥土堆积过程中，在风力较大时，会产生扬尘；而装卸和运输过程中，会造成部分灰尘扬起和洒落；雨水冲刷夹带的泥土散布路面。晒干后因车辆的移动或刮风再次扬尘；开挖、回填过程中也会引起大量粉尘飞扬；建筑材料的装卸、运输、堆砌过程中也有洒落和飞扬。</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扬尘的产生跟风力大小及气候有一定关系，项目区气候干燥，降雨不多，多风天气较多，项目扬尘的影响范围可能会大于150m。根据类比资料显示：</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①无</w:t>
      </w:r>
      <w:r>
        <w:rPr>
          <w:rFonts w:hint="eastAsia" w:cs="Times New Roman"/>
          <w:color w:val="auto"/>
          <w:highlight w:val="none"/>
          <w:lang w:eastAsia="zh-CN"/>
        </w:rPr>
        <w:t>围挡</w:t>
      </w:r>
      <w:r>
        <w:rPr>
          <w:rFonts w:hint="default" w:ascii="Times New Roman" w:hAnsi="Times New Roman" w:eastAsia="宋体" w:cs="Times New Roman"/>
          <w:color w:val="auto"/>
          <w:highlight w:val="none"/>
        </w:rPr>
        <w:t>情况下，施工扬尘十分严重，扬尘范围在工地下风向200m内，被影响地区TSP的浓度平均860μg/m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，是对照点的2.13倍，相当于大气环境质量标准的2.87倍。有</w:t>
      </w:r>
      <w:r>
        <w:rPr>
          <w:rFonts w:hint="eastAsia" w:cs="Times New Roman"/>
          <w:color w:val="auto"/>
          <w:highlight w:val="none"/>
          <w:lang w:eastAsia="zh-CN"/>
        </w:rPr>
        <w:t>围挡</w:t>
      </w:r>
      <w:r>
        <w:rPr>
          <w:rFonts w:hint="default" w:ascii="Times New Roman" w:hAnsi="Times New Roman" w:eastAsia="宋体" w:cs="Times New Roman"/>
          <w:color w:val="auto"/>
          <w:highlight w:val="none"/>
        </w:rPr>
        <w:t>的施工扬尘有明显改善，扬尘污染范围在工地下风向200m内，被影响地区TSP的浓度平均585μg/m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，是对照点的1.4倍。</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②运输车辆在施工场地行驶产生的扬尘占施工扬尘总量的60％，这与场地状况有很大关系。场地在自然风作用下产生的扬尘一般影响范围在100m以内。</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③施工材料堆场扬尘</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施工现场物料、弃土堆积等过程也会产生扬尘，类比分析，扬尘量约为0.12kg/m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物料。这类扬尘主要受作业时风速的影响，因此，禁止在大风天进行作业，减少建材的露天堆放是抑制这类扬尘的有效手段。使用帆布遮盖等措施，排放量可降至10％。</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为了抑制施工期间的扬尘，通常会在施工场地实施洒水抑尘，可有效地控制施工扬尘。</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施工期运输车辆、施工机械所排放的废气中含有CO、NO</w:t>
      </w:r>
      <w:r>
        <w:rPr>
          <w:rFonts w:hint="default" w:ascii="Times New Roman" w:hAnsi="Times New Roman" w:eastAsia="宋体" w:cs="Times New Roman"/>
          <w:color w:val="auto"/>
          <w:highlight w:val="none"/>
          <w:vertAlign w:val="subscript"/>
        </w:rPr>
        <w:t>X</w:t>
      </w:r>
      <w:r>
        <w:rPr>
          <w:rFonts w:hint="default" w:ascii="Times New Roman" w:hAnsi="Times New Roman" w:eastAsia="宋体" w:cs="Times New Roman"/>
          <w:color w:val="auto"/>
          <w:highlight w:val="none"/>
        </w:rPr>
        <w:t>、THC等污染物，但项目施工机械量不多，机动车尾气对环境影响不大。</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rPr>
        <w:t>项目施工扬尘主要采取施工场地设置围挡、建筑材料采用</w:t>
      </w:r>
      <w:r>
        <w:rPr>
          <w:rFonts w:hint="default" w:ascii="Times New Roman" w:hAnsi="Times New Roman" w:cs="Times New Roman"/>
          <w:color w:val="auto"/>
          <w:highlight w:val="none"/>
        </w:rPr>
        <w:t>帆布遮盖、定期洒水等措施，施工扬尘对环境影响很小。</w:t>
      </w:r>
    </w:p>
    <w:p>
      <w:pPr>
        <w:pageBreakBefore w:val="0"/>
        <w:wordWrap/>
        <w:bidi w:val="0"/>
        <w:adjustRightInd w:val="0"/>
        <w:spacing w:line="360" w:lineRule="auto"/>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通过</w:t>
      </w:r>
      <w:r>
        <w:rPr>
          <w:rFonts w:hint="eastAsia" w:cs="Times New Roman"/>
          <w:color w:val="auto"/>
          <w:highlight w:val="none"/>
          <w:lang w:val="en-US" w:eastAsia="zh-CN"/>
        </w:rPr>
        <w:t>围挡</w:t>
      </w:r>
      <w:r>
        <w:rPr>
          <w:rFonts w:hint="default" w:ascii="Times New Roman" w:hAnsi="Times New Roman" w:cs="Times New Roman"/>
          <w:color w:val="auto"/>
          <w:highlight w:val="none"/>
        </w:rPr>
        <w:t>、洒水、遮盖、减速慢行等环评提出的措施，可将扬尘污染程度降低到对环境空气的影响降至可接受水平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对周边大气环境影响较小。</w:t>
      </w:r>
    </w:p>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232" w:name="_Toc13099"/>
      <w:r>
        <w:rPr>
          <w:rFonts w:hint="default" w:ascii="Times New Roman" w:hAnsi="Times New Roman" w:cs="Times New Roman"/>
          <w:color w:val="auto"/>
          <w:highlight w:val="none"/>
        </w:rPr>
        <w:t>施工期环境噪声影响分析</w:t>
      </w:r>
      <w:bookmarkEnd w:id="232"/>
    </w:p>
    <w:p>
      <w:pPr>
        <w:pageBreakBefore w:val="0"/>
        <w:wordWrap/>
        <w:bidi w:val="0"/>
        <w:adjustRightInd w:val="0"/>
        <w:ind w:left="0" w:leftChars="0" w:right="0" w:rightChars="0"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rPr>
        <w:t>施工场地噪声源主要为各类高噪声施工机械，且各施工阶段均有大量的机械设备于现场运行，此外，运输土方和钢筋、混凝土的车辆进出施工场地也会产生噪声。噪声随距离的衰减按下式计算：</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zh-CN"/>
        </w:rPr>
        <w:drawing>
          <wp:anchor distT="0" distB="0" distL="114300" distR="114300" simplePos="0" relativeHeight="251673600" behindDoc="0" locked="0" layoutInCell="1" allowOverlap="1">
            <wp:simplePos x="0" y="0"/>
            <wp:positionH relativeFrom="page">
              <wp:posOffset>1905635</wp:posOffset>
            </wp:positionH>
            <wp:positionV relativeFrom="page">
              <wp:posOffset>2788920</wp:posOffset>
            </wp:positionV>
            <wp:extent cx="1553845" cy="278765"/>
            <wp:effectExtent l="0" t="0" r="8255" b="6985"/>
            <wp:wrapNone/>
            <wp:docPr id="1" name="图片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31"/>
                    <pic:cNvPicPr>
                      <a:picLocks noChangeAspect="1"/>
                    </pic:cNvPicPr>
                  </pic:nvPicPr>
                  <pic:blipFill>
                    <a:blip r:embed="rId50"/>
                    <a:stretch>
                      <a:fillRect/>
                    </a:stretch>
                  </pic:blipFill>
                  <pic:spPr>
                    <a:xfrm>
                      <a:off x="0" y="0"/>
                      <a:ext cx="1553845" cy="278765"/>
                    </a:xfrm>
                    <a:prstGeom prst="rect">
                      <a:avLst/>
                    </a:prstGeom>
                    <a:noFill/>
                    <a:ln>
                      <a:noFill/>
                    </a:ln>
                  </pic:spPr>
                </pic:pic>
              </a:graphicData>
            </a:graphic>
          </wp:anchor>
        </w:drawing>
      </w:r>
    </w:p>
    <w:p>
      <w:pPr>
        <w:pageBreakBefore w:val="0"/>
        <w:wordWrap/>
        <w:bidi w:val="0"/>
        <w:adjustRightInd w:val="0"/>
        <w:ind w:left="0" w:leftChars="0" w:right="0" w:rightChars="0" w:firstLine="480"/>
        <w:rPr>
          <w:rFonts w:hint="default" w:ascii="Times New Roman" w:hAnsi="Times New Roman" w:cs="Times New Roman"/>
          <w:color w:val="auto"/>
          <w:highlight w:val="none"/>
        </w:rPr>
      </w:pP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式中：</w:t>
      </w:r>
      <w:r>
        <w:rPr>
          <w:rFonts w:hint="default" w:ascii="Times New Roman" w:hAnsi="Times New Roman" w:cs="Times New Roman"/>
          <w:color w:val="auto"/>
          <w:highlight w:val="none"/>
          <w:lang w:val="zh-CN"/>
        </w:rPr>
        <w:drawing>
          <wp:inline distT="0" distB="0" distL="114300" distR="114300">
            <wp:extent cx="180975" cy="219075"/>
            <wp:effectExtent l="0" t="0" r="0" b="6350"/>
            <wp:docPr id="3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8"/>
                    <pic:cNvPicPr>
                      <a:picLocks noChangeAspect="1"/>
                    </pic:cNvPicPr>
                  </pic:nvPicPr>
                  <pic:blipFill>
                    <a:blip r:embed="rId51"/>
                    <a:stretch>
                      <a:fillRect/>
                    </a:stretch>
                  </pic:blipFill>
                  <pic:spPr>
                    <a:xfrm>
                      <a:off x="0" y="0"/>
                      <a:ext cx="180975" cy="219075"/>
                    </a:xfrm>
                    <a:prstGeom prst="rect">
                      <a:avLst/>
                    </a:prstGeom>
                    <a:noFill/>
                    <a:ln>
                      <a:noFill/>
                    </a:ln>
                  </pic:spPr>
                </pic:pic>
              </a:graphicData>
            </a:graphic>
          </wp:inline>
        </w:drawing>
      </w:r>
      <w:r>
        <w:rPr>
          <w:rFonts w:hint="default" w:ascii="Times New Roman" w:hAnsi="Times New Roman" w:cs="Times New Roman"/>
          <w:color w:val="auto"/>
          <w:highlight w:val="none"/>
        </w:rPr>
        <w:t>－距声源r 处的A声压级，dB（A）；</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val="zh-CN"/>
        </w:rPr>
        <w:drawing>
          <wp:inline distT="0" distB="0" distL="114300" distR="114300">
            <wp:extent cx="200025" cy="238125"/>
            <wp:effectExtent l="0" t="0" r="0" b="7620"/>
            <wp:docPr id="3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9"/>
                    <pic:cNvPicPr>
                      <a:picLocks noChangeAspect="1"/>
                    </pic:cNvPicPr>
                  </pic:nvPicPr>
                  <pic:blipFill>
                    <a:blip r:embed="rId52"/>
                    <a:stretch>
                      <a:fillRect/>
                    </a:stretch>
                  </pic:blipFill>
                  <pic:spPr>
                    <a:xfrm>
                      <a:off x="0" y="0"/>
                      <a:ext cx="200025" cy="238125"/>
                    </a:xfrm>
                    <a:prstGeom prst="rect">
                      <a:avLst/>
                    </a:prstGeom>
                    <a:noFill/>
                    <a:ln>
                      <a:noFill/>
                    </a:ln>
                  </pic:spPr>
                </pic:pic>
              </a:graphicData>
            </a:graphic>
          </wp:inline>
        </w:drawing>
      </w:r>
      <w:r>
        <w:rPr>
          <w:rFonts w:hint="default" w:ascii="Times New Roman" w:hAnsi="Times New Roman" w:cs="Times New Roman"/>
          <w:color w:val="auto"/>
          <w:highlight w:val="none"/>
        </w:rPr>
        <w:t>－距声源</w:t>
      </w:r>
      <w:r>
        <w:rPr>
          <w:rFonts w:hint="default" w:ascii="Times New Roman" w:hAnsi="Times New Roman" w:cs="Times New Roman"/>
          <w:color w:val="auto"/>
          <w:highlight w:val="none"/>
          <w:lang w:val="zh-CN"/>
        </w:rPr>
        <w:drawing>
          <wp:inline distT="0" distB="0" distL="114300" distR="114300">
            <wp:extent cx="143510" cy="228600"/>
            <wp:effectExtent l="0" t="0" r="8890" b="0"/>
            <wp:docPr id="3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0"/>
                    <pic:cNvPicPr>
                      <a:picLocks noChangeAspect="1"/>
                    </pic:cNvPicPr>
                  </pic:nvPicPr>
                  <pic:blipFill>
                    <a:blip r:embed="rId53"/>
                    <a:stretch>
                      <a:fillRect/>
                    </a:stretch>
                  </pic:blipFill>
                  <pic:spPr>
                    <a:xfrm>
                      <a:off x="0" y="0"/>
                      <a:ext cx="143510" cy="228600"/>
                    </a:xfrm>
                    <a:prstGeom prst="rect">
                      <a:avLst/>
                    </a:prstGeom>
                    <a:noFill/>
                    <a:ln>
                      <a:noFill/>
                    </a:ln>
                  </pic:spPr>
                </pic:pic>
              </a:graphicData>
            </a:graphic>
          </wp:inline>
        </w:drawing>
      </w:r>
      <w:r>
        <w:rPr>
          <w:rFonts w:hint="default" w:ascii="Times New Roman" w:hAnsi="Times New Roman" w:cs="Times New Roman"/>
          <w:color w:val="auto"/>
          <w:highlight w:val="none"/>
        </w:rPr>
        <w:t>处的A声压级，dB（A）；</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r－预测点与声源的距离，m；</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r</w:t>
      </w:r>
      <w:r>
        <w:rPr>
          <w:rFonts w:hint="default" w:ascii="Times New Roman" w:hAnsi="Times New Roman" w:cs="Times New Roman"/>
          <w:color w:val="auto"/>
          <w:highlight w:val="none"/>
          <w:vertAlign w:val="subscript"/>
        </w:rPr>
        <w:t>0</w:t>
      </w:r>
      <w:r>
        <w:rPr>
          <w:rFonts w:hint="default" w:ascii="Times New Roman" w:hAnsi="Times New Roman" w:cs="Times New Roman"/>
          <w:color w:val="auto"/>
          <w:highlight w:val="none"/>
        </w:rPr>
        <w:t>－监测设备噪声时的距离，m。</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因项目施工机械较多，本次预测选取噪声高、运行时段较长的设备进行噪声衰减预测，距各种施工设备不同距离噪声预测结果见表5.1-1。</w:t>
      </w:r>
    </w:p>
    <w:p>
      <w:pPr>
        <w:pStyle w:val="50"/>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表5.1-1   距各种施工机械不同距离的噪声值   单位：dB（A）</w:t>
      </w:r>
    </w:p>
    <w:tbl>
      <w:tblPr>
        <w:tblStyle w:val="39"/>
        <w:tblW w:w="495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3780"/>
        <w:gridCol w:w="594"/>
        <w:gridCol w:w="597"/>
        <w:gridCol w:w="597"/>
        <w:gridCol w:w="597"/>
        <w:gridCol w:w="597"/>
        <w:gridCol w:w="597"/>
        <w:gridCol w:w="597"/>
        <w:gridCol w:w="5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34" w:hRule="atLeast"/>
          <w:jc w:val="center"/>
        </w:trPr>
        <w:tc>
          <w:tcPr>
            <w:tcW w:w="2209" w:type="pct"/>
            <w:tcBorders>
              <w:tl2br w:val="nil"/>
              <w:tr2bl w:val="nil"/>
            </w:tcBorders>
            <w:noWrap w:val="0"/>
            <w:vAlign w:val="center"/>
            <mc:AlternateContent>
              <mc:Choice Requires="wpsCustomData">
                <wpsCustomData:diagonals>
                  <wpsCustomData:diagonal from="10000" to="30000">
                    <wpsCustomData:border w:val="single" w:color="auto" w:sz="12" w:space="0"/>
                  </wpsCustomData:diagonal>
                </wpsCustomData:diagonals>
              </mc:Choice>
            </mc:AlternateContent>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 xml:space="preserve">          </w:t>
            </w:r>
          </w:p>
          <w:p>
            <w:pPr>
              <w:pStyle w:val="55"/>
              <w:pageBreakBefore w:val="0"/>
              <w:wordWrap/>
              <w:bidi w:val="0"/>
              <w:adjustRightInd w:val="0"/>
              <w:snapToGrid w:val="0"/>
              <w:ind w:left="0" w:leftChars="0" w:right="0" w:rightChars="0"/>
              <w:jc w:val="both"/>
              <mc:AlternateContent>
                <mc:Choice Requires="wpsCustomData">
                  <wpsCustomData:diagonalParaType/>
                </mc:Choice>
              </mc:AlternateConten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施工设备</w:t>
            </w:r>
          </w:p>
          <w:p>
            <w:pPr>
              <w:pStyle w:val="55"/>
              <w:pageBreakBefore w:val="0"/>
              <w:wordWrap/>
              <w:bidi w:val="0"/>
              <w:adjustRightInd w:val="0"/>
              <w:ind w:left="0" w:leftChars="0" w:right="0" w:right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距离</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lang w:eastAsia="zh-CN"/>
              </w:rPr>
              <w:t>）</w:t>
            </w:r>
          </w:p>
        </w:tc>
        <w:tc>
          <w:tcPr>
            <w:tcW w:w="347"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349"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w:t>
            </w:r>
          </w:p>
        </w:tc>
        <w:tc>
          <w:tcPr>
            <w:tcW w:w="349"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30</w:t>
            </w:r>
          </w:p>
        </w:tc>
        <w:tc>
          <w:tcPr>
            <w:tcW w:w="349"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40</w:t>
            </w:r>
          </w:p>
        </w:tc>
        <w:tc>
          <w:tcPr>
            <w:tcW w:w="349"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50</w:t>
            </w:r>
          </w:p>
        </w:tc>
        <w:tc>
          <w:tcPr>
            <w:tcW w:w="349"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60</w:t>
            </w:r>
          </w:p>
        </w:tc>
        <w:tc>
          <w:tcPr>
            <w:tcW w:w="349"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70</w:t>
            </w:r>
          </w:p>
        </w:tc>
        <w:tc>
          <w:tcPr>
            <w:tcW w:w="349"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7" w:hRule="atLeast"/>
          <w:jc w:val="center"/>
        </w:trPr>
        <w:tc>
          <w:tcPr>
            <w:tcW w:w="2209"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推土机</w:t>
            </w:r>
          </w:p>
        </w:tc>
        <w:tc>
          <w:tcPr>
            <w:tcW w:w="347"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85</w:t>
            </w:r>
          </w:p>
        </w:tc>
        <w:tc>
          <w:tcPr>
            <w:tcW w:w="349"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65.0</w:t>
            </w:r>
          </w:p>
        </w:tc>
        <w:tc>
          <w:tcPr>
            <w:tcW w:w="349"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59.0</w:t>
            </w:r>
          </w:p>
        </w:tc>
        <w:tc>
          <w:tcPr>
            <w:tcW w:w="349"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55.5</w:t>
            </w:r>
          </w:p>
        </w:tc>
        <w:tc>
          <w:tcPr>
            <w:tcW w:w="349"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53.0</w:t>
            </w:r>
          </w:p>
        </w:tc>
        <w:tc>
          <w:tcPr>
            <w:tcW w:w="349"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51.0</w:t>
            </w:r>
          </w:p>
        </w:tc>
        <w:tc>
          <w:tcPr>
            <w:tcW w:w="349" w:type="pct"/>
            <w:tcBorders>
              <w:tl2br w:val="nil"/>
              <w:tr2bl w:val="nil"/>
            </w:tcBorders>
            <w:noWrap w:val="0"/>
            <w:vAlign w:val="center"/>
          </w:tcPr>
          <w:p>
            <w:pPr>
              <w:pStyle w:val="55"/>
              <w:pageBreakBefore w:val="0"/>
              <w:wordWrap/>
              <w:bidi w:val="0"/>
              <w:adjustRightInd w:val="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49.4</w:t>
            </w:r>
          </w:p>
        </w:tc>
        <w:tc>
          <w:tcPr>
            <w:tcW w:w="349" w:type="pct"/>
            <w:tcBorders>
              <w:tl2br w:val="nil"/>
              <w:tr2bl w:val="nil"/>
            </w:tcBorders>
            <w:noWrap w:val="0"/>
            <w:vAlign w:val="center"/>
          </w:tcPr>
          <w:p>
            <w:pPr>
              <w:pStyle w:val="55"/>
              <w:pageBreakBefore w:val="0"/>
              <w:wordWrap/>
              <w:bidi w:val="0"/>
              <w:adjustRightInd w:val="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48.1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7" w:hRule="atLeast"/>
          <w:jc w:val="center"/>
        </w:trPr>
        <w:tc>
          <w:tcPr>
            <w:tcW w:w="2209"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挖掘机</w:t>
            </w:r>
          </w:p>
        </w:tc>
        <w:tc>
          <w:tcPr>
            <w:tcW w:w="347"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86</w:t>
            </w:r>
          </w:p>
        </w:tc>
        <w:tc>
          <w:tcPr>
            <w:tcW w:w="349" w:type="pct"/>
            <w:tcBorders>
              <w:tl2br w:val="nil"/>
              <w:tr2bl w:val="nil"/>
            </w:tcBorders>
            <w:noWrap w:val="0"/>
            <w:vAlign w:val="center"/>
          </w:tcPr>
          <w:p>
            <w:pPr>
              <w:pStyle w:val="55"/>
              <w:pageBreakBefore w:val="0"/>
              <w:wordWrap/>
              <w:bidi w:val="0"/>
              <w:adjustRightInd w:val="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66.0</w:t>
            </w:r>
          </w:p>
        </w:tc>
        <w:tc>
          <w:tcPr>
            <w:tcW w:w="349" w:type="pct"/>
            <w:tcBorders>
              <w:tl2br w:val="nil"/>
              <w:tr2bl w:val="nil"/>
            </w:tcBorders>
            <w:noWrap w:val="0"/>
            <w:vAlign w:val="center"/>
          </w:tcPr>
          <w:p>
            <w:pPr>
              <w:pStyle w:val="55"/>
              <w:pageBreakBefore w:val="0"/>
              <w:wordWrap/>
              <w:bidi w:val="0"/>
              <w:adjustRightInd w:val="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60.0</w:t>
            </w:r>
          </w:p>
        </w:tc>
        <w:tc>
          <w:tcPr>
            <w:tcW w:w="349" w:type="pct"/>
            <w:tcBorders>
              <w:tl2br w:val="nil"/>
              <w:tr2bl w:val="nil"/>
            </w:tcBorders>
            <w:noWrap w:val="0"/>
            <w:vAlign w:val="center"/>
          </w:tcPr>
          <w:p>
            <w:pPr>
              <w:pStyle w:val="55"/>
              <w:pageBreakBefore w:val="0"/>
              <w:wordWrap/>
              <w:bidi w:val="0"/>
              <w:adjustRightInd w:val="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56.5</w:t>
            </w:r>
          </w:p>
        </w:tc>
        <w:tc>
          <w:tcPr>
            <w:tcW w:w="349" w:type="pct"/>
            <w:tcBorders>
              <w:tl2br w:val="nil"/>
              <w:tr2bl w:val="nil"/>
            </w:tcBorders>
            <w:noWrap w:val="0"/>
            <w:vAlign w:val="center"/>
          </w:tcPr>
          <w:p>
            <w:pPr>
              <w:pStyle w:val="55"/>
              <w:pageBreakBefore w:val="0"/>
              <w:wordWrap/>
              <w:bidi w:val="0"/>
              <w:adjustRightInd w:val="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54.0</w:t>
            </w:r>
          </w:p>
        </w:tc>
        <w:tc>
          <w:tcPr>
            <w:tcW w:w="349"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52.0</w:t>
            </w:r>
          </w:p>
        </w:tc>
        <w:tc>
          <w:tcPr>
            <w:tcW w:w="349"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50.4</w:t>
            </w:r>
          </w:p>
        </w:tc>
        <w:tc>
          <w:tcPr>
            <w:tcW w:w="349"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49.1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7" w:hRule="atLeast"/>
          <w:jc w:val="center"/>
        </w:trPr>
        <w:tc>
          <w:tcPr>
            <w:tcW w:w="2209"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装载机</w:t>
            </w:r>
          </w:p>
        </w:tc>
        <w:tc>
          <w:tcPr>
            <w:tcW w:w="347"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91</w:t>
            </w:r>
          </w:p>
        </w:tc>
        <w:tc>
          <w:tcPr>
            <w:tcW w:w="349"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71.0</w:t>
            </w:r>
          </w:p>
        </w:tc>
        <w:tc>
          <w:tcPr>
            <w:tcW w:w="349"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65.0</w:t>
            </w:r>
          </w:p>
        </w:tc>
        <w:tc>
          <w:tcPr>
            <w:tcW w:w="349"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61.5</w:t>
            </w:r>
          </w:p>
        </w:tc>
        <w:tc>
          <w:tcPr>
            <w:tcW w:w="349"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59.0</w:t>
            </w:r>
          </w:p>
        </w:tc>
        <w:tc>
          <w:tcPr>
            <w:tcW w:w="349"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57.0</w:t>
            </w:r>
          </w:p>
        </w:tc>
        <w:tc>
          <w:tcPr>
            <w:tcW w:w="349" w:type="pct"/>
            <w:tcBorders>
              <w:tl2br w:val="nil"/>
              <w:tr2bl w:val="nil"/>
            </w:tcBorders>
            <w:noWrap w:val="0"/>
            <w:vAlign w:val="center"/>
          </w:tcPr>
          <w:p>
            <w:pPr>
              <w:pStyle w:val="55"/>
              <w:pageBreakBefore w:val="0"/>
              <w:wordWrap/>
              <w:bidi w:val="0"/>
              <w:adjustRightInd w:val="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55.4</w:t>
            </w:r>
          </w:p>
        </w:tc>
        <w:tc>
          <w:tcPr>
            <w:tcW w:w="349" w:type="pct"/>
            <w:tcBorders>
              <w:tl2br w:val="nil"/>
              <w:tr2bl w:val="nil"/>
            </w:tcBorders>
            <w:noWrap w:val="0"/>
            <w:vAlign w:val="center"/>
          </w:tcPr>
          <w:p>
            <w:pPr>
              <w:pStyle w:val="55"/>
              <w:pageBreakBefore w:val="0"/>
              <w:wordWrap/>
              <w:bidi w:val="0"/>
              <w:adjustRightInd w:val="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7" w:hRule="atLeast"/>
          <w:jc w:val="center"/>
        </w:trPr>
        <w:tc>
          <w:tcPr>
            <w:tcW w:w="2209"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运输车辆</w:t>
            </w:r>
          </w:p>
        </w:tc>
        <w:tc>
          <w:tcPr>
            <w:tcW w:w="347"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86</w:t>
            </w:r>
          </w:p>
        </w:tc>
        <w:tc>
          <w:tcPr>
            <w:tcW w:w="349" w:type="pct"/>
            <w:tcBorders>
              <w:tl2br w:val="nil"/>
              <w:tr2bl w:val="nil"/>
            </w:tcBorders>
            <w:noWrap w:val="0"/>
            <w:vAlign w:val="center"/>
          </w:tcPr>
          <w:p>
            <w:pPr>
              <w:pStyle w:val="55"/>
              <w:pageBreakBefore w:val="0"/>
              <w:wordWrap/>
              <w:bidi w:val="0"/>
              <w:adjustRightInd w:val="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66.0</w:t>
            </w:r>
          </w:p>
        </w:tc>
        <w:tc>
          <w:tcPr>
            <w:tcW w:w="349" w:type="pct"/>
            <w:tcBorders>
              <w:tl2br w:val="nil"/>
              <w:tr2bl w:val="nil"/>
            </w:tcBorders>
            <w:noWrap w:val="0"/>
            <w:vAlign w:val="center"/>
          </w:tcPr>
          <w:p>
            <w:pPr>
              <w:pStyle w:val="55"/>
              <w:pageBreakBefore w:val="0"/>
              <w:wordWrap/>
              <w:bidi w:val="0"/>
              <w:adjustRightInd w:val="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60.0</w:t>
            </w:r>
          </w:p>
        </w:tc>
        <w:tc>
          <w:tcPr>
            <w:tcW w:w="349" w:type="pct"/>
            <w:tcBorders>
              <w:tl2br w:val="nil"/>
              <w:tr2bl w:val="nil"/>
            </w:tcBorders>
            <w:noWrap w:val="0"/>
            <w:vAlign w:val="center"/>
          </w:tcPr>
          <w:p>
            <w:pPr>
              <w:pStyle w:val="55"/>
              <w:pageBreakBefore w:val="0"/>
              <w:wordWrap/>
              <w:bidi w:val="0"/>
              <w:adjustRightInd w:val="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56.5</w:t>
            </w:r>
          </w:p>
        </w:tc>
        <w:tc>
          <w:tcPr>
            <w:tcW w:w="349" w:type="pct"/>
            <w:tcBorders>
              <w:tl2br w:val="nil"/>
              <w:tr2bl w:val="nil"/>
            </w:tcBorders>
            <w:noWrap w:val="0"/>
            <w:vAlign w:val="center"/>
          </w:tcPr>
          <w:p>
            <w:pPr>
              <w:pStyle w:val="55"/>
              <w:pageBreakBefore w:val="0"/>
              <w:wordWrap/>
              <w:bidi w:val="0"/>
              <w:adjustRightInd w:val="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54.0</w:t>
            </w:r>
          </w:p>
        </w:tc>
        <w:tc>
          <w:tcPr>
            <w:tcW w:w="349" w:type="pct"/>
            <w:tcBorders>
              <w:tl2br w:val="nil"/>
              <w:tr2bl w:val="nil"/>
            </w:tcBorders>
            <w:noWrap w:val="0"/>
            <w:vAlign w:val="center"/>
          </w:tcPr>
          <w:p>
            <w:pPr>
              <w:pStyle w:val="55"/>
              <w:pageBreakBefore w:val="0"/>
              <w:wordWrap/>
              <w:bidi w:val="0"/>
              <w:adjustRightInd w:val="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52.0</w:t>
            </w:r>
          </w:p>
        </w:tc>
        <w:tc>
          <w:tcPr>
            <w:tcW w:w="349" w:type="pct"/>
            <w:tcBorders>
              <w:tl2br w:val="nil"/>
              <w:tr2bl w:val="nil"/>
            </w:tcBorders>
            <w:noWrap w:val="0"/>
            <w:vAlign w:val="center"/>
          </w:tcPr>
          <w:p>
            <w:pPr>
              <w:pStyle w:val="55"/>
              <w:pageBreakBefore w:val="0"/>
              <w:wordWrap/>
              <w:bidi w:val="0"/>
              <w:adjustRightInd w:val="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50.4</w:t>
            </w:r>
          </w:p>
        </w:tc>
        <w:tc>
          <w:tcPr>
            <w:tcW w:w="349" w:type="pct"/>
            <w:tcBorders>
              <w:tl2br w:val="nil"/>
              <w:tr2bl w:val="nil"/>
            </w:tcBorders>
            <w:noWrap w:val="0"/>
            <w:vAlign w:val="center"/>
          </w:tcPr>
          <w:p>
            <w:pPr>
              <w:pStyle w:val="55"/>
              <w:pageBreakBefore w:val="0"/>
              <w:wordWrap/>
              <w:bidi w:val="0"/>
              <w:adjustRightInd w:val="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49.1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2209"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混凝土搅拌车</w:t>
            </w:r>
          </w:p>
        </w:tc>
        <w:tc>
          <w:tcPr>
            <w:tcW w:w="347"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84</w:t>
            </w:r>
          </w:p>
        </w:tc>
        <w:tc>
          <w:tcPr>
            <w:tcW w:w="349" w:type="pct"/>
            <w:tcBorders>
              <w:tl2br w:val="nil"/>
              <w:tr2bl w:val="nil"/>
            </w:tcBorders>
            <w:noWrap w:val="0"/>
            <w:vAlign w:val="center"/>
          </w:tcPr>
          <w:p>
            <w:pPr>
              <w:pStyle w:val="55"/>
              <w:pageBreakBefore w:val="0"/>
              <w:wordWrap/>
              <w:bidi w:val="0"/>
              <w:adjustRightInd w:val="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64.0</w:t>
            </w:r>
          </w:p>
        </w:tc>
        <w:tc>
          <w:tcPr>
            <w:tcW w:w="349" w:type="pct"/>
            <w:tcBorders>
              <w:tl2br w:val="nil"/>
              <w:tr2bl w:val="nil"/>
            </w:tcBorders>
            <w:noWrap w:val="0"/>
            <w:vAlign w:val="center"/>
          </w:tcPr>
          <w:p>
            <w:pPr>
              <w:pStyle w:val="55"/>
              <w:pageBreakBefore w:val="0"/>
              <w:wordWrap/>
              <w:bidi w:val="0"/>
              <w:adjustRightInd w:val="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58.0</w:t>
            </w:r>
          </w:p>
        </w:tc>
        <w:tc>
          <w:tcPr>
            <w:tcW w:w="349" w:type="pct"/>
            <w:tcBorders>
              <w:tl2br w:val="nil"/>
              <w:tr2bl w:val="nil"/>
            </w:tcBorders>
            <w:noWrap w:val="0"/>
            <w:vAlign w:val="center"/>
          </w:tcPr>
          <w:p>
            <w:pPr>
              <w:pStyle w:val="55"/>
              <w:pageBreakBefore w:val="0"/>
              <w:wordWrap/>
              <w:bidi w:val="0"/>
              <w:adjustRightInd w:val="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54.5</w:t>
            </w:r>
          </w:p>
        </w:tc>
        <w:tc>
          <w:tcPr>
            <w:tcW w:w="349" w:type="pct"/>
            <w:tcBorders>
              <w:tl2br w:val="nil"/>
              <w:tr2bl w:val="nil"/>
            </w:tcBorders>
            <w:noWrap w:val="0"/>
            <w:vAlign w:val="center"/>
          </w:tcPr>
          <w:p>
            <w:pPr>
              <w:pStyle w:val="55"/>
              <w:pageBreakBefore w:val="0"/>
              <w:wordWrap/>
              <w:bidi w:val="0"/>
              <w:adjustRightInd w:val="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52.0</w:t>
            </w:r>
          </w:p>
        </w:tc>
        <w:tc>
          <w:tcPr>
            <w:tcW w:w="349" w:type="pct"/>
            <w:tcBorders>
              <w:tl2br w:val="nil"/>
              <w:tr2bl w:val="nil"/>
            </w:tcBorders>
            <w:noWrap w:val="0"/>
            <w:vAlign w:val="center"/>
          </w:tcPr>
          <w:p>
            <w:pPr>
              <w:pStyle w:val="55"/>
              <w:pageBreakBefore w:val="0"/>
              <w:wordWrap/>
              <w:bidi w:val="0"/>
              <w:adjustRightInd w:val="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50.0</w:t>
            </w:r>
          </w:p>
        </w:tc>
        <w:tc>
          <w:tcPr>
            <w:tcW w:w="349" w:type="pct"/>
            <w:tcBorders>
              <w:tl2br w:val="nil"/>
              <w:tr2bl w:val="nil"/>
            </w:tcBorders>
            <w:noWrap w:val="0"/>
            <w:vAlign w:val="center"/>
          </w:tcPr>
          <w:p>
            <w:pPr>
              <w:pStyle w:val="55"/>
              <w:pageBreakBefore w:val="0"/>
              <w:wordWrap/>
              <w:bidi w:val="0"/>
              <w:adjustRightInd w:val="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48.4</w:t>
            </w:r>
          </w:p>
        </w:tc>
        <w:tc>
          <w:tcPr>
            <w:tcW w:w="349" w:type="pct"/>
            <w:tcBorders>
              <w:tl2br w:val="nil"/>
              <w:tr2bl w:val="nil"/>
            </w:tcBorders>
            <w:noWrap w:val="0"/>
            <w:vAlign w:val="center"/>
          </w:tcPr>
          <w:p>
            <w:pPr>
              <w:pStyle w:val="55"/>
              <w:pageBreakBefore w:val="0"/>
              <w:wordWrap/>
              <w:bidi w:val="0"/>
              <w:adjustRightInd w:val="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46.1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1" w:hRule="atLeast"/>
          <w:jc w:val="center"/>
        </w:trPr>
        <w:tc>
          <w:tcPr>
            <w:tcW w:w="2209"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压路机</w:t>
            </w:r>
          </w:p>
        </w:tc>
        <w:tc>
          <w:tcPr>
            <w:tcW w:w="347"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86</w:t>
            </w:r>
          </w:p>
        </w:tc>
        <w:tc>
          <w:tcPr>
            <w:tcW w:w="349" w:type="pct"/>
            <w:tcBorders>
              <w:tl2br w:val="nil"/>
              <w:tr2bl w:val="nil"/>
            </w:tcBorders>
            <w:noWrap w:val="0"/>
            <w:vAlign w:val="center"/>
          </w:tcPr>
          <w:p>
            <w:pPr>
              <w:pStyle w:val="55"/>
              <w:pageBreakBefore w:val="0"/>
              <w:wordWrap/>
              <w:bidi w:val="0"/>
              <w:adjustRightInd w:val="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66.0</w:t>
            </w:r>
          </w:p>
        </w:tc>
        <w:tc>
          <w:tcPr>
            <w:tcW w:w="349" w:type="pct"/>
            <w:tcBorders>
              <w:tl2br w:val="nil"/>
              <w:tr2bl w:val="nil"/>
            </w:tcBorders>
            <w:noWrap w:val="0"/>
            <w:vAlign w:val="center"/>
          </w:tcPr>
          <w:p>
            <w:pPr>
              <w:pStyle w:val="55"/>
              <w:pageBreakBefore w:val="0"/>
              <w:wordWrap/>
              <w:bidi w:val="0"/>
              <w:adjustRightInd w:val="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60.0</w:t>
            </w:r>
          </w:p>
        </w:tc>
        <w:tc>
          <w:tcPr>
            <w:tcW w:w="349" w:type="pct"/>
            <w:tcBorders>
              <w:tl2br w:val="nil"/>
              <w:tr2bl w:val="nil"/>
            </w:tcBorders>
            <w:noWrap w:val="0"/>
            <w:vAlign w:val="center"/>
          </w:tcPr>
          <w:p>
            <w:pPr>
              <w:pStyle w:val="55"/>
              <w:pageBreakBefore w:val="0"/>
              <w:wordWrap/>
              <w:bidi w:val="0"/>
              <w:adjustRightInd w:val="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56.5</w:t>
            </w:r>
          </w:p>
        </w:tc>
        <w:tc>
          <w:tcPr>
            <w:tcW w:w="349" w:type="pct"/>
            <w:tcBorders>
              <w:tl2br w:val="nil"/>
              <w:tr2bl w:val="nil"/>
            </w:tcBorders>
            <w:noWrap w:val="0"/>
            <w:vAlign w:val="center"/>
          </w:tcPr>
          <w:p>
            <w:pPr>
              <w:pStyle w:val="55"/>
              <w:pageBreakBefore w:val="0"/>
              <w:wordWrap/>
              <w:bidi w:val="0"/>
              <w:adjustRightInd w:val="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54.0</w:t>
            </w:r>
          </w:p>
        </w:tc>
        <w:tc>
          <w:tcPr>
            <w:tcW w:w="349" w:type="pct"/>
            <w:tcBorders>
              <w:tl2br w:val="nil"/>
              <w:tr2bl w:val="nil"/>
            </w:tcBorders>
            <w:noWrap w:val="0"/>
            <w:vAlign w:val="center"/>
          </w:tcPr>
          <w:p>
            <w:pPr>
              <w:pStyle w:val="55"/>
              <w:pageBreakBefore w:val="0"/>
              <w:wordWrap/>
              <w:bidi w:val="0"/>
              <w:adjustRightInd w:val="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52.0</w:t>
            </w:r>
          </w:p>
        </w:tc>
        <w:tc>
          <w:tcPr>
            <w:tcW w:w="349" w:type="pct"/>
            <w:tcBorders>
              <w:tl2br w:val="nil"/>
              <w:tr2bl w:val="nil"/>
            </w:tcBorders>
            <w:noWrap w:val="0"/>
            <w:vAlign w:val="center"/>
          </w:tcPr>
          <w:p>
            <w:pPr>
              <w:pStyle w:val="55"/>
              <w:pageBreakBefore w:val="0"/>
              <w:wordWrap/>
              <w:bidi w:val="0"/>
              <w:adjustRightInd w:val="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50.4</w:t>
            </w:r>
          </w:p>
        </w:tc>
        <w:tc>
          <w:tcPr>
            <w:tcW w:w="349" w:type="pct"/>
            <w:tcBorders>
              <w:tl2br w:val="nil"/>
              <w:tr2bl w:val="nil"/>
            </w:tcBorders>
            <w:noWrap w:val="0"/>
            <w:vAlign w:val="center"/>
          </w:tcPr>
          <w:p>
            <w:pPr>
              <w:pStyle w:val="55"/>
              <w:pageBreakBefore w:val="0"/>
              <w:wordWrap/>
              <w:bidi w:val="0"/>
              <w:adjustRightInd w:val="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49.1</w:t>
            </w:r>
          </w:p>
        </w:tc>
      </w:tr>
    </w:tbl>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施工期噪声经过距离衰减后，施工场界</w:t>
      </w:r>
      <w:r>
        <w:rPr>
          <w:rFonts w:hint="default" w:ascii="Times New Roman" w:hAnsi="Times New Roman" w:cs="Times New Roman"/>
          <w:color w:val="auto"/>
          <w:highlight w:val="none"/>
          <w:lang w:val="en-US" w:eastAsia="zh-CN"/>
        </w:rPr>
        <w:t>30</w:t>
      </w:r>
      <w:r>
        <w:rPr>
          <w:rFonts w:hint="default" w:ascii="Times New Roman" w:hAnsi="Times New Roman" w:cs="Times New Roman"/>
          <w:color w:val="auto"/>
          <w:highlight w:val="none"/>
        </w:rPr>
        <w:t>m外噪声可达到《建筑施工场界环境噪声排放标准》（GB12523-2011）昼间要求，施工场界</w:t>
      </w:r>
      <w:r>
        <w:rPr>
          <w:rFonts w:hint="eastAsia" w:ascii="Times New Roman" w:hAnsi="Times New Roman" w:cs="Times New Roman"/>
          <w:color w:val="auto"/>
          <w:highlight w:val="none"/>
          <w:lang w:val="en-US" w:eastAsia="zh-CN"/>
        </w:rPr>
        <w:t>80</w:t>
      </w:r>
      <w:r>
        <w:rPr>
          <w:rFonts w:hint="default" w:ascii="Times New Roman" w:hAnsi="Times New Roman" w:cs="Times New Roman"/>
          <w:color w:val="auto"/>
          <w:highlight w:val="none"/>
        </w:rPr>
        <w:t>m外噪声可达到《建筑施工场界环境噪声排放标准》（GB12523-2011）</w:t>
      </w:r>
      <w:r>
        <w:rPr>
          <w:rFonts w:hint="eastAsia" w:ascii="Times New Roman" w:hAnsi="Times New Roman" w:cs="Times New Roman"/>
          <w:color w:val="auto"/>
          <w:highlight w:val="none"/>
          <w:lang w:val="en-US" w:eastAsia="zh-CN"/>
        </w:rPr>
        <w:t>夜间</w:t>
      </w:r>
      <w:r>
        <w:rPr>
          <w:rFonts w:hint="default" w:ascii="Times New Roman" w:hAnsi="Times New Roman" w:cs="Times New Roman"/>
          <w:color w:val="auto"/>
          <w:highlight w:val="none"/>
        </w:rPr>
        <w:t>要求</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项目区场界</w:t>
      </w:r>
      <w:r>
        <w:rPr>
          <w:rFonts w:hint="eastAsia" w:ascii="Times New Roman" w:hAnsi="Times New Roman" w:cs="Times New Roman"/>
          <w:color w:val="auto"/>
          <w:highlight w:val="none"/>
          <w:lang w:val="en-US" w:eastAsia="zh-CN"/>
        </w:rPr>
        <w:t>80</w:t>
      </w:r>
      <w:r>
        <w:rPr>
          <w:rFonts w:hint="default" w:ascii="Times New Roman" w:hAnsi="Times New Roman" w:cs="Times New Roman"/>
          <w:color w:val="auto"/>
          <w:highlight w:val="none"/>
        </w:rPr>
        <w:t>m外无居民点，噪声对周围环境影响不大，施工期噪声影响对象主要为施工人员，随着施工的结束，</w:t>
      </w:r>
      <w:r>
        <w:rPr>
          <w:rFonts w:hint="default" w:ascii="Times New Roman" w:hAnsi="Times New Roman" w:cs="Times New Roman"/>
          <w:color w:val="auto"/>
          <w:highlight w:val="none"/>
          <w:lang w:eastAsia="zh-CN"/>
        </w:rPr>
        <w:t>施工机械</w:t>
      </w:r>
      <w:r>
        <w:rPr>
          <w:rFonts w:hint="default" w:ascii="Times New Roman" w:hAnsi="Times New Roman" w:cs="Times New Roman"/>
          <w:color w:val="auto"/>
          <w:highlight w:val="none"/>
        </w:rPr>
        <w:t>噪声影响也随之消失。</w:t>
      </w:r>
    </w:p>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233" w:name="_Toc18970"/>
      <w:r>
        <w:rPr>
          <w:rFonts w:hint="default" w:ascii="Times New Roman" w:hAnsi="Times New Roman" w:cs="Times New Roman"/>
          <w:color w:val="auto"/>
          <w:highlight w:val="none"/>
        </w:rPr>
        <w:t>施工期水环境影响分析</w:t>
      </w:r>
      <w:bookmarkEnd w:id="233"/>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w:t>
      </w:r>
      <w:r>
        <w:rPr>
          <w:rFonts w:hint="eastAsia" w:cs="Times New Roman"/>
          <w:color w:val="auto"/>
          <w:highlight w:val="none"/>
          <w:lang w:val="en-US" w:eastAsia="zh-CN"/>
        </w:rPr>
        <w:t>期</w:t>
      </w:r>
      <w:r>
        <w:rPr>
          <w:rFonts w:hint="default" w:ascii="Times New Roman" w:hAnsi="Times New Roman" w:cs="Times New Roman"/>
          <w:color w:val="auto"/>
          <w:highlight w:val="none"/>
        </w:rPr>
        <w:t>废水主要来源以下几个方面：</w:t>
      </w:r>
    </w:p>
    <w:p>
      <w:pPr>
        <w:pageBreakBefore w:val="0"/>
        <w:wordWrap/>
        <w:bidi w:val="0"/>
        <w:adjustRightInd w:val="0"/>
        <w:ind w:left="0" w:leftChars="0" w:right="0" w:rightChars="0" w:firstLine="480"/>
        <w:rPr>
          <w:rFonts w:hint="default" w:ascii="Times New Roman" w:hAnsi="Times New Roman" w:cs="Times New Roman"/>
          <w:color w:val="auto"/>
          <w:highlight w:val="none"/>
        </w:rPr>
      </w:pPr>
      <w:bookmarkStart w:id="234" w:name="_Toc27615_WPSOffice_Level3"/>
      <w:bookmarkStart w:id="235" w:name="_Toc26181_WPSOffice_Level3"/>
      <w:r>
        <w:rPr>
          <w:rFonts w:hint="default" w:ascii="Times New Roman" w:hAnsi="Times New Roman" w:cs="Times New Roman"/>
          <w:color w:val="auto"/>
          <w:highlight w:val="none"/>
        </w:rPr>
        <w:t>（1）施工废水</w:t>
      </w:r>
      <w:bookmarkEnd w:id="234"/>
      <w:bookmarkEnd w:id="235"/>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施工废水主要为车辆</w:t>
      </w:r>
      <w:r>
        <w:rPr>
          <w:rFonts w:hint="default" w:ascii="Times New Roman" w:hAnsi="Times New Roman" w:cs="Times New Roman"/>
          <w:color w:val="auto"/>
          <w:highlight w:val="none"/>
          <w:lang w:val="en-US" w:eastAsia="zh-CN"/>
        </w:rPr>
        <w:t>轮胎冲洗</w:t>
      </w:r>
      <w:r>
        <w:rPr>
          <w:rFonts w:hint="default" w:ascii="Times New Roman" w:hAnsi="Times New Roman" w:cs="Times New Roman"/>
          <w:color w:val="auto"/>
          <w:highlight w:val="none"/>
        </w:rPr>
        <w:t>水。废水中含固体杂质较多，以泥沙为主，主要修建圈舍、硬化地面等，工程量不大，因此，施工废水产生量较小，在施工现场可蒸发消耗，对项目区水环境影响较小。</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（2）生活污水</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本项目施工人员及工地管理人员合计约</w:t>
      </w:r>
      <w:r>
        <w:rPr>
          <w:rFonts w:hint="default" w:ascii="Times New Roman" w:hAnsi="Times New Roman" w:cs="Times New Roman"/>
          <w:color w:val="auto"/>
          <w:highlight w:val="none"/>
          <w:lang w:val="en-US" w:eastAsia="zh-CN"/>
        </w:rPr>
        <w:t>50</w:t>
      </w:r>
      <w:r>
        <w:rPr>
          <w:rFonts w:hint="default" w:ascii="Times New Roman" w:hAnsi="Times New Roman" w:cs="Times New Roman"/>
          <w:color w:val="auto"/>
          <w:highlight w:val="none"/>
        </w:rPr>
        <w:t>人，施工生活污水按</w:t>
      </w:r>
      <w:r>
        <w:rPr>
          <w:rFonts w:hint="default" w:ascii="Times New Roman" w:hAnsi="Times New Roman" w:cs="Times New Roman"/>
          <w:color w:val="auto"/>
          <w:highlight w:val="none"/>
          <w:lang w:val="en-US" w:eastAsia="zh-CN"/>
        </w:rPr>
        <w:t>30</w:t>
      </w:r>
      <w:r>
        <w:rPr>
          <w:rFonts w:hint="default" w:ascii="Times New Roman" w:hAnsi="Times New Roman" w:cs="Times New Roman"/>
          <w:color w:val="auto"/>
          <w:highlight w:val="none"/>
        </w:rPr>
        <w:t>L/人·d计，产生量为</w:t>
      </w:r>
      <w:r>
        <w:rPr>
          <w:rFonts w:hint="default" w:ascii="Times New Roman" w:hAnsi="Times New Roman" w:cs="Times New Roman"/>
          <w:color w:val="auto"/>
          <w:highlight w:val="none"/>
          <w:lang w:val="en-US" w:eastAsia="zh-CN"/>
        </w:rPr>
        <w:t>1.2</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/d。由于生活污水水量较小，不会对环境造成明显影响。</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施工废水在施工现场可蒸发消耗。施工生活污水</w:t>
      </w:r>
      <w:r>
        <w:rPr>
          <w:rFonts w:hint="default" w:ascii="Times New Roman" w:hAnsi="Times New Roman" w:cs="Times New Roman"/>
          <w:color w:val="auto"/>
          <w:highlight w:val="none"/>
          <w:lang w:val="en-US" w:eastAsia="zh-CN"/>
        </w:rPr>
        <w:t>新建</w:t>
      </w:r>
      <w:r>
        <w:rPr>
          <w:rFonts w:hint="default" w:ascii="Times New Roman" w:hAnsi="Times New Roman" w:cs="Times New Roman"/>
          <w:color w:val="auto"/>
          <w:highlight w:val="none"/>
          <w:lang w:eastAsia="zh-CN"/>
        </w:rPr>
        <w:t>集污池收集</w:t>
      </w:r>
      <w:r>
        <w:rPr>
          <w:rFonts w:hint="default" w:ascii="Times New Roman" w:hAnsi="Times New Roman" w:cs="Times New Roman"/>
          <w:color w:val="auto"/>
          <w:highlight w:val="none"/>
        </w:rPr>
        <w:t>。施工期废水对项目区水环境影响不大。</w:t>
      </w:r>
    </w:p>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236" w:name="_Toc30810"/>
      <w:r>
        <w:rPr>
          <w:rFonts w:hint="default" w:ascii="Times New Roman" w:hAnsi="Times New Roman" w:cs="Times New Roman"/>
          <w:color w:val="auto"/>
          <w:highlight w:val="none"/>
        </w:rPr>
        <w:t>施工期固体废物影响分析</w:t>
      </w:r>
      <w:bookmarkEnd w:id="236"/>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施工期主要固体废物包括土建工程开挖产生的弃土、建（构）筑物产生的建筑垃圾和施工人员产生的生活垃圾等。</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（1）弃土</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项目所在地地势比较平坦，项目区工程建设产生的弃土方全部用于场地平整。</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（2）建筑垃圾</w:t>
      </w:r>
    </w:p>
    <w:p>
      <w:pPr>
        <w:pageBreakBefore w:val="0"/>
        <w:wordWrap/>
        <w:autoSpaceDE w:val="0"/>
        <w:autoSpaceDN w:val="0"/>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本项目在建（构）筑物的建设过程中，会形成废弃砖石、废弃金属材料等固体废物。项目施工期产生的建筑垃圾应运至</w:t>
      </w:r>
      <w:r>
        <w:rPr>
          <w:rFonts w:hint="eastAsia" w:cs="Times New Roman"/>
          <w:color w:val="0000FF"/>
          <w:sz w:val="24"/>
          <w:szCs w:val="24"/>
          <w:highlight w:val="none"/>
          <w:lang w:eastAsia="zh-CN"/>
        </w:rPr>
        <w:t>管理部门指定地点</w:t>
      </w:r>
      <w:r>
        <w:rPr>
          <w:rFonts w:hint="default" w:ascii="Times New Roman" w:hAnsi="Times New Roman" w:cs="Times New Roman"/>
          <w:color w:val="auto"/>
          <w:highlight w:val="none"/>
        </w:rPr>
        <w:t>。</w:t>
      </w:r>
    </w:p>
    <w:p>
      <w:pPr>
        <w:pageBreakBefore w:val="0"/>
        <w:wordWrap/>
        <w:autoSpaceDE w:val="0"/>
        <w:autoSpaceDN w:val="0"/>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（3）生活垃圾</w:t>
      </w:r>
    </w:p>
    <w:p>
      <w:pPr>
        <w:pageBreakBefore w:val="0"/>
        <w:wordWrap/>
        <w:autoSpaceDE w:val="0"/>
        <w:autoSpaceDN w:val="0"/>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本项目施工人员及工地管理人员合计约</w:t>
      </w:r>
      <w:r>
        <w:rPr>
          <w:rFonts w:hint="default" w:ascii="Times New Roman" w:hAnsi="Times New Roman" w:cs="Times New Roman"/>
          <w:color w:val="auto"/>
          <w:highlight w:val="none"/>
          <w:lang w:val="en-US" w:eastAsia="zh-CN"/>
        </w:rPr>
        <w:t>50</w:t>
      </w:r>
      <w:r>
        <w:rPr>
          <w:rFonts w:hint="default" w:ascii="Times New Roman" w:hAnsi="Times New Roman" w:cs="Times New Roman"/>
          <w:color w:val="auto"/>
          <w:highlight w:val="none"/>
        </w:rPr>
        <w:t>人，施工生活垃圾按0.5kg/人·d计，生活垃圾产生量为</w:t>
      </w:r>
      <w:r>
        <w:rPr>
          <w:rFonts w:hint="default" w:ascii="Times New Roman" w:hAnsi="Times New Roman" w:cs="Times New Roman"/>
          <w:color w:val="auto"/>
          <w:highlight w:val="none"/>
          <w:lang w:val="en-US" w:eastAsia="zh-CN"/>
        </w:rPr>
        <w:t>25</w:t>
      </w:r>
      <w:r>
        <w:rPr>
          <w:rFonts w:hint="default" w:ascii="Times New Roman" w:hAnsi="Times New Roman" w:cs="Times New Roman"/>
          <w:color w:val="auto"/>
          <w:highlight w:val="none"/>
        </w:rPr>
        <w:t>kg/d，会造成区域环境污染。项目区设置垃圾收集箱集中收集生活垃圾。收集后定期由环卫部门清运处置，对环境影响较小。</w:t>
      </w:r>
    </w:p>
    <w:p>
      <w:pPr>
        <w:pageBreakBefore w:val="0"/>
        <w:wordWrap/>
        <w:autoSpaceDE w:val="0"/>
        <w:autoSpaceDN w:val="0"/>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通过本评价提出的处置等措施后，可做到固废妥善收集、合理处置，对项目周边环境影响不大。</w:t>
      </w:r>
    </w:p>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237" w:name="_Toc13539"/>
      <w:r>
        <w:rPr>
          <w:rFonts w:hint="default" w:ascii="Times New Roman" w:hAnsi="Times New Roman" w:cs="Times New Roman"/>
          <w:color w:val="auto"/>
          <w:highlight w:val="none"/>
        </w:rPr>
        <w:t>施工期生态影响分析</w:t>
      </w:r>
      <w:bookmarkEnd w:id="237"/>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经现场踏勘，项目区域无受保护的野生动植物，无珍稀、濒危的野生动植物分布。项目区及其可能影响范围内，因周边人类活动较频繁，野生动物的种类和数量非常有限，常见麻雀、喜鹊等鸟类、小家鼠等活动。该工程施工期对生态影响主要是破坏项目区地表植被，土壤扰动，区域水土流失。</w:t>
      </w:r>
    </w:p>
    <w:p>
      <w:pPr>
        <w:pStyle w:val="6"/>
        <w:pageBreakBefore w:val="0"/>
        <w:wordWrap/>
        <w:bidi w:val="0"/>
        <w:adjustRightInd w:val="0"/>
        <w:ind w:left="0" w:leftChars="0"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占地对生态环境的影响</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r>
        <w:rPr>
          <w:rFonts w:hint="default" w:ascii="Times New Roman" w:hAnsi="Times New Roman" w:cs="Times New Roman"/>
          <w:color w:val="auto"/>
          <w:highlight w:val="none"/>
          <w:lang w:val="en-US" w:eastAsia="zh-CN"/>
        </w:rPr>
        <w:t>占地面积为667030.39平方米</w:t>
      </w:r>
      <w:r>
        <w:rPr>
          <w:rFonts w:hint="default" w:ascii="Times New Roman" w:hAnsi="Times New Roman" w:cs="Times New Roman"/>
          <w:color w:val="auto"/>
          <w:highlight w:val="none"/>
        </w:rPr>
        <w:t>，施工期主要影响是开挖地基，弃土堆放、机械施工造成植被破坏、水土流失等。</w:t>
      </w:r>
    </w:p>
    <w:p>
      <w:pPr>
        <w:pStyle w:val="6"/>
        <w:pageBreakBefore w:val="0"/>
        <w:wordWrap/>
        <w:bidi w:val="0"/>
        <w:adjustRightInd w:val="0"/>
        <w:ind w:left="0" w:leftChars="0"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土地利用格局改变对生态环境的影响</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本项目的建设使土地利用格局发生了变化，这一变化将使区域内局部地块的功能彻底发生改变。根据项目区土地利用及占用情况，项目实施改变原有用地现状，土壤扰动，地表自然植被的减少等生态影响。</w:t>
      </w:r>
    </w:p>
    <w:p>
      <w:pPr>
        <w:pStyle w:val="6"/>
        <w:pageBreakBefore w:val="0"/>
        <w:wordWrap/>
        <w:bidi w:val="0"/>
        <w:adjustRightInd w:val="0"/>
        <w:ind w:left="0" w:leftChars="0"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土壤结构的影响</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施工期对原有生态环境最为显著的影响，是对占地部分原有土壤结构的改变。在施工过程中，项目设置临时表土堆场，要注意表层土的剥离和保护，对表土加盖篷布。</w:t>
      </w:r>
    </w:p>
    <w:p>
      <w:pPr>
        <w:pStyle w:val="6"/>
        <w:pageBreakBefore w:val="0"/>
        <w:wordWrap/>
        <w:bidi w:val="0"/>
        <w:adjustRightInd w:val="0"/>
        <w:ind w:left="0" w:leftChars="0"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对植被的影响</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（1）施工占地对植被影响分析</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在施工期间，由于开挖填埋，机械与车辆碾压、人员践踏等，使施工作业带内的土壤植被受到破坏，在施工结束后，可以依靠植被的自然恢复。</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（2）污染物对植物的影响</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工程建设中的扬尘是对植物生长产生影响的因素之一，但由于该区域地形开阔使得大气中的扬尘易扩散。因此，在正常情况下施工扬尘浓度低，工期短，对植被影响不大。施工期污水产生量很少，而且水质成分简单，不会对植被产生影响。</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（3）人为活动对植被的影响</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人为活动对植被的影响主要表现为施工人员和作业机械对稀疏植被的践踏、碾压等，这种影响一般为短期性影响，且强度不大，施工结束，这一影响也逐渐消除。</w:t>
      </w:r>
    </w:p>
    <w:p>
      <w:pPr>
        <w:pStyle w:val="6"/>
        <w:pageBreakBefore w:val="0"/>
        <w:wordWrap/>
        <w:bidi w:val="0"/>
        <w:adjustRightInd w:val="0"/>
        <w:ind w:left="0" w:leftChars="0"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水土流失的影响</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在施工过程中，因运输材料、堆放材料，平整土地等，不可避免的要破坏地表植被，扰动土壤，在大风或者下雨时会加重水土流失。另外，</w:t>
      </w:r>
      <w:r>
        <w:rPr>
          <w:rFonts w:hint="default" w:ascii="Times New Roman" w:hAnsi="Times New Roman" w:cs="Times New Roman"/>
          <w:color w:val="auto"/>
          <w:highlight w:val="none"/>
          <w:lang w:eastAsia="zh-CN"/>
        </w:rPr>
        <w:t>施工期</w:t>
      </w:r>
      <w:r>
        <w:rPr>
          <w:rFonts w:hint="default" w:ascii="Times New Roman" w:hAnsi="Times New Roman" w:cs="Times New Roman"/>
          <w:color w:val="auto"/>
          <w:highlight w:val="none"/>
        </w:rPr>
        <w:t>土石方的开挖、地表的裸露，将扰动表土结构，土壤抗蚀能力减弱，在大风或大雨的作用下，会造成水土流失。因此，应采取项目建设从设计到施工，都应始终坚持节约用地的原则，土石方工程尽量移挖作填，要做到少取土，少弃土，最大限度减少临时用地。工程施工期土石方应做到随挖随运，随填随压，不留松石土，以减少水土流失和尘土飞扬。堆场加盖篷布，施工场地洒水抑尘。</w:t>
      </w:r>
    </w:p>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238" w:name="_Toc2079"/>
      <w:r>
        <w:rPr>
          <w:rFonts w:hint="default" w:ascii="Times New Roman" w:hAnsi="Times New Roman" w:cs="Times New Roman"/>
          <w:color w:val="auto"/>
          <w:highlight w:val="none"/>
        </w:rPr>
        <w:t>小结</w:t>
      </w:r>
      <w:bookmarkEnd w:id="238"/>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施工期对环境的影响是暂时的，其主要影响为：</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（1）废气污染源主要是施工工地扬尘、施工机械燃油排放的废气以及运输汽车尾气；</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（2）噪声污染源主要是高噪声施工机械及大中型运输车辆；</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（3）废水污染源主要是生活污水、车辆和机械冲洗水等；</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（4）施工期还产生的建筑垃圾和生活垃圾</w:t>
      </w:r>
      <w:r>
        <w:rPr>
          <w:rFonts w:hint="default" w:ascii="Times New Roman" w:hAnsi="Times New Roman" w:cs="Times New Roman"/>
          <w:color w:val="auto"/>
          <w:highlight w:val="none"/>
          <w:lang w:eastAsia="zh-CN"/>
        </w:rPr>
        <w:t>；</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（5）施工期生态影响主要是对土壤和植被的影响。</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这些都不可避免地会对周围环境，特别是对噪声和大气环境造成影响。施工期的环境管理是控制施工期环境影响的关键。建议建设单位按照国家的有关规定，采取本环评所建议的防治措施，以控制、减少施工期的环境影响。</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本项目土建工程量不大，且施工时间较短，施工活动对场区周围环境影响不大。</w:t>
      </w:r>
    </w:p>
    <w:bookmarkEnd w:id="225"/>
    <w:p>
      <w:pPr>
        <w:pStyle w:val="4"/>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239" w:name="_Toc6099"/>
      <w:bookmarkStart w:id="240" w:name="_Toc21014"/>
      <w:bookmarkStart w:id="241" w:name="_Toc28645"/>
      <w:r>
        <w:rPr>
          <w:rFonts w:hint="default" w:ascii="Times New Roman" w:hAnsi="Times New Roman" w:cs="Times New Roman"/>
          <w:color w:val="auto"/>
          <w:highlight w:val="none"/>
        </w:rPr>
        <w:t>运营期环境影响分析</w:t>
      </w:r>
      <w:bookmarkEnd w:id="239"/>
      <w:bookmarkEnd w:id="240"/>
      <w:bookmarkEnd w:id="241"/>
    </w:p>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242" w:name="_Toc8369"/>
      <w:r>
        <w:rPr>
          <w:rFonts w:hint="default" w:ascii="Times New Roman" w:hAnsi="Times New Roman" w:cs="Times New Roman"/>
          <w:color w:val="auto"/>
          <w:highlight w:val="none"/>
        </w:rPr>
        <w:t>大气环境影响预测与分析</w:t>
      </w:r>
      <w:bookmarkEnd w:id="242"/>
    </w:p>
    <w:p>
      <w:pPr>
        <w:pStyle w:val="6"/>
        <w:pageBreakBefore w:val="0"/>
        <w:wordWrap/>
        <w:bidi w:val="0"/>
        <w:adjustRightInd w:val="0"/>
        <w:ind w:left="0" w:leftChars="0"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环境空气影响分析</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（1）预测模型选取</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根据《环境影响评价技术导则 大气环境》（HJ2.2-2018），本次预测采用导则推荐的AERSCREEN模式分析排放的污染物浓度下风向分布，评价其对区域大气环境的影响。</w:t>
      </w:r>
    </w:p>
    <w:p>
      <w:pPr>
        <w:pageBreakBefore w:val="0"/>
        <w:wordWrap/>
        <w:bidi w:val="0"/>
        <w:adjustRightInd w:val="0"/>
        <w:ind w:left="0" w:leftChars="0"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（2）估算模型参数选取</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本评价采用《环境影响</w:t>
      </w:r>
      <w:r>
        <w:rPr>
          <w:rFonts w:hint="eastAsia"/>
          <w:color w:val="auto"/>
          <w:lang w:val="en-US" w:eastAsia="zh-CN"/>
        </w:rPr>
        <w:t>评价</w:t>
      </w:r>
      <w:r>
        <w:rPr>
          <w:rFonts w:hint="default" w:ascii="Times New Roman" w:hAnsi="Times New Roman" w:cs="Times New Roman"/>
          <w:color w:val="auto"/>
          <w:highlight w:val="none"/>
        </w:rPr>
        <w:t>技术导则 大气环境》（HJ2.2-2018）推荐的估算模式ARESCREEN对项目产生的废气影响做简单预测，预测时不考虑建筑物下洗和海岸线熏烟情况，地面类型选择农村，估算模型计算参数表间表5.2-1。</w:t>
      </w:r>
    </w:p>
    <w:p>
      <w:pPr>
        <w:pStyle w:val="50"/>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表5.2-1      估算模型计算参数表</w:t>
      </w:r>
    </w:p>
    <w:tbl>
      <w:tblPr>
        <w:tblStyle w:val="39"/>
        <w:tblpPr w:leftFromText="180" w:rightFromText="180" w:vertAnchor="text" w:tblpXSpec="left" w:tblpY="1"/>
        <w:tblOverlap w:val="never"/>
        <w:tblW w:w="5002"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34"/>
        <w:gridCol w:w="2933"/>
        <w:gridCol w:w="29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5867" w:type="dxa"/>
            <w:gridSpan w:val="2"/>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参数</w:t>
            </w:r>
          </w:p>
        </w:tc>
        <w:tc>
          <w:tcPr>
            <w:tcW w:w="2932" w:type="dxa"/>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取值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2934" w:type="dxa"/>
            <w:vMerge w:val="restart"/>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城市/农村选项</w:t>
            </w:r>
          </w:p>
        </w:tc>
        <w:tc>
          <w:tcPr>
            <w:tcW w:w="2933" w:type="dxa"/>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城市/农村</w:t>
            </w:r>
          </w:p>
        </w:tc>
        <w:tc>
          <w:tcPr>
            <w:tcW w:w="2932" w:type="dxa"/>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农村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2934" w:type="dxa"/>
            <w:vMerge w:val="continue"/>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p>
        </w:tc>
        <w:tc>
          <w:tcPr>
            <w:tcW w:w="2933" w:type="dxa"/>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人口数（城市选项时）</w:t>
            </w:r>
          </w:p>
        </w:tc>
        <w:tc>
          <w:tcPr>
            <w:tcW w:w="2932" w:type="dxa"/>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5867" w:type="dxa"/>
            <w:gridSpan w:val="2"/>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最高环境温度/℃</w:t>
            </w:r>
          </w:p>
        </w:tc>
        <w:tc>
          <w:tcPr>
            <w:tcW w:w="2932" w:type="dxa"/>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5867" w:type="dxa"/>
            <w:gridSpan w:val="2"/>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最低环境温度/℃</w:t>
            </w:r>
          </w:p>
        </w:tc>
        <w:tc>
          <w:tcPr>
            <w:tcW w:w="2932" w:type="dxa"/>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5867" w:type="dxa"/>
            <w:gridSpan w:val="2"/>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土地利用类型</w:t>
            </w:r>
          </w:p>
        </w:tc>
        <w:tc>
          <w:tcPr>
            <w:tcW w:w="2932" w:type="dxa"/>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5867" w:type="dxa"/>
            <w:gridSpan w:val="2"/>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区域湿度条件</w:t>
            </w:r>
          </w:p>
        </w:tc>
        <w:tc>
          <w:tcPr>
            <w:tcW w:w="2932" w:type="dxa"/>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干旱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2934" w:type="dxa"/>
            <w:vMerge w:val="restar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是否考虑地形</w:t>
            </w:r>
          </w:p>
        </w:tc>
        <w:tc>
          <w:tcPr>
            <w:tcW w:w="2933"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考虑地形</w:t>
            </w:r>
          </w:p>
        </w:tc>
        <w:tc>
          <w:tcPr>
            <w:tcW w:w="2932" w:type="dxa"/>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2934" w:type="dxa"/>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p>
        </w:tc>
        <w:tc>
          <w:tcPr>
            <w:tcW w:w="2933"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地形数据分辨率</w:t>
            </w:r>
            <w:r>
              <w:rPr>
                <w:rFonts w:hint="default" w:ascii="Times New Roman" w:hAnsi="Times New Roman" w:cs="Times New Roman"/>
                <w:color w:val="auto"/>
                <w:sz w:val="21"/>
                <w:szCs w:val="21"/>
                <w:highlight w:val="none"/>
                <w:lang w:val="en-US" w:eastAsia="zh-CN"/>
              </w:rPr>
              <w:t xml:space="preserve">/m </w:t>
            </w:r>
          </w:p>
        </w:tc>
        <w:tc>
          <w:tcPr>
            <w:tcW w:w="2932" w:type="dxa"/>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2934" w:type="dxa"/>
            <w:vMerge w:val="restar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是否考虑岸线熏烟</w:t>
            </w:r>
          </w:p>
        </w:tc>
        <w:tc>
          <w:tcPr>
            <w:tcW w:w="2933"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考虑岸线熏烟</w:t>
            </w:r>
          </w:p>
        </w:tc>
        <w:tc>
          <w:tcPr>
            <w:tcW w:w="2932" w:type="dxa"/>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2934" w:type="dxa"/>
            <w:vMerge w:val="continue"/>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p>
        </w:tc>
        <w:tc>
          <w:tcPr>
            <w:tcW w:w="2933" w:type="dxa"/>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岸线距离/km</w:t>
            </w:r>
          </w:p>
        </w:tc>
        <w:tc>
          <w:tcPr>
            <w:tcW w:w="2932"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2934" w:type="dxa"/>
            <w:vMerge w:val="continue"/>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p>
        </w:tc>
        <w:tc>
          <w:tcPr>
            <w:tcW w:w="2933" w:type="dxa"/>
            <w:tcBorders>
              <w:tl2br w:val="nil"/>
              <w:tr2bl w:val="nil"/>
            </w:tcBorders>
            <w:noWrap w:val="0"/>
            <w:vAlign w:val="top"/>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岸线方向/</w:t>
            </w:r>
            <w:r>
              <w:rPr>
                <w:rFonts w:hint="default" w:ascii="Times New Roman" w:hAnsi="Times New Roman" w:cs="Times New Roman"/>
                <w:color w:val="auto"/>
                <w:sz w:val="21"/>
                <w:szCs w:val="21"/>
                <w:highlight w:val="none"/>
                <w:rtl/>
              </w:rPr>
              <w:t>ﹾ</w:t>
            </w:r>
          </w:p>
        </w:tc>
        <w:tc>
          <w:tcPr>
            <w:tcW w:w="2932"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bl>
    <w:p>
      <w:pPr>
        <w:pageBreakBefore w:val="0"/>
        <w:wordWrap/>
        <w:bidi w:val="0"/>
        <w:adjustRightInd w:val="0"/>
        <w:ind w:left="0" w:leftChars="0"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（3）评价等级判定</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根据《环境影响评价技术导则 大气环境》（HJ2.2-2018），采用推荐模式中的估算模型AERSCREEN对污染物的最大地面占标率Pi（第i污染物）及第i个污染物的地面浓度达标准限值10%时所对应的最远距离D</w:t>
      </w:r>
      <w:r>
        <w:rPr>
          <w:rFonts w:hint="default" w:ascii="Times New Roman" w:hAnsi="Times New Roman" w:cs="Times New Roman"/>
          <w:color w:val="auto"/>
          <w:highlight w:val="none"/>
          <w:vertAlign w:val="subscript"/>
        </w:rPr>
        <w:t>10%</w:t>
      </w:r>
      <w:r>
        <w:rPr>
          <w:rFonts w:hint="default" w:ascii="Times New Roman" w:hAnsi="Times New Roman" w:cs="Times New Roman"/>
          <w:color w:val="auto"/>
          <w:highlight w:val="none"/>
        </w:rPr>
        <w:t>进行计算。Pi定义如下：</w:t>
      </w:r>
    </w:p>
    <w:p>
      <w:pPr>
        <w:pageBreakBefore w:val="0"/>
        <w:wordWrap/>
        <w:bidi w:val="0"/>
        <w:adjustRightInd w:val="0"/>
        <w:ind w:left="0" w:leftChars="0" w:right="0" w:rightChars="0" w:firstLine="1200" w:firstLineChars="500"/>
        <w:rPr>
          <w:rFonts w:hint="default" w:ascii="Times New Roman" w:hAnsi="Times New Roman" w:cs="Times New Roman"/>
          <w:color w:val="auto"/>
          <w:highlight w:val="none"/>
        </w:rPr>
      </w:pPr>
      <w:r>
        <w:rPr>
          <w:rFonts w:hint="default" w:ascii="Times New Roman" w:hAnsi="Times New Roman" w:cs="Times New Roman"/>
          <w:color w:val="auto"/>
          <w:highlight w:val="none"/>
        </w:rPr>
        <w:t>Pi＝Ci/C0i×100%</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式中：Pi—第i个污染物的最大地面浓度占标率，%；</w:t>
      </w:r>
    </w:p>
    <w:p>
      <w:pPr>
        <w:pageBreakBefore w:val="0"/>
        <w:wordWrap/>
        <w:bidi w:val="0"/>
        <w:adjustRightInd w:val="0"/>
        <w:ind w:left="0" w:leftChars="0" w:right="0" w:rightChars="0" w:firstLine="1200" w:firstLineChars="500"/>
        <w:rPr>
          <w:rFonts w:hint="default" w:ascii="Times New Roman" w:hAnsi="Times New Roman" w:cs="Times New Roman"/>
          <w:color w:val="auto"/>
          <w:highlight w:val="none"/>
        </w:rPr>
      </w:pPr>
      <w:r>
        <w:rPr>
          <w:rFonts w:hint="default" w:ascii="Times New Roman" w:hAnsi="Times New Roman" w:cs="Times New Roman"/>
          <w:color w:val="auto"/>
          <w:highlight w:val="none"/>
        </w:rPr>
        <w:t>Ci—采用估算模式计算出的第i个污染物的最大地面浓度，mg/m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p>
    <w:p>
      <w:pPr>
        <w:pageBreakBefore w:val="0"/>
        <w:wordWrap/>
        <w:bidi w:val="0"/>
        <w:adjustRightInd w:val="0"/>
        <w:ind w:left="0" w:leftChars="0" w:right="0" w:rightChars="0" w:firstLine="1200" w:firstLineChars="500"/>
        <w:rPr>
          <w:rFonts w:hint="default" w:ascii="Times New Roman" w:hAnsi="Times New Roman" w:cs="Times New Roman"/>
          <w:color w:val="auto"/>
          <w:highlight w:val="none"/>
        </w:rPr>
      </w:pPr>
      <w:r>
        <w:rPr>
          <w:rFonts w:hint="default" w:ascii="Times New Roman" w:hAnsi="Times New Roman" w:cs="Times New Roman"/>
          <w:color w:val="auto"/>
          <w:highlight w:val="none"/>
        </w:rPr>
        <w:t>C0i—第i个污染物的环境空气质量标准，mg/m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评价等级按下表的分级判据进行判别。</w:t>
      </w:r>
    </w:p>
    <w:p>
      <w:pPr>
        <w:pStyle w:val="56"/>
        <w:pageBreakBefore w:val="0"/>
        <w:tabs>
          <w:tab w:val="left" w:pos="5280"/>
        </w:tabs>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表5.2-2       评价等级判别表</w:t>
      </w:r>
    </w:p>
    <w:tbl>
      <w:tblPr>
        <w:tblStyle w:val="39"/>
        <w:tblW w:w="8559"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4280"/>
        <w:gridCol w:w="4279"/>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4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评价工作等级</w:t>
            </w:r>
          </w:p>
        </w:tc>
        <w:tc>
          <w:tcPr>
            <w:tcW w:w="42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评价工作分级判据</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4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一级评价</w:t>
            </w:r>
          </w:p>
        </w:tc>
        <w:tc>
          <w:tcPr>
            <w:tcW w:w="42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Pmax≥10%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4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二级评价</w:t>
            </w:r>
          </w:p>
        </w:tc>
        <w:tc>
          <w:tcPr>
            <w:tcW w:w="42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1%≤Pmax&lt;10%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4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三级评价</w:t>
            </w:r>
          </w:p>
        </w:tc>
        <w:tc>
          <w:tcPr>
            <w:tcW w:w="42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Pmax&lt;1%</w:t>
            </w:r>
          </w:p>
        </w:tc>
      </w:tr>
    </w:tbl>
    <w:p>
      <w:pPr>
        <w:pageBreakBefore w:val="0"/>
        <w:wordWrap/>
        <w:bidi w:val="0"/>
        <w:adjustRightInd w:val="0"/>
        <w:ind w:left="0" w:leftChars="0"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（4）污染源计算清单</w:t>
      </w:r>
    </w:p>
    <w:p>
      <w:pPr>
        <w:pageBreakBefore w:val="0"/>
        <w:wordWrap/>
        <w:bidi w:val="0"/>
        <w:adjustRightInd w:val="0"/>
        <w:ind w:left="0" w:leftChars="0" w:right="0" w:rightChars="0"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本项目主要大气污染因素为圈舍</w:t>
      </w:r>
      <w:r>
        <w:rPr>
          <w:rFonts w:hint="default" w:ascii="Times New Roman" w:hAnsi="Times New Roman" w:cs="Times New Roman"/>
          <w:color w:val="auto"/>
          <w:highlight w:val="none"/>
          <w:lang w:val="en-US" w:eastAsia="zh-CN"/>
        </w:rPr>
        <w:t>及堆粪场</w:t>
      </w:r>
      <w:r>
        <w:rPr>
          <w:rFonts w:hint="default" w:ascii="Times New Roman" w:hAnsi="Times New Roman" w:cs="Times New Roman"/>
          <w:color w:val="auto"/>
          <w:highlight w:val="none"/>
        </w:rPr>
        <w:t>产生的恶臭气体及饲料粉碎产生的颗粒物，根据本项目污染物排放特征，确定本项目预测因子为H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TSP</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本项目饲料库房布袋除尘排气筒为点源进行估算，点源参数见表5.2-3。</w:t>
      </w:r>
    </w:p>
    <w:p>
      <w:pPr>
        <w:pStyle w:val="56"/>
        <w:pageBreakBefore w:val="0"/>
        <w:wordWrap/>
        <w:bidi w:val="0"/>
        <w:adjustRightInd w:val="0"/>
        <w:ind w:left="0" w:leftChars="0" w:right="0" w:rightChars="0"/>
        <w:rPr>
          <w:rStyle w:val="46"/>
          <w:rFonts w:hint="default" w:ascii="Times New Roman" w:hAnsi="Times New Roman" w:cs="Times New Roman"/>
          <w:b w:val="0"/>
          <w:color w:val="auto"/>
          <w:sz w:val="21"/>
          <w:szCs w:val="21"/>
          <w:highlight w:val="none"/>
        </w:rPr>
      </w:pPr>
      <w:r>
        <w:rPr>
          <w:rFonts w:hint="default" w:ascii="Times New Roman" w:hAnsi="Times New Roman" w:cs="Times New Roman"/>
          <w:color w:val="auto"/>
          <w:sz w:val="21"/>
          <w:szCs w:val="21"/>
          <w:highlight w:val="none"/>
        </w:rPr>
        <w:t xml:space="preserve">表5.2-3      </w:t>
      </w:r>
      <w:r>
        <w:rPr>
          <w:rFonts w:hint="default" w:ascii="Times New Roman" w:hAnsi="Times New Roman" w:cs="Times New Roman"/>
          <w:color w:val="auto"/>
          <w:sz w:val="21"/>
          <w:szCs w:val="21"/>
          <w:highlight w:val="none"/>
          <w:lang w:val="en-US" w:eastAsia="zh-CN"/>
        </w:rPr>
        <w:t>点</w:t>
      </w:r>
      <w:r>
        <w:rPr>
          <w:rFonts w:hint="default" w:ascii="Times New Roman" w:hAnsi="Times New Roman" w:cs="Times New Roman"/>
          <w:color w:val="auto"/>
          <w:sz w:val="21"/>
          <w:szCs w:val="21"/>
          <w:highlight w:val="none"/>
        </w:rPr>
        <w:t>源源强参数表</w:t>
      </w:r>
    </w:p>
    <w:tbl>
      <w:tblPr>
        <w:tblStyle w:val="40"/>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953"/>
        <w:gridCol w:w="670"/>
        <w:gridCol w:w="693"/>
        <w:gridCol w:w="1076"/>
        <w:gridCol w:w="729"/>
        <w:gridCol w:w="745"/>
        <w:gridCol w:w="930"/>
        <w:gridCol w:w="729"/>
        <w:gridCol w:w="681"/>
        <w:gridCol w:w="14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3" w:hRule="atLeast"/>
        </w:trPr>
        <w:tc>
          <w:tcPr>
            <w:tcW w:w="549" w:type="pct"/>
            <w:vMerge w:val="restar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60" w:lineRule="exact"/>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名称</w:t>
            </w:r>
          </w:p>
        </w:tc>
        <w:tc>
          <w:tcPr>
            <w:tcW w:w="785" w:type="pct"/>
            <w:gridSpan w:val="2"/>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60" w:lineRule="exact"/>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排气筒底部中心坐标</w:t>
            </w:r>
          </w:p>
        </w:tc>
        <w:tc>
          <w:tcPr>
            <w:tcW w:w="620" w:type="pct"/>
            <w:vMerge w:val="restar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60" w:lineRule="exact"/>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排气筒底部海拔高度/m</w:t>
            </w:r>
          </w:p>
        </w:tc>
        <w:tc>
          <w:tcPr>
            <w:tcW w:w="420" w:type="pct"/>
            <w:vMerge w:val="restar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60" w:lineRule="exact"/>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排气筒高度/m</w:t>
            </w:r>
          </w:p>
        </w:tc>
        <w:tc>
          <w:tcPr>
            <w:tcW w:w="429" w:type="pct"/>
            <w:vMerge w:val="restar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60" w:lineRule="exact"/>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排气筒内径/m</w:t>
            </w:r>
          </w:p>
        </w:tc>
        <w:tc>
          <w:tcPr>
            <w:tcW w:w="536" w:type="pct"/>
            <w:vMerge w:val="restar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废气量（m³/h）</w:t>
            </w:r>
          </w:p>
        </w:tc>
        <w:tc>
          <w:tcPr>
            <w:tcW w:w="420" w:type="pct"/>
            <w:vMerge w:val="restar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60" w:lineRule="exact"/>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年排放小时数/h</w:t>
            </w:r>
          </w:p>
        </w:tc>
        <w:tc>
          <w:tcPr>
            <w:tcW w:w="392" w:type="pct"/>
            <w:vMerge w:val="restar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60" w:lineRule="exact"/>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排放工况</w:t>
            </w:r>
          </w:p>
        </w:tc>
        <w:tc>
          <w:tcPr>
            <w:tcW w:w="846"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60" w:lineRule="exact"/>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污染物排放速率（kg/h）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3" w:hRule="atLeast"/>
        </w:trPr>
        <w:tc>
          <w:tcPr>
            <w:tcW w:w="549" w:type="pct"/>
            <w:vMerge w:val="continue"/>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60" w:lineRule="exact"/>
              <w:ind w:left="0" w:leftChars="0" w:right="0" w:rightChars="0"/>
              <w:jc w:val="center"/>
              <w:textAlignment w:val="auto"/>
              <w:rPr>
                <w:rFonts w:hint="default" w:ascii="Times New Roman" w:hAnsi="Times New Roman" w:cs="Times New Roman"/>
                <w:color w:val="auto"/>
                <w:sz w:val="21"/>
                <w:szCs w:val="21"/>
                <w:highlight w:val="none"/>
              </w:rPr>
            </w:pPr>
          </w:p>
        </w:tc>
        <w:tc>
          <w:tcPr>
            <w:tcW w:w="386" w:type="pct"/>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X</w:t>
            </w:r>
          </w:p>
        </w:tc>
        <w:tc>
          <w:tcPr>
            <w:tcW w:w="399" w:type="pct"/>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Y</w:t>
            </w:r>
          </w:p>
        </w:tc>
        <w:tc>
          <w:tcPr>
            <w:tcW w:w="620" w:type="pct"/>
            <w:vMerge w:val="continue"/>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60" w:lineRule="exact"/>
              <w:ind w:left="0" w:leftChars="0" w:right="0" w:rightChars="0"/>
              <w:jc w:val="center"/>
              <w:textAlignment w:val="auto"/>
              <w:rPr>
                <w:rFonts w:hint="default" w:ascii="Times New Roman" w:hAnsi="Times New Roman" w:cs="Times New Roman"/>
                <w:color w:val="auto"/>
                <w:sz w:val="21"/>
                <w:szCs w:val="21"/>
                <w:highlight w:val="yellow"/>
              </w:rPr>
            </w:pPr>
          </w:p>
        </w:tc>
        <w:tc>
          <w:tcPr>
            <w:tcW w:w="420" w:type="pct"/>
            <w:vMerge w:val="continue"/>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60" w:lineRule="exact"/>
              <w:ind w:left="0" w:leftChars="0" w:right="0" w:rightChars="0"/>
              <w:jc w:val="center"/>
              <w:textAlignment w:val="auto"/>
              <w:rPr>
                <w:rFonts w:hint="default" w:ascii="Times New Roman" w:hAnsi="Times New Roman" w:cs="Times New Roman"/>
                <w:color w:val="auto"/>
                <w:sz w:val="21"/>
                <w:szCs w:val="21"/>
                <w:highlight w:val="none"/>
              </w:rPr>
            </w:pPr>
          </w:p>
        </w:tc>
        <w:tc>
          <w:tcPr>
            <w:tcW w:w="429" w:type="pct"/>
            <w:vMerge w:val="continue"/>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60" w:lineRule="exact"/>
              <w:ind w:left="0" w:leftChars="0" w:right="0" w:rightChars="0"/>
              <w:jc w:val="center"/>
              <w:textAlignment w:val="auto"/>
              <w:rPr>
                <w:rFonts w:hint="default" w:ascii="Times New Roman" w:hAnsi="Times New Roman" w:cs="Times New Roman"/>
                <w:color w:val="auto"/>
                <w:sz w:val="21"/>
                <w:szCs w:val="21"/>
                <w:highlight w:val="none"/>
              </w:rPr>
            </w:pPr>
          </w:p>
        </w:tc>
        <w:tc>
          <w:tcPr>
            <w:tcW w:w="536" w:type="pct"/>
            <w:vMerge w:val="continue"/>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60" w:lineRule="exact"/>
              <w:ind w:left="0" w:leftChars="0" w:right="0" w:rightChars="0"/>
              <w:jc w:val="center"/>
              <w:textAlignment w:val="auto"/>
              <w:rPr>
                <w:rFonts w:hint="default" w:ascii="Times New Roman" w:hAnsi="Times New Roman" w:cs="Times New Roman"/>
                <w:color w:val="auto"/>
                <w:sz w:val="21"/>
                <w:szCs w:val="21"/>
                <w:highlight w:val="none"/>
              </w:rPr>
            </w:pPr>
          </w:p>
        </w:tc>
        <w:tc>
          <w:tcPr>
            <w:tcW w:w="420" w:type="pct"/>
            <w:vMerge w:val="continue"/>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60" w:lineRule="exact"/>
              <w:ind w:left="0" w:leftChars="0" w:right="0" w:rightChars="0"/>
              <w:jc w:val="center"/>
              <w:textAlignment w:val="auto"/>
              <w:rPr>
                <w:rFonts w:hint="default" w:ascii="Times New Roman" w:hAnsi="Times New Roman" w:cs="Times New Roman"/>
                <w:color w:val="auto"/>
                <w:sz w:val="21"/>
                <w:szCs w:val="21"/>
                <w:highlight w:val="none"/>
              </w:rPr>
            </w:pPr>
          </w:p>
        </w:tc>
        <w:tc>
          <w:tcPr>
            <w:tcW w:w="392" w:type="pct"/>
            <w:vMerge w:val="continue"/>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60" w:lineRule="exact"/>
              <w:ind w:left="0" w:leftChars="0" w:right="0" w:rightChars="0"/>
              <w:jc w:val="center"/>
              <w:textAlignment w:val="auto"/>
              <w:rPr>
                <w:rFonts w:hint="default" w:ascii="Times New Roman" w:hAnsi="Times New Roman" w:cs="Times New Roman"/>
                <w:color w:val="auto"/>
                <w:sz w:val="21"/>
                <w:szCs w:val="21"/>
                <w:highlight w:val="none"/>
              </w:rPr>
            </w:pPr>
          </w:p>
        </w:tc>
        <w:tc>
          <w:tcPr>
            <w:tcW w:w="846"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60" w:lineRule="exact"/>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3" w:hRule="atLeast"/>
        </w:trPr>
        <w:tc>
          <w:tcPr>
            <w:tcW w:w="549"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60" w:lineRule="exact"/>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布袋除尘排气筒</w:t>
            </w:r>
          </w:p>
        </w:tc>
        <w:tc>
          <w:tcPr>
            <w:tcW w:w="386"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60" w:lineRule="exact"/>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10669</w:t>
            </w:r>
          </w:p>
        </w:tc>
        <w:tc>
          <w:tcPr>
            <w:tcW w:w="399"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60" w:lineRule="exact"/>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11467</w:t>
            </w:r>
          </w:p>
        </w:tc>
        <w:tc>
          <w:tcPr>
            <w:tcW w:w="620"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60" w:lineRule="exact"/>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494</w:t>
            </w:r>
          </w:p>
        </w:tc>
        <w:tc>
          <w:tcPr>
            <w:tcW w:w="420"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60" w:lineRule="exact"/>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w:t>
            </w:r>
          </w:p>
        </w:tc>
        <w:tc>
          <w:tcPr>
            <w:tcW w:w="429"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60" w:lineRule="exact"/>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w:t>
            </w:r>
          </w:p>
        </w:tc>
        <w:tc>
          <w:tcPr>
            <w:tcW w:w="536"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2000</w:t>
            </w:r>
          </w:p>
        </w:tc>
        <w:tc>
          <w:tcPr>
            <w:tcW w:w="420"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60" w:lineRule="exact"/>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730</w:t>
            </w:r>
          </w:p>
        </w:tc>
        <w:tc>
          <w:tcPr>
            <w:tcW w:w="392"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60" w:lineRule="exact"/>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正常</w:t>
            </w:r>
          </w:p>
        </w:tc>
        <w:tc>
          <w:tcPr>
            <w:tcW w:w="846"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60" w:lineRule="exact"/>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0.015</w:t>
            </w:r>
          </w:p>
        </w:tc>
      </w:tr>
    </w:tbl>
    <w:p>
      <w:pPr>
        <w:keepNext w:val="0"/>
        <w:keepLines w:val="0"/>
        <w:pageBreakBefore w:val="0"/>
        <w:widowControl w:val="0"/>
        <w:kinsoku/>
        <w:wordWrap/>
        <w:overflowPunct/>
        <w:topLinePunct w:val="0"/>
        <w:autoSpaceDE/>
        <w:autoSpaceDN/>
        <w:bidi w:val="0"/>
        <w:adjustRightInd w:val="0"/>
        <w:snapToGrid w:val="0"/>
        <w:spacing w:before="157" w:beforeLines="50"/>
        <w:ind w:left="0" w:leftChars="0" w:right="0" w:rightChars="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本次预测中将</w:t>
      </w:r>
      <w:r>
        <w:rPr>
          <w:rFonts w:hint="default" w:ascii="Times New Roman" w:hAnsi="Times New Roman" w:cs="Times New Roman"/>
          <w:color w:val="auto"/>
          <w:highlight w:val="none"/>
          <w:lang w:val="en-US" w:eastAsia="zh-CN"/>
        </w:rPr>
        <w:t>饲料加工间、养殖区、堆粪场分别</w:t>
      </w:r>
      <w:r>
        <w:rPr>
          <w:rFonts w:hint="default" w:ascii="Times New Roman" w:hAnsi="Times New Roman" w:cs="Times New Roman"/>
          <w:color w:val="auto"/>
          <w:highlight w:val="none"/>
        </w:rPr>
        <w:t>作为面源进行估算，利用《环境影响评价技术导则 大气环境》（HJ2.2-2018）推荐的估算模式AERSCREEN进行NH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w:t>
      </w:r>
      <w:r>
        <w:rPr>
          <w:rFonts w:hint="default" w:ascii="Times New Roman" w:hAnsi="Times New Roman" w:cs="Times New Roman"/>
          <w:color w:val="auto"/>
          <w:highlight w:val="none"/>
          <w:lang w:val="en-US" w:eastAsia="zh-CN"/>
        </w:rPr>
        <w:t>TSP落地</w:t>
      </w:r>
      <w:r>
        <w:rPr>
          <w:rFonts w:hint="default" w:ascii="Times New Roman" w:hAnsi="Times New Roman" w:cs="Times New Roman"/>
          <w:color w:val="auto"/>
          <w:highlight w:val="none"/>
        </w:rPr>
        <w:t>浓度及出现距离估算，面源源强参数见表5.2-</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w:t>
      </w:r>
    </w:p>
    <w:p>
      <w:pPr>
        <w:pStyle w:val="56"/>
        <w:pageBreakBefore w:val="0"/>
        <w:wordWrap/>
        <w:bidi w:val="0"/>
        <w:adjustRightInd w:val="0"/>
        <w:ind w:left="0" w:leftChars="0" w:right="0" w:rightChars="0"/>
        <w:rPr>
          <w:rStyle w:val="46"/>
          <w:rFonts w:hint="default" w:ascii="Times New Roman" w:hAnsi="Times New Roman" w:cs="Times New Roman"/>
          <w:b w:val="0"/>
          <w:color w:val="auto"/>
          <w:sz w:val="21"/>
          <w:szCs w:val="21"/>
          <w:highlight w:val="none"/>
        </w:rPr>
      </w:pPr>
      <w:r>
        <w:rPr>
          <w:rFonts w:hint="default" w:ascii="Times New Roman" w:hAnsi="Times New Roman" w:cs="Times New Roman"/>
          <w:color w:val="auto"/>
          <w:sz w:val="21"/>
          <w:szCs w:val="21"/>
          <w:highlight w:val="none"/>
        </w:rPr>
        <w:t>表5.2-</w:t>
      </w:r>
      <w:r>
        <w:rPr>
          <w:rFonts w:hint="default"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 xml:space="preserve">      面源源强参数表</w:t>
      </w:r>
    </w:p>
    <w:tbl>
      <w:tblPr>
        <w:tblStyle w:val="39"/>
        <w:tblW w:w="865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301"/>
        <w:gridCol w:w="769"/>
        <w:gridCol w:w="681"/>
        <w:gridCol w:w="646"/>
        <w:gridCol w:w="563"/>
        <w:gridCol w:w="427"/>
        <w:gridCol w:w="415"/>
        <w:gridCol w:w="672"/>
        <w:gridCol w:w="570"/>
        <w:gridCol w:w="540"/>
        <w:gridCol w:w="540"/>
        <w:gridCol w:w="861"/>
        <w:gridCol w:w="834"/>
        <w:gridCol w:w="8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27" w:hRule="atLeast"/>
          <w:jc w:val="center"/>
        </w:trPr>
        <w:tc>
          <w:tcPr>
            <w:tcW w:w="301" w:type="dxa"/>
            <w:vMerge w:val="restart"/>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编号</w:t>
            </w:r>
          </w:p>
        </w:tc>
        <w:tc>
          <w:tcPr>
            <w:tcW w:w="769" w:type="dxa"/>
            <w:vMerge w:val="restart"/>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名称</w:t>
            </w:r>
          </w:p>
        </w:tc>
        <w:tc>
          <w:tcPr>
            <w:tcW w:w="1327" w:type="dxa"/>
            <w:gridSpan w:val="2"/>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面源起点坐标</w:t>
            </w:r>
          </w:p>
        </w:tc>
        <w:tc>
          <w:tcPr>
            <w:tcW w:w="563" w:type="dxa"/>
            <w:vMerge w:val="restart"/>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面源海拔高度/m</w:t>
            </w:r>
          </w:p>
        </w:tc>
        <w:tc>
          <w:tcPr>
            <w:tcW w:w="427" w:type="dxa"/>
            <w:vMerge w:val="restart"/>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面源长度/m</w:t>
            </w:r>
          </w:p>
        </w:tc>
        <w:tc>
          <w:tcPr>
            <w:tcW w:w="415" w:type="dxa"/>
            <w:vMerge w:val="restart"/>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面源宽度/m</w:t>
            </w:r>
          </w:p>
        </w:tc>
        <w:tc>
          <w:tcPr>
            <w:tcW w:w="672" w:type="dxa"/>
            <w:vMerge w:val="restart"/>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rPr>
              <w:t>与正北向夹角/</w:t>
            </w:r>
            <w:r>
              <w:rPr>
                <w:rFonts w:hint="default" w:ascii="Times New Roman" w:hAnsi="Times New Roman" w:eastAsia="宋体" w:cs="Times New Roman"/>
                <w:color w:val="auto"/>
                <w:sz w:val="21"/>
                <w:szCs w:val="21"/>
                <w:highlight w:val="none"/>
                <w:lang w:val="en-US" w:eastAsia="zh-CN"/>
              </w:rPr>
              <w:t>°</w:t>
            </w:r>
          </w:p>
        </w:tc>
        <w:tc>
          <w:tcPr>
            <w:tcW w:w="570" w:type="dxa"/>
            <w:vMerge w:val="restart"/>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面源有效排放高度/m</w:t>
            </w:r>
          </w:p>
        </w:tc>
        <w:tc>
          <w:tcPr>
            <w:tcW w:w="540" w:type="dxa"/>
            <w:vMerge w:val="restart"/>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年排放小时数/h</w:t>
            </w:r>
          </w:p>
        </w:tc>
        <w:tc>
          <w:tcPr>
            <w:tcW w:w="540" w:type="dxa"/>
            <w:vMerge w:val="restart"/>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排放工况</w:t>
            </w:r>
          </w:p>
        </w:tc>
        <w:tc>
          <w:tcPr>
            <w:tcW w:w="2528" w:type="dxa"/>
            <w:gridSpan w:val="3"/>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rPr>
              <w:t>污染物排放</w:t>
            </w:r>
            <w:r>
              <w:rPr>
                <w:rFonts w:hint="default" w:ascii="Times New Roman" w:hAnsi="Times New Roman" w:eastAsia="宋体" w:cs="Times New Roman"/>
                <w:color w:val="auto"/>
                <w:sz w:val="21"/>
                <w:szCs w:val="21"/>
                <w:highlight w:val="none"/>
                <w:lang w:val="en-US" w:eastAsia="zh-CN"/>
              </w:rPr>
              <w:t>量</w:t>
            </w:r>
            <w:r>
              <w:rPr>
                <w:rFonts w:hint="default" w:ascii="Times New Roman" w:hAnsi="Times New Roman" w:eastAsia="宋体" w:cs="Times New Roman"/>
                <w:color w:val="auto"/>
                <w:sz w:val="21"/>
                <w:szCs w:val="21"/>
                <w:highlight w:val="none"/>
                <w:lang w:val="en-US"/>
              </w:rPr>
              <w:t>/</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lang w:val="en-US"/>
              </w:rPr>
              <w:t>/</w:t>
            </w:r>
            <w:r>
              <w:rPr>
                <w:rFonts w:hint="default" w:ascii="Times New Roman" w:hAnsi="Times New Roman" w:eastAsia="宋体" w:cs="Times New Roman"/>
                <w:color w:val="auto"/>
                <w:sz w:val="21"/>
                <w:szCs w:val="21"/>
                <w:highlight w:val="none"/>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27" w:hRule="atLeast"/>
          <w:jc w:val="center"/>
        </w:trPr>
        <w:tc>
          <w:tcPr>
            <w:tcW w:w="301" w:type="dxa"/>
            <w:vMerge w:val="continue"/>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rPr>
            </w:pPr>
          </w:p>
        </w:tc>
        <w:tc>
          <w:tcPr>
            <w:tcW w:w="769" w:type="dxa"/>
            <w:vMerge w:val="continue"/>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rPr>
            </w:pPr>
          </w:p>
        </w:tc>
        <w:tc>
          <w:tcPr>
            <w:tcW w:w="681" w:type="dxa"/>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X</w:t>
            </w:r>
          </w:p>
        </w:tc>
        <w:tc>
          <w:tcPr>
            <w:tcW w:w="646" w:type="dxa"/>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Y</w:t>
            </w:r>
          </w:p>
        </w:tc>
        <w:tc>
          <w:tcPr>
            <w:tcW w:w="563" w:type="dxa"/>
            <w:vMerge w:val="continue"/>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rPr>
            </w:pPr>
          </w:p>
        </w:tc>
        <w:tc>
          <w:tcPr>
            <w:tcW w:w="427" w:type="dxa"/>
            <w:vMerge w:val="continue"/>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rPr>
            </w:pPr>
          </w:p>
        </w:tc>
        <w:tc>
          <w:tcPr>
            <w:tcW w:w="415" w:type="dxa"/>
            <w:vMerge w:val="continue"/>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rPr>
            </w:pPr>
          </w:p>
        </w:tc>
        <w:tc>
          <w:tcPr>
            <w:tcW w:w="672" w:type="dxa"/>
            <w:vMerge w:val="continue"/>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rPr>
            </w:pPr>
          </w:p>
        </w:tc>
        <w:tc>
          <w:tcPr>
            <w:tcW w:w="570" w:type="dxa"/>
            <w:vMerge w:val="continue"/>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rPr>
            </w:pPr>
          </w:p>
        </w:tc>
        <w:tc>
          <w:tcPr>
            <w:tcW w:w="540" w:type="dxa"/>
            <w:vMerge w:val="continue"/>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rPr>
            </w:pPr>
          </w:p>
        </w:tc>
        <w:tc>
          <w:tcPr>
            <w:tcW w:w="540" w:type="dxa"/>
            <w:vMerge w:val="continue"/>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rPr>
            </w:pPr>
          </w:p>
        </w:tc>
        <w:tc>
          <w:tcPr>
            <w:tcW w:w="861" w:type="dxa"/>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NH</w:t>
            </w:r>
            <w:r>
              <w:rPr>
                <w:rFonts w:hint="default" w:ascii="Times New Roman" w:hAnsi="Times New Roman" w:eastAsia="宋体" w:cs="Times New Roman"/>
                <w:color w:val="auto"/>
                <w:sz w:val="21"/>
                <w:szCs w:val="21"/>
                <w:highlight w:val="none"/>
                <w:vertAlign w:val="subscript"/>
                <w:lang w:val="en-US"/>
              </w:rPr>
              <w:t>3</w:t>
            </w:r>
          </w:p>
        </w:tc>
        <w:tc>
          <w:tcPr>
            <w:tcW w:w="834" w:type="dxa"/>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H</w:t>
            </w:r>
            <w:r>
              <w:rPr>
                <w:rFonts w:hint="default" w:ascii="Times New Roman" w:hAnsi="Times New Roman" w:eastAsia="宋体" w:cs="Times New Roman"/>
                <w:color w:val="auto"/>
                <w:sz w:val="21"/>
                <w:szCs w:val="21"/>
                <w:highlight w:val="none"/>
                <w:vertAlign w:val="subscript"/>
                <w:lang w:val="en-US"/>
              </w:rPr>
              <w:t>2</w:t>
            </w:r>
            <w:r>
              <w:rPr>
                <w:rFonts w:hint="default" w:ascii="Times New Roman" w:hAnsi="Times New Roman" w:eastAsia="宋体" w:cs="Times New Roman"/>
                <w:color w:val="auto"/>
                <w:sz w:val="21"/>
                <w:szCs w:val="21"/>
                <w:highlight w:val="none"/>
                <w:lang w:val="en-US"/>
              </w:rPr>
              <w:t>S</w:t>
            </w:r>
          </w:p>
        </w:tc>
        <w:tc>
          <w:tcPr>
            <w:tcW w:w="833" w:type="dxa"/>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27" w:hRule="atLeast"/>
          <w:jc w:val="center"/>
        </w:trPr>
        <w:tc>
          <w:tcPr>
            <w:tcW w:w="301" w:type="dxa"/>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rPr>
              <w:t>1</w:t>
            </w:r>
          </w:p>
        </w:tc>
        <w:tc>
          <w:tcPr>
            <w:tcW w:w="769" w:type="dxa"/>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饲料加工间</w:t>
            </w:r>
          </w:p>
        </w:tc>
        <w:tc>
          <w:tcPr>
            <w:tcW w:w="681" w:type="dxa"/>
            <w:tcBorders>
              <w:tl2br w:val="nil"/>
              <w:tr2bl w:val="nil"/>
            </w:tcBorders>
            <w:noWrap w:val="0"/>
            <w:vAlign w:val="center"/>
          </w:tcPr>
          <w:p>
            <w:pPr>
              <w:pStyle w:val="124"/>
              <w:keepNext w:val="0"/>
              <w:keepLines w:val="0"/>
              <w:pageBreakBefore w:val="0"/>
              <w:widowControl w:val="0"/>
              <w:kinsoku/>
              <w:wordWrap/>
              <w:overflowPunct/>
              <w:topLinePunct w:val="0"/>
              <w:autoSpaceDE w:val="0"/>
              <w:autoSpaceDN w:val="0"/>
              <w:bidi w:val="0"/>
              <w:adjustRightInd w:val="0"/>
              <w:snapToGrid w:val="0"/>
              <w:spacing w:line="260" w:lineRule="exact"/>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10811</w:t>
            </w:r>
          </w:p>
        </w:tc>
        <w:tc>
          <w:tcPr>
            <w:tcW w:w="646" w:type="dxa"/>
            <w:tcBorders>
              <w:tl2br w:val="nil"/>
              <w:tr2bl w:val="nil"/>
            </w:tcBorders>
            <w:noWrap w:val="0"/>
            <w:vAlign w:val="center"/>
          </w:tcPr>
          <w:p>
            <w:pPr>
              <w:pStyle w:val="124"/>
              <w:keepNext w:val="0"/>
              <w:keepLines w:val="0"/>
              <w:pageBreakBefore w:val="0"/>
              <w:widowControl w:val="0"/>
              <w:kinsoku/>
              <w:wordWrap/>
              <w:overflowPunct/>
              <w:topLinePunct w:val="0"/>
              <w:autoSpaceDE w:val="0"/>
              <w:autoSpaceDN w:val="0"/>
              <w:bidi w:val="0"/>
              <w:adjustRightInd w:val="0"/>
              <w:snapToGrid w:val="0"/>
              <w:spacing w:line="260" w:lineRule="exact"/>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11444</w:t>
            </w:r>
          </w:p>
        </w:tc>
        <w:tc>
          <w:tcPr>
            <w:tcW w:w="5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494</w:t>
            </w:r>
          </w:p>
        </w:tc>
        <w:tc>
          <w:tcPr>
            <w:tcW w:w="427" w:type="dxa"/>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w:t>
            </w:r>
          </w:p>
        </w:tc>
        <w:tc>
          <w:tcPr>
            <w:tcW w:w="415" w:type="dxa"/>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25</w:t>
            </w:r>
          </w:p>
        </w:tc>
        <w:tc>
          <w:tcPr>
            <w:tcW w:w="672" w:type="dxa"/>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570" w:type="dxa"/>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540" w:type="dxa"/>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730</w:t>
            </w:r>
          </w:p>
        </w:tc>
        <w:tc>
          <w:tcPr>
            <w:tcW w:w="540" w:type="dxa"/>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rPr>
              <w:t>正常</w:t>
            </w:r>
          </w:p>
        </w:tc>
        <w:tc>
          <w:tcPr>
            <w:tcW w:w="861" w:type="dxa"/>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34" w:type="dxa"/>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33" w:type="dxa"/>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27" w:hRule="atLeast"/>
          <w:jc w:val="center"/>
        </w:trPr>
        <w:tc>
          <w:tcPr>
            <w:tcW w:w="301" w:type="dxa"/>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rPr>
              <w:t>2</w:t>
            </w:r>
          </w:p>
        </w:tc>
        <w:tc>
          <w:tcPr>
            <w:tcW w:w="769" w:type="dxa"/>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养殖区</w:t>
            </w:r>
          </w:p>
        </w:tc>
        <w:tc>
          <w:tcPr>
            <w:tcW w:w="681" w:type="dxa"/>
            <w:tcBorders>
              <w:tl2br w:val="nil"/>
              <w:tr2bl w:val="nil"/>
            </w:tcBorders>
            <w:noWrap w:val="0"/>
            <w:vAlign w:val="center"/>
          </w:tcPr>
          <w:p>
            <w:pPr>
              <w:pStyle w:val="124"/>
              <w:keepNext w:val="0"/>
              <w:keepLines w:val="0"/>
              <w:pageBreakBefore w:val="0"/>
              <w:widowControl w:val="0"/>
              <w:kinsoku/>
              <w:wordWrap/>
              <w:overflowPunct/>
              <w:topLinePunct w:val="0"/>
              <w:autoSpaceDE w:val="0"/>
              <w:autoSpaceDN w:val="0"/>
              <w:bidi w:val="0"/>
              <w:adjustRightInd w:val="0"/>
              <w:snapToGrid w:val="0"/>
              <w:spacing w:line="260" w:lineRule="exact"/>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10823</w:t>
            </w:r>
          </w:p>
        </w:tc>
        <w:tc>
          <w:tcPr>
            <w:tcW w:w="646" w:type="dxa"/>
            <w:tcBorders>
              <w:tl2br w:val="nil"/>
              <w:tr2bl w:val="nil"/>
            </w:tcBorders>
            <w:noWrap w:val="0"/>
            <w:vAlign w:val="center"/>
          </w:tcPr>
          <w:p>
            <w:pPr>
              <w:pStyle w:val="124"/>
              <w:keepNext w:val="0"/>
              <w:keepLines w:val="0"/>
              <w:pageBreakBefore w:val="0"/>
              <w:widowControl w:val="0"/>
              <w:kinsoku/>
              <w:wordWrap/>
              <w:overflowPunct/>
              <w:topLinePunct w:val="0"/>
              <w:autoSpaceDE w:val="0"/>
              <w:autoSpaceDN w:val="0"/>
              <w:bidi w:val="0"/>
              <w:adjustRightInd w:val="0"/>
              <w:snapToGrid w:val="0"/>
              <w:spacing w:line="260" w:lineRule="exact"/>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10948</w:t>
            </w:r>
          </w:p>
        </w:tc>
        <w:tc>
          <w:tcPr>
            <w:tcW w:w="5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492</w:t>
            </w:r>
          </w:p>
        </w:tc>
        <w:tc>
          <w:tcPr>
            <w:tcW w:w="427" w:type="dxa"/>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905</w:t>
            </w:r>
          </w:p>
        </w:tc>
        <w:tc>
          <w:tcPr>
            <w:tcW w:w="415" w:type="dxa"/>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555</w:t>
            </w:r>
          </w:p>
        </w:tc>
        <w:tc>
          <w:tcPr>
            <w:tcW w:w="672" w:type="dxa"/>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c>
          <w:tcPr>
            <w:tcW w:w="570" w:type="dxa"/>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c>
          <w:tcPr>
            <w:tcW w:w="540" w:type="dxa"/>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8760</w:t>
            </w:r>
          </w:p>
        </w:tc>
        <w:tc>
          <w:tcPr>
            <w:tcW w:w="540" w:type="dxa"/>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正常</w:t>
            </w:r>
          </w:p>
        </w:tc>
        <w:tc>
          <w:tcPr>
            <w:tcW w:w="861" w:type="dxa"/>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color w:val="auto"/>
              </w:rPr>
            </w:pPr>
            <w:r>
              <w:rPr>
                <w:rFonts w:hint="eastAsia" w:cs="Times New Roman"/>
                <w:color w:val="auto"/>
                <w:sz w:val="21"/>
                <w:szCs w:val="21"/>
                <w:highlight w:val="none"/>
                <w:lang w:val="en-US" w:eastAsia="zh-CN"/>
              </w:rPr>
              <w:t>0.022</w:t>
            </w:r>
          </w:p>
        </w:tc>
        <w:tc>
          <w:tcPr>
            <w:tcW w:w="834" w:type="dxa"/>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0.011</w:t>
            </w:r>
          </w:p>
        </w:tc>
        <w:tc>
          <w:tcPr>
            <w:tcW w:w="833" w:type="dxa"/>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27" w:hRule="atLeast"/>
          <w:jc w:val="center"/>
        </w:trPr>
        <w:tc>
          <w:tcPr>
            <w:tcW w:w="301" w:type="dxa"/>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769" w:type="dxa"/>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堆粪场</w:t>
            </w:r>
          </w:p>
        </w:tc>
        <w:tc>
          <w:tcPr>
            <w:tcW w:w="681" w:type="dxa"/>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11206</w:t>
            </w:r>
          </w:p>
        </w:tc>
        <w:tc>
          <w:tcPr>
            <w:tcW w:w="646" w:type="dxa"/>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10747</w:t>
            </w:r>
          </w:p>
        </w:tc>
        <w:tc>
          <w:tcPr>
            <w:tcW w:w="5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487</w:t>
            </w:r>
          </w:p>
        </w:tc>
        <w:tc>
          <w:tcPr>
            <w:tcW w:w="427" w:type="dxa"/>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w:t>
            </w:r>
          </w:p>
        </w:tc>
        <w:tc>
          <w:tcPr>
            <w:tcW w:w="415" w:type="dxa"/>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60</w:t>
            </w:r>
          </w:p>
        </w:tc>
        <w:tc>
          <w:tcPr>
            <w:tcW w:w="672" w:type="dxa"/>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c>
          <w:tcPr>
            <w:tcW w:w="570" w:type="dxa"/>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540" w:type="dxa"/>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8760</w:t>
            </w:r>
          </w:p>
        </w:tc>
        <w:tc>
          <w:tcPr>
            <w:tcW w:w="540" w:type="dxa"/>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正常</w:t>
            </w:r>
          </w:p>
        </w:tc>
        <w:tc>
          <w:tcPr>
            <w:tcW w:w="861" w:type="dxa"/>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0.0028</w:t>
            </w:r>
          </w:p>
        </w:tc>
        <w:tc>
          <w:tcPr>
            <w:tcW w:w="834" w:type="dxa"/>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0.00022</w:t>
            </w:r>
          </w:p>
        </w:tc>
        <w:tc>
          <w:tcPr>
            <w:tcW w:w="833" w:type="dxa"/>
            <w:tcBorders>
              <w:tl2br w:val="nil"/>
              <w:tr2bl w:val="nil"/>
            </w:tcBorders>
            <w:noWrap w:val="0"/>
            <w:vAlign w:val="center"/>
          </w:tcPr>
          <w:p>
            <w:pPr>
              <w:pStyle w:val="84"/>
              <w:keepNext w:val="0"/>
              <w:keepLines w:val="0"/>
              <w:pageBreakBefore w:val="0"/>
              <w:widowControl w:val="0"/>
              <w:kinsoku/>
              <w:wordWrap/>
              <w:overflowPunct/>
              <w:bidi w:val="0"/>
              <w:adjustRightInd w:val="0"/>
              <w:snapToGrid w:val="0"/>
              <w:spacing w:line="260" w:lineRule="exact"/>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before="157" w:beforeLines="50"/>
        <w:ind w:left="0" w:leftChars="0" w:right="0" w:rightChars="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（5）评价标准</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根据《环境影响评价技术导则 大气环境》</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HJ2.2-2018</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中的要求，污染物的环境空气质量标准一般选用《环境空气质量标准》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GB3095-2012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中1小时平均取样时间的二级标准浓度限值，对于无小时浓度限值的污染物可取附录D中的1小时平均浓度限值。因此，本项目评价中NH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取1小时平均浓度200μg/m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S取1小时平均浓度10μg/m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TSP</w:t>
      </w:r>
      <w:r>
        <w:rPr>
          <w:rFonts w:hint="default" w:ascii="Times New Roman" w:hAnsi="Times New Roman" w:cs="Times New Roman"/>
          <w:color w:val="auto"/>
          <w:highlight w:val="none"/>
        </w:rPr>
        <w:t>取</w:t>
      </w:r>
      <w:r>
        <w:rPr>
          <w:rFonts w:hint="default" w:ascii="Times New Roman" w:hAnsi="Times New Roman" w:cs="Times New Roman"/>
          <w:color w:val="auto"/>
          <w:highlight w:val="none"/>
          <w:lang w:val="en-US" w:eastAsia="zh-CN"/>
        </w:rPr>
        <w:t>24小时平均</w:t>
      </w:r>
      <w:r>
        <w:rPr>
          <w:rFonts w:hint="default" w:ascii="Times New Roman" w:hAnsi="Times New Roman" w:cs="Times New Roman"/>
          <w:color w:val="auto"/>
          <w:highlight w:val="none"/>
        </w:rPr>
        <w:t>浓度</w:t>
      </w:r>
      <w:r>
        <w:rPr>
          <w:rFonts w:hint="default" w:ascii="Times New Roman" w:hAnsi="Times New Roman" w:cs="Times New Roman"/>
          <w:color w:val="auto"/>
          <w:highlight w:val="none"/>
          <w:lang w:val="en-US" w:eastAsia="zh-CN"/>
        </w:rPr>
        <w:t>300</w:t>
      </w:r>
      <w:r>
        <w:rPr>
          <w:rFonts w:hint="default" w:ascii="Times New Roman" w:hAnsi="Times New Roman" w:cs="Times New Roman"/>
          <w:color w:val="auto"/>
          <w:highlight w:val="none"/>
        </w:rPr>
        <w:t>μg/m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vertAlign w:val="baseline"/>
          <w:lang w:val="en-US" w:eastAsia="zh-CN"/>
        </w:rPr>
        <w:t>，</w:t>
      </w:r>
      <w:r>
        <w:rPr>
          <w:rFonts w:hint="default" w:ascii="Times New Roman" w:hAnsi="Times New Roman" w:cs="Times New Roman"/>
          <w:color w:val="auto"/>
          <w:highlight w:val="none"/>
          <w:lang w:val="en-US" w:eastAsia="zh-CN" w:bidi="ar"/>
        </w:rPr>
        <w:t>PM</w:t>
      </w:r>
      <w:r>
        <w:rPr>
          <w:rFonts w:hint="default" w:ascii="Times New Roman" w:hAnsi="Times New Roman" w:cs="Times New Roman"/>
          <w:color w:val="auto"/>
          <w:highlight w:val="none"/>
          <w:vertAlign w:val="subscript"/>
          <w:lang w:val="en-US" w:eastAsia="zh-CN" w:bidi="ar"/>
        </w:rPr>
        <w:t>10</w:t>
      </w:r>
      <w:r>
        <w:rPr>
          <w:rFonts w:hint="default" w:ascii="Times New Roman" w:hAnsi="Times New Roman" w:cs="Times New Roman"/>
          <w:color w:val="auto"/>
          <w:highlight w:val="none"/>
        </w:rPr>
        <w:t>取</w:t>
      </w:r>
      <w:r>
        <w:rPr>
          <w:rFonts w:hint="default" w:ascii="Times New Roman" w:hAnsi="Times New Roman" w:cs="Times New Roman"/>
          <w:color w:val="auto"/>
          <w:highlight w:val="none"/>
          <w:lang w:val="en-US" w:eastAsia="zh-CN"/>
        </w:rPr>
        <w:t>24小时平均</w:t>
      </w:r>
      <w:r>
        <w:rPr>
          <w:rFonts w:hint="default" w:ascii="Times New Roman" w:hAnsi="Times New Roman" w:cs="Times New Roman"/>
          <w:color w:val="auto"/>
          <w:highlight w:val="none"/>
        </w:rPr>
        <w:t>浓度</w:t>
      </w:r>
      <w:r>
        <w:rPr>
          <w:rFonts w:hint="default" w:ascii="Times New Roman" w:hAnsi="Times New Roman" w:cs="Times New Roman"/>
          <w:color w:val="auto"/>
          <w:highlight w:val="none"/>
          <w:lang w:val="en-US" w:eastAsia="zh-CN"/>
        </w:rPr>
        <w:t>150</w:t>
      </w:r>
      <w:r>
        <w:rPr>
          <w:rFonts w:hint="default" w:ascii="Times New Roman" w:hAnsi="Times New Roman" w:cs="Times New Roman"/>
          <w:color w:val="auto"/>
          <w:highlight w:val="none"/>
        </w:rPr>
        <w:t>μg/m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（6）预测结果</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本项目排放污染物H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、颗粒物占标率和落地浓度详见表5.2-</w:t>
      </w:r>
      <w:r>
        <w:rPr>
          <w:rFonts w:hint="default" w:ascii="Times New Roman" w:hAnsi="Times New Roman" w:cs="Times New Roman"/>
          <w:color w:val="auto"/>
          <w:highlight w:val="none"/>
          <w:lang w:val="en-US" w:eastAsia="zh-CN"/>
        </w:rPr>
        <w:t>5、5.2-6</w:t>
      </w:r>
      <w:r>
        <w:rPr>
          <w:rFonts w:hint="default" w:ascii="Times New Roman" w:hAnsi="Times New Roman" w:cs="Times New Roman"/>
          <w:color w:val="auto"/>
          <w:highlight w:val="none"/>
        </w:rPr>
        <w:t>。</w:t>
      </w: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5.2-5</w:t>
      </w:r>
      <w:r>
        <w:rPr>
          <w:rFonts w:hint="default" w:ascii="Times New Roman" w:hAnsi="Times New Roman" w:eastAsia="宋体" w:cs="Times New Roman"/>
          <w:b/>
          <w:bCs/>
          <w:color w:val="auto"/>
          <w:sz w:val="21"/>
          <w:szCs w:val="21"/>
          <w:highlight w:val="none"/>
        </w:rPr>
        <w:t xml:space="preserve">          项目有组织源污染物估算模式计算表</w:t>
      </w:r>
    </w:p>
    <w:tbl>
      <w:tblPr>
        <w:tblStyle w:val="39"/>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78"/>
        <w:gridCol w:w="2329"/>
        <w:gridCol w:w="2329"/>
        <w:gridCol w:w="266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78"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序号</w:t>
            </w:r>
          </w:p>
        </w:tc>
        <w:tc>
          <w:tcPr>
            <w:tcW w:w="2329"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下风向距离m</w:t>
            </w:r>
          </w:p>
        </w:tc>
        <w:tc>
          <w:tcPr>
            <w:tcW w:w="4992" w:type="dxa"/>
            <w:gridSpan w:val="2"/>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颗粒物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78"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2329"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浓度mg / m³</w:t>
            </w:r>
          </w:p>
        </w:tc>
        <w:tc>
          <w:tcPr>
            <w:tcW w:w="26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占标率%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78"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10</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0.000005</w:t>
            </w:r>
          </w:p>
        </w:tc>
        <w:tc>
          <w:tcPr>
            <w:tcW w:w="26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78"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25</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0.000408</w:t>
            </w:r>
          </w:p>
        </w:tc>
        <w:tc>
          <w:tcPr>
            <w:tcW w:w="26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78"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3</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50</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0.000475</w:t>
            </w:r>
          </w:p>
        </w:tc>
        <w:tc>
          <w:tcPr>
            <w:tcW w:w="26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78"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4</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75</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0.000583</w:t>
            </w:r>
          </w:p>
        </w:tc>
        <w:tc>
          <w:tcPr>
            <w:tcW w:w="26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78"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100</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0.00053</w:t>
            </w:r>
          </w:p>
        </w:tc>
        <w:tc>
          <w:tcPr>
            <w:tcW w:w="26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78"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200</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0.000322</w:t>
            </w:r>
          </w:p>
        </w:tc>
        <w:tc>
          <w:tcPr>
            <w:tcW w:w="26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78"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300</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0.0002</w:t>
            </w:r>
          </w:p>
        </w:tc>
        <w:tc>
          <w:tcPr>
            <w:tcW w:w="26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78"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400</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0.000138</w:t>
            </w:r>
          </w:p>
        </w:tc>
        <w:tc>
          <w:tcPr>
            <w:tcW w:w="26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78"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500</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0.000103</w:t>
            </w:r>
          </w:p>
        </w:tc>
        <w:tc>
          <w:tcPr>
            <w:tcW w:w="26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78"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600</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0.000082</w:t>
            </w:r>
          </w:p>
        </w:tc>
        <w:tc>
          <w:tcPr>
            <w:tcW w:w="26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78"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700</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0.000072</w:t>
            </w:r>
          </w:p>
        </w:tc>
        <w:tc>
          <w:tcPr>
            <w:tcW w:w="26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78"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800</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0.000065</w:t>
            </w:r>
          </w:p>
        </w:tc>
        <w:tc>
          <w:tcPr>
            <w:tcW w:w="26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78"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900</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0.00006</w:t>
            </w:r>
          </w:p>
        </w:tc>
        <w:tc>
          <w:tcPr>
            <w:tcW w:w="26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78"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1000</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0.000055</w:t>
            </w:r>
          </w:p>
        </w:tc>
        <w:tc>
          <w:tcPr>
            <w:tcW w:w="26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78"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1100</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0.000051</w:t>
            </w:r>
          </w:p>
        </w:tc>
        <w:tc>
          <w:tcPr>
            <w:tcW w:w="26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78"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1200</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0.000048</w:t>
            </w:r>
          </w:p>
        </w:tc>
        <w:tc>
          <w:tcPr>
            <w:tcW w:w="26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78"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1300</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0.000045</w:t>
            </w:r>
          </w:p>
        </w:tc>
        <w:tc>
          <w:tcPr>
            <w:tcW w:w="26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78"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1400</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0.000043</w:t>
            </w:r>
          </w:p>
        </w:tc>
        <w:tc>
          <w:tcPr>
            <w:tcW w:w="26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78"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1500</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0.000041</w:t>
            </w:r>
          </w:p>
        </w:tc>
        <w:tc>
          <w:tcPr>
            <w:tcW w:w="26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78"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1600</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0.000039</w:t>
            </w:r>
          </w:p>
        </w:tc>
        <w:tc>
          <w:tcPr>
            <w:tcW w:w="26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78"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1700</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0.000037</w:t>
            </w:r>
          </w:p>
        </w:tc>
        <w:tc>
          <w:tcPr>
            <w:tcW w:w="26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78"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1800</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0.000035</w:t>
            </w:r>
          </w:p>
        </w:tc>
        <w:tc>
          <w:tcPr>
            <w:tcW w:w="26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78"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1900</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0.000034</w:t>
            </w:r>
          </w:p>
        </w:tc>
        <w:tc>
          <w:tcPr>
            <w:tcW w:w="26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78"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2000</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0.000033</w:t>
            </w:r>
          </w:p>
        </w:tc>
        <w:tc>
          <w:tcPr>
            <w:tcW w:w="26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78"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2100</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0.000031</w:t>
            </w:r>
          </w:p>
        </w:tc>
        <w:tc>
          <w:tcPr>
            <w:tcW w:w="26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78"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2200</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0.00003</w:t>
            </w:r>
          </w:p>
        </w:tc>
        <w:tc>
          <w:tcPr>
            <w:tcW w:w="26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78"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27</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2300</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0.000029</w:t>
            </w:r>
          </w:p>
        </w:tc>
        <w:tc>
          <w:tcPr>
            <w:tcW w:w="26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78"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28</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2400</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0.000028</w:t>
            </w:r>
          </w:p>
        </w:tc>
        <w:tc>
          <w:tcPr>
            <w:tcW w:w="26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78"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29</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2500</w:t>
            </w:r>
          </w:p>
        </w:tc>
        <w:tc>
          <w:tcPr>
            <w:tcW w:w="23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0.000028</w:t>
            </w:r>
          </w:p>
        </w:tc>
        <w:tc>
          <w:tcPr>
            <w:tcW w:w="26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w:t>
            </w:r>
          </w:p>
        </w:tc>
      </w:tr>
    </w:tbl>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5.2-6</w:t>
      </w:r>
      <w:r>
        <w:rPr>
          <w:rFonts w:hint="default" w:ascii="Times New Roman" w:hAnsi="Times New Roman" w:eastAsia="宋体" w:cs="Times New Roman"/>
          <w:b/>
          <w:bCs/>
          <w:color w:val="auto"/>
          <w:sz w:val="21"/>
          <w:szCs w:val="21"/>
          <w:highlight w:val="none"/>
        </w:rPr>
        <w:t xml:space="preserve">           项目无组织源污染物估算模式计算表</w:t>
      </w:r>
    </w:p>
    <w:tbl>
      <w:tblPr>
        <w:tblStyle w:val="39"/>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26"/>
        <w:gridCol w:w="675"/>
        <w:gridCol w:w="810"/>
        <w:gridCol w:w="720"/>
        <w:gridCol w:w="765"/>
        <w:gridCol w:w="735"/>
        <w:gridCol w:w="720"/>
        <w:gridCol w:w="795"/>
        <w:gridCol w:w="735"/>
        <w:gridCol w:w="705"/>
        <w:gridCol w:w="1020"/>
        <w:gridCol w:w="68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242"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序号</w:t>
            </w:r>
          </w:p>
        </w:tc>
        <w:tc>
          <w:tcPr>
            <w:tcW w:w="384"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下风向距离m</w:t>
            </w:r>
          </w:p>
        </w:tc>
        <w:tc>
          <w:tcPr>
            <w:tcW w:w="870" w:type="pct"/>
            <w:gridSpan w:val="2"/>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rPr>
              <w:t>养殖区</w:t>
            </w: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p>
        </w:tc>
        <w:tc>
          <w:tcPr>
            <w:tcW w:w="853" w:type="pct"/>
            <w:gridSpan w:val="2"/>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rPr>
              <w:t>养殖区</w:t>
            </w: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S</w:t>
            </w:r>
          </w:p>
        </w:tc>
        <w:tc>
          <w:tcPr>
            <w:tcW w:w="861" w:type="pct"/>
            <w:gridSpan w:val="2"/>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堆粪场</w:t>
            </w: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p>
        </w:tc>
        <w:tc>
          <w:tcPr>
            <w:tcW w:w="819" w:type="pct"/>
            <w:gridSpan w:val="2"/>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堆粪场</w:t>
            </w: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S</w:t>
            </w:r>
          </w:p>
        </w:tc>
        <w:tc>
          <w:tcPr>
            <w:tcW w:w="968" w:type="pct"/>
            <w:gridSpan w:val="2"/>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饲料加工间TSP</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0" w:hRule="atLeast"/>
          <w:jc w:val="center"/>
        </w:trPr>
        <w:tc>
          <w:tcPr>
            <w:tcW w:w="242"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384"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46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浓度</w:t>
            </w: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 / m³</w:t>
            </w:r>
          </w:p>
        </w:tc>
        <w:tc>
          <w:tcPr>
            <w:tcW w:w="40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占标率%</w:t>
            </w:r>
          </w:p>
        </w:tc>
        <w:tc>
          <w:tcPr>
            <w:tcW w:w="43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浓度</w:t>
            </w: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 / m³</w:t>
            </w:r>
          </w:p>
        </w:tc>
        <w:tc>
          <w:tcPr>
            <w:tcW w:w="41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占标率%</w:t>
            </w:r>
          </w:p>
        </w:tc>
        <w:tc>
          <w:tcPr>
            <w:tcW w:w="40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浓度</w:t>
            </w: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 / m³</w:t>
            </w:r>
          </w:p>
        </w:tc>
        <w:tc>
          <w:tcPr>
            <w:tcW w:w="45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占标率%</w:t>
            </w:r>
          </w:p>
        </w:tc>
        <w:tc>
          <w:tcPr>
            <w:tcW w:w="41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浓度</w:t>
            </w: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 / m³</w:t>
            </w:r>
          </w:p>
        </w:tc>
        <w:tc>
          <w:tcPr>
            <w:tcW w:w="40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占标率%</w:t>
            </w:r>
          </w:p>
        </w:tc>
        <w:tc>
          <w:tcPr>
            <w:tcW w:w="58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浓度</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 / m³</w:t>
            </w:r>
          </w:p>
        </w:tc>
        <w:tc>
          <w:tcPr>
            <w:tcW w:w="3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占标率%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4" w:hRule="atLeast"/>
          <w:jc w:val="center"/>
        </w:trPr>
        <w:tc>
          <w:tcPr>
            <w:tcW w:w="24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3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10</w:t>
            </w:r>
          </w:p>
        </w:tc>
        <w:tc>
          <w:tcPr>
            <w:tcW w:w="46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0.000198</w:t>
            </w:r>
          </w:p>
        </w:tc>
        <w:tc>
          <w:tcPr>
            <w:tcW w:w="40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w:t>
            </w:r>
          </w:p>
        </w:tc>
        <w:tc>
          <w:tcPr>
            <w:tcW w:w="43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0.000099</w:t>
            </w:r>
          </w:p>
        </w:tc>
        <w:tc>
          <w:tcPr>
            <w:tcW w:w="41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0.99</w:t>
            </w:r>
          </w:p>
        </w:tc>
        <w:tc>
          <w:tcPr>
            <w:tcW w:w="720"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0.000104</w:t>
            </w:r>
          </w:p>
        </w:tc>
        <w:tc>
          <w:tcPr>
            <w:tcW w:w="79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w:t>
            </w:r>
          </w:p>
        </w:tc>
        <w:tc>
          <w:tcPr>
            <w:tcW w:w="73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0.000008</w:t>
            </w:r>
          </w:p>
        </w:tc>
        <w:tc>
          <w:tcPr>
            <w:tcW w:w="70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0.08</w:t>
            </w:r>
          </w:p>
        </w:tc>
        <w:tc>
          <w:tcPr>
            <w:tcW w:w="58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0.008767</w:t>
            </w:r>
          </w:p>
        </w:tc>
        <w:tc>
          <w:tcPr>
            <w:tcW w:w="38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0.97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4" w:hRule="atLeast"/>
          <w:jc w:val="center"/>
        </w:trPr>
        <w:tc>
          <w:tcPr>
            <w:tcW w:w="24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2</w:t>
            </w:r>
          </w:p>
        </w:tc>
        <w:tc>
          <w:tcPr>
            <w:tcW w:w="3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21</w:t>
            </w:r>
          </w:p>
        </w:tc>
        <w:tc>
          <w:tcPr>
            <w:tcW w:w="46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0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3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1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0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5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1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0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8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0.012019</w:t>
            </w:r>
          </w:p>
        </w:tc>
        <w:tc>
          <w:tcPr>
            <w:tcW w:w="38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1.34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4" w:hRule="atLeast"/>
          <w:jc w:val="center"/>
        </w:trPr>
        <w:tc>
          <w:tcPr>
            <w:tcW w:w="24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3</w:t>
            </w:r>
          </w:p>
        </w:tc>
        <w:tc>
          <w:tcPr>
            <w:tcW w:w="3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25</w:t>
            </w:r>
          </w:p>
        </w:tc>
        <w:tc>
          <w:tcPr>
            <w:tcW w:w="46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0.000205</w:t>
            </w:r>
          </w:p>
        </w:tc>
        <w:tc>
          <w:tcPr>
            <w:tcW w:w="40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w:t>
            </w:r>
          </w:p>
        </w:tc>
        <w:tc>
          <w:tcPr>
            <w:tcW w:w="43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0.000103</w:t>
            </w:r>
          </w:p>
        </w:tc>
        <w:tc>
          <w:tcPr>
            <w:tcW w:w="41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1.03</w:t>
            </w:r>
          </w:p>
        </w:tc>
        <w:tc>
          <w:tcPr>
            <w:tcW w:w="720"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0.000144</w:t>
            </w:r>
          </w:p>
        </w:tc>
        <w:tc>
          <w:tcPr>
            <w:tcW w:w="79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0.07</w:t>
            </w:r>
          </w:p>
        </w:tc>
        <w:tc>
          <w:tcPr>
            <w:tcW w:w="73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0.000011</w:t>
            </w:r>
          </w:p>
        </w:tc>
        <w:tc>
          <w:tcPr>
            <w:tcW w:w="70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0.11</w:t>
            </w:r>
          </w:p>
        </w:tc>
        <w:tc>
          <w:tcPr>
            <w:tcW w:w="58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0.011841</w:t>
            </w:r>
          </w:p>
        </w:tc>
        <w:tc>
          <w:tcPr>
            <w:tcW w:w="38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4" w:hRule="atLeast"/>
          <w:jc w:val="center"/>
        </w:trPr>
        <w:tc>
          <w:tcPr>
            <w:tcW w:w="24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rPr>
              <w:t>4</w:t>
            </w:r>
          </w:p>
        </w:tc>
        <w:tc>
          <w:tcPr>
            <w:tcW w:w="3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40</w:t>
            </w:r>
          </w:p>
        </w:tc>
        <w:tc>
          <w:tcPr>
            <w:tcW w:w="46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0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3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1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720"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0.000168</w:t>
            </w:r>
          </w:p>
        </w:tc>
        <w:tc>
          <w:tcPr>
            <w:tcW w:w="79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0.08</w:t>
            </w:r>
          </w:p>
        </w:tc>
        <w:tc>
          <w:tcPr>
            <w:tcW w:w="73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0.000013</w:t>
            </w:r>
          </w:p>
        </w:tc>
        <w:tc>
          <w:tcPr>
            <w:tcW w:w="70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0.13</w:t>
            </w:r>
          </w:p>
        </w:tc>
        <w:tc>
          <w:tcPr>
            <w:tcW w:w="58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8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4" w:hRule="atLeast"/>
          <w:jc w:val="center"/>
        </w:trPr>
        <w:tc>
          <w:tcPr>
            <w:tcW w:w="24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5</w:t>
            </w:r>
          </w:p>
        </w:tc>
        <w:tc>
          <w:tcPr>
            <w:tcW w:w="3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50</w:t>
            </w:r>
          </w:p>
        </w:tc>
        <w:tc>
          <w:tcPr>
            <w:tcW w:w="46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0.000217</w:t>
            </w:r>
          </w:p>
        </w:tc>
        <w:tc>
          <w:tcPr>
            <w:tcW w:w="40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0.11</w:t>
            </w:r>
          </w:p>
        </w:tc>
        <w:tc>
          <w:tcPr>
            <w:tcW w:w="43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0.000108</w:t>
            </w:r>
          </w:p>
        </w:tc>
        <w:tc>
          <w:tcPr>
            <w:tcW w:w="41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1.08</w:t>
            </w:r>
          </w:p>
        </w:tc>
        <w:tc>
          <w:tcPr>
            <w:tcW w:w="720"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0.000156</w:t>
            </w:r>
          </w:p>
        </w:tc>
        <w:tc>
          <w:tcPr>
            <w:tcW w:w="79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0.08</w:t>
            </w:r>
          </w:p>
        </w:tc>
        <w:tc>
          <w:tcPr>
            <w:tcW w:w="73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0.000012</w:t>
            </w:r>
          </w:p>
        </w:tc>
        <w:tc>
          <w:tcPr>
            <w:tcW w:w="70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0.12</w:t>
            </w:r>
          </w:p>
        </w:tc>
        <w:tc>
          <w:tcPr>
            <w:tcW w:w="58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0.006833</w:t>
            </w:r>
          </w:p>
        </w:tc>
        <w:tc>
          <w:tcPr>
            <w:tcW w:w="38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0.76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4" w:hRule="atLeast"/>
          <w:jc w:val="center"/>
        </w:trPr>
        <w:tc>
          <w:tcPr>
            <w:tcW w:w="24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w:t>
            </w:r>
          </w:p>
        </w:tc>
        <w:tc>
          <w:tcPr>
            <w:tcW w:w="3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75</w:t>
            </w:r>
          </w:p>
        </w:tc>
        <w:tc>
          <w:tcPr>
            <w:tcW w:w="46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0.000228</w:t>
            </w:r>
          </w:p>
        </w:tc>
        <w:tc>
          <w:tcPr>
            <w:tcW w:w="40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0.11</w:t>
            </w:r>
          </w:p>
        </w:tc>
        <w:tc>
          <w:tcPr>
            <w:tcW w:w="43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0.000114</w:t>
            </w:r>
          </w:p>
        </w:tc>
        <w:tc>
          <w:tcPr>
            <w:tcW w:w="41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1.14</w:t>
            </w:r>
          </w:p>
        </w:tc>
        <w:tc>
          <w:tcPr>
            <w:tcW w:w="720"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0.000095</w:t>
            </w:r>
          </w:p>
        </w:tc>
        <w:tc>
          <w:tcPr>
            <w:tcW w:w="79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w:t>
            </w:r>
          </w:p>
        </w:tc>
        <w:tc>
          <w:tcPr>
            <w:tcW w:w="73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0.000007</w:t>
            </w:r>
          </w:p>
        </w:tc>
        <w:tc>
          <w:tcPr>
            <w:tcW w:w="70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0.07</w:t>
            </w:r>
          </w:p>
        </w:tc>
        <w:tc>
          <w:tcPr>
            <w:tcW w:w="58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0.004105</w:t>
            </w:r>
          </w:p>
        </w:tc>
        <w:tc>
          <w:tcPr>
            <w:tcW w:w="38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0.46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4" w:hRule="atLeast"/>
          <w:jc w:val="center"/>
        </w:trPr>
        <w:tc>
          <w:tcPr>
            <w:tcW w:w="24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7</w:t>
            </w:r>
          </w:p>
        </w:tc>
        <w:tc>
          <w:tcPr>
            <w:tcW w:w="3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100</w:t>
            </w:r>
          </w:p>
        </w:tc>
        <w:tc>
          <w:tcPr>
            <w:tcW w:w="46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0.000239</w:t>
            </w:r>
          </w:p>
        </w:tc>
        <w:tc>
          <w:tcPr>
            <w:tcW w:w="40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0.12</w:t>
            </w:r>
          </w:p>
        </w:tc>
        <w:tc>
          <w:tcPr>
            <w:tcW w:w="43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0.00012</w:t>
            </w:r>
          </w:p>
        </w:tc>
        <w:tc>
          <w:tcPr>
            <w:tcW w:w="41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720"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0.000081</w:t>
            </w:r>
          </w:p>
        </w:tc>
        <w:tc>
          <w:tcPr>
            <w:tcW w:w="79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0.04</w:t>
            </w:r>
          </w:p>
        </w:tc>
        <w:tc>
          <w:tcPr>
            <w:tcW w:w="73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0.000006</w:t>
            </w:r>
          </w:p>
        </w:tc>
        <w:tc>
          <w:tcPr>
            <w:tcW w:w="70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0.06</w:t>
            </w:r>
          </w:p>
        </w:tc>
        <w:tc>
          <w:tcPr>
            <w:tcW w:w="58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0.003589</w:t>
            </w:r>
          </w:p>
        </w:tc>
        <w:tc>
          <w:tcPr>
            <w:tcW w:w="38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4" w:hRule="atLeast"/>
          <w:jc w:val="center"/>
        </w:trPr>
        <w:tc>
          <w:tcPr>
            <w:tcW w:w="24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w:t>
            </w:r>
          </w:p>
        </w:tc>
        <w:tc>
          <w:tcPr>
            <w:tcW w:w="3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200</w:t>
            </w:r>
          </w:p>
        </w:tc>
        <w:tc>
          <w:tcPr>
            <w:tcW w:w="46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0.000284</w:t>
            </w:r>
          </w:p>
        </w:tc>
        <w:tc>
          <w:tcPr>
            <w:tcW w:w="40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0.14</w:t>
            </w:r>
          </w:p>
        </w:tc>
        <w:tc>
          <w:tcPr>
            <w:tcW w:w="43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0.000142</w:t>
            </w:r>
          </w:p>
        </w:tc>
        <w:tc>
          <w:tcPr>
            <w:tcW w:w="41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1.42</w:t>
            </w:r>
          </w:p>
        </w:tc>
        <w:tc>
          <w:tcPr>
            <w:tcW w:w="720"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0.000068</w:t>
            </w:r>
          </w:p>
        </w:tc>
        <w:tc>
          <w:tcPr>
            <w:tcW w:w="79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w:t>
            </w:r>
          </w:p>
        </w:tc>
        <w:tc>
          <w:tcPr>
            <w:tcW w:w="73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0.000005</w:t>
            </w:r>
          </w:p>
        </w:tc>
        <w:tc>
          <w:tcPr>
            <w:tcW w:w="70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w:t>
            </w:r>
          </w:p>
        </w:tc>
        <w:tc>
          <w:tcPr>
            <w:tcW w:w="58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0.002667</w:t>
            </w:r>
          </w:p>
        </w:tc>
        <w:tc>
          <w:tcPr>
            <w:tcW w:w="38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4" w:hRule="atLeast"/>
          <w:jc w:val="center"/>
        </w:trPr>
        <w:tc>
          <w:tcPr>
            <w:tcW w:w="24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w:t>
            </w:r>
          </w:p>
        </w:tc>
        <w:tc>
          <w:tcPr>
            <w:tcW w:w="3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300</w:t>
            </w:r>
          </w:p>
        </w:tc>
        <w:tc>
          <w:tcPr>
            <w:tcW w:w="46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0.000328</w:t>
            </w:r>
          </w:p>
        </w:tc>
        <w:tc>
          <w:tcPr>
            <w:tcW w:w="40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0.16</w:t>
            </w:r>
          </w:p>
        </w:tc>
        <w:tc>
          <w:tcPr>
            <w:tcW w:w="43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0.000164</w:t>
            </w:r>
          </w:p>
        </w:tc>
        <w:tc>
          <w:tcPr>
            <w:tcW w:w="41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1.64</w:t>
            </w:r>
          </w:p>
        </w:tc>
        <w:tc>
          <w:tcPr>
            <w:tcW w:w="720"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0.000061</w:t>
            </w:r>
          </w:p>
        </w:tc>
        <w:tc>
          <w:tcPr>
            <w:tcW w:w="79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w:t>
            </w:r>
          </w:p>
        </w:tc>
        <w:tc>
          <w:tcPr>
            <w:tcW w:w="73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0.000005</w:t>
            </w:r>
          </w:p>
        </w:tc>
        <w:tc>
          <w:tcPr>
            <w:tcW w:w="70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w:t>
            </w:r>
          </w:p>
        </w:tc>
        <w:tc>
          <w:tcPr>
            <w:tcW w:w="58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0.002297</w:t>
            </w:r>
          </w:p>
        </w:tc>
        <w:tc>
          <w:tcPr>
            <w:tcW w:w="38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4" w:hRule="atLeast"/>
          <w:jc w:val="center"/>
        </w:trPr>
        <w:tc>
          <w:tcPr>
            <w:tcW w:w="24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10</w:t>
            </w:r>
          </w:p>
        </w:tc>
        <w:tc>
          <w:tcPr>
            <w:tcW w:w="3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400</w:t>
            </w:r>
          </w:p>
        </w:tc>
        <w:tc>
          <w:tcPr>
            <w:tcW w:w="46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0.000371</w:t>
            </w:r>
          </w:p>
        </w:tc>
        <w:tc>
          <w:tcPr>
            <w:tcW w:w="40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0.19</w:t>
            </w:r>
          </w:p>
        </w:tc>
        <w:tc>
          <w:tcPr>
            <w:tcW w:w="43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0.000185</w:t>
            </w:r>
          </w:p>
        </w:tc>
        <w:tc>
          <w:tcPr>
            <w:tcW w:w="41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1.85</w:t>
            </w:r>
          </w:p>
        </w:tc>
        <w:tc>
          <w:tcPr>
            <w:tcW w:w="720"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0.000056</w:t>
            </w:r>
          </w:p>
        </w:tc>
        <w:tc>
          <w:tcPr>
            <w:tcW w:w="79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w:t>
            </w:r>
          </w:p>
        </w:tc>
        <w:tc>
          <w:tcPr>
            <w:tcW w:w="73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0.000004</w:t>
            </w:r>
          </w:p>
        </w:tc>
        <w:tc>
          <w:tcPr>
            <w:tcW w:w="70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0.04</w:t>
            </w:r>
          </w:p>
        </w:tc>
        <w:tc>
          <w:tcPr>
            <w:tcW w:w="58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0.002085</w:t>
            </w:r>
          </w:p>
        </w:tc>
        <w:tc>
          <w:tcPr>
            <w:tcW w:w="38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0.23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4" w:hRule="atLeast"/>
          <w:jc w:val="center"/>
        </w:trPr>
        <w:tc>
          <w:tcPr>
            <w:tcW w:w="24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val="en-US" w:eastAsia="zh-CN"/>
              </w:rPr>
              <w:t>1</w:t>
            </w:r>
          </w:p>
        </w:tc>
        <w:tc>
          <w:tcPr>
            <w:tcW w:w="3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500</w:t>
            </w:r>
          </w:p>
        </w:tc>
        <w:tc>
          <w:tcPr>
            <w:tcW w:w="46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0.000413</w:t>
            </w:r>
          </w:p>
        </w:tc>
        <w:tc>
          <w:tcPr>
            <w:tcW w:w="40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0.21</w:t>
            </w:r>
          </w:p>
        </w:tc>
        <w:tc>
          <w:tcPr>
            <w:tcW w:w="43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0.000206</w:t>
            </w:r>
          </w:p>
        </w:tc>
        <w:tc>
          <w:tcPr>
            <w:tcW w:w="41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2.06</w:t>
            </w:r>
          </w:p>
        </w:tc>
        <w:tc>
          <w:tcPr>
            <w:tcW w:w="720"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0.000053</w:t>
            </w:r>
          </w:p>
        </w:tc>
        <w:tc>
          <w:tcPr>
            <w:tcW w:w="79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w:t>
            </w:r>
          </w:p>
        </w:tc>
        <w:tc>
          <w:tcPr>
            <w:tcW w:w="73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0.000004</w:t>
            </w:r>
          </w:p>
        </w:tc>
        <w:tc>
          <w:tcPr>
            <w:tcW w:w="70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0.04</w:t>
            </w:r>
          </w:p>
        </w:tc>
        <w:tc>
          <w:tcPr>
            <w:tcW w:w="58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0.001934</w:t>
            </w:r>
          </w:p>
        </w:tc>
        <w:tc>
          <w:tcPr>
            <w:tcW w:w="38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0.21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4" w:hRule="atLeast"/>
          <w:jc w:val="center"/>
        </w:trPr>
        <w:tc>
          <w:tcPr>
            <w:tcW w:w="24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val="en-US" w:eastAsia="zh-CN"/>
              </w:rPr>
              <w:t>2</w:t>
            </w:r>
          </w:p>
        </w:tc>
        <w:tc>
          <w:tcPr>
            <w:tcW w:w="3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600</w:t>
            </w:r>
          </w:p>
        </w:tc>
        <w:tc>
          <w:tcPr>
            <w:tcW w:w="46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0.000431</w:t>
            </w:r>
          </w:p>
        </w:tc>
        <w:tc>
          <w:tcPr>
            <w:tcW w:w="40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0.22</w:t>
            </w:r>
          </w:p>
        </w:tc>
        <w:tc>
          <w:tcPr>
            <w:tcW w:w="43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0.000216</w:t>
            </w:r>
          </w:p>
        </w:tc>
        <w:tc>
          <w:tcPr>
            <w:tcW w:w="41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2.16</w:t>
            </w:r>
          </w:p>
        </w:tc>
        <w:tc>
          <w:tcPr>
            <w:tcW w:w="720"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0.00005</w:t>
            </w:r>
          </w:p>
        </w:tc>
        <w:tc>
          <w:tcPr>
            <w:tcW w:w="79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w:t>
            </w:r>
          </w:p>
        </w:tc>
        <w:tc>
          <w:tcPr>
            <w:tcW w:w="73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0.000004</w:t>
            </w:r>
          </w:p>
        </w:tc>
        <w:tc>
          <w:tcPr>
            <w:tcW w:w="70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0.04</w:t>
            </w:r>
          </w:p>
        </w:tc>
        <w:tc>
          <w:tcPr>
            <w:tcW w:w="58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0.001826</w:t>
            </w:r>
          </w:p>
        </w:tc>
        <w:tc>
          <w:tcPr>
            <w:tcW w:w="38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4" w:hRule="atLeast"/>
          <w:jc w:val="center"/>
        </w:trPr>
        <w:tc>
          <w:tcPr>
            <w:tcW w:w="24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val="en-US" w:eastAsia="zh-CN"/>
              </w:rPr>
              <w:t>3</w:t>
            </w:r>
          </w:p>
        </w:tc>
        <w:tc>
          <w:tcPr>
            <w:tcW w:w="3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625</w:t>
            </w:r>
          </w:p>
        </w:tc>
        <w:tc>
          <w:tcPr>
            <w:tcW w:w="46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0.000433</w:t>
            </w:r>
          </w:p>
        </w:tc>
        <w:tc>
          <w:tcPr>
            <w:tcW w:w="40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0.22</w:t>
            </w:r>
          </w:p>
        </w:tc>
        <w:tc>
          <w:tcPr>
            <w:tcW w:w="43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0.000216</w:t>
            </w:r>
          </w:p>
        </w:tc>
        <w:tc>
          <w:tcPr>
            <w:tcW w:w="41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2.16</w:t>
            </w:r>
          </w:p>
        </w:tc>
        <w:tc>
          <w:tcPr>
            <w:tcW w:w="40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5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1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0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8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38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4" w:hRule="atLeast"/>
          <w:jc w:val="center"/>
        </w:trPr>
        <w:tc>
          <w:tcPr>
            <w:tcW w:w="24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rPr>
              <w:t>1</w:t>
            </w:r>
            <w:r>
              <w:rPr>
                <w:rFonts w:hint="default" w:ascii="Times New Roman" w:hAnsi="Times New Roman" w:eastAsia="宋体" w:cs="Times New Roman"/>
                <w:b/>
                <w:bCs/>
                <w:color w:val="auto"/>
                <w:sz w:val="21"/>
                <w:szCs w:val="21"/>
                <w:highlight w:val="none"/>
                <w:lang w:val="en-US" w:eastAsia="zh-CN"/>
              </w:rPr>
              <w:t>4</w:t>
            </w:r>
          </w:p>
        </w:tc>
        <w:tc>
          <w:tcPr>
            <w:tcW w:w="3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650</w:t>
            </w:r>
          </w:p>
        </w:tc>
        <w:tc>
          <w:tcPr>
            <w:tcW w:w="46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0.000433</w:t>
            </w:r>
          </w:p>
        </w:tc>
        <w:tc>
          <w:tcPr>
            <w:tcW w:w="40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0.22</w:t>
            </w:r>
          </w:p>
        </w:tc>
        <w:tc>
          <w:tcPr>
            <w:tcW w:w="43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0.000217</w:t>
            </w:r>
          </w:p>
        </w:tc>
        <w:tc>
          <w:tcPr>
            <w:tcW w:w="41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2.17</w:t>
            </w:r>
          </w:p>
        </w:tc>
        <w:tc>
          <w:tcPr>
            <w:tcW w:w="40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5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1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0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8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8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4" w:hRule="atLeast"/>
          <w:jc w:val="center"/>
        </w:trPr>
        <w:tc>
          <w:tcPr>
            <w:tcW w:w="24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val="en-US" w:eastAsia="zh-CN"/>
              </w:rPr>
              <w:t>5</w:t>
            </w:r>
          </w:p>
        </w:tc>
        <w:tc>
          <w:tcPr>
            <w:tcW w:w="3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700</w:t>
            </w:r>
          </w:p>
        </w:tc>
        <w:tc>
          <w:tcPr>
            <w:tcW w:w="46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0.000432</w:t>
            </w:r>
          </w:p>
        </w:tc>
        <w:tc>
          <w:tcPr>
            <w:tcW w:w="40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0.22</w:t>
            </w:r>
          </w:p>
        </w:tc>
        <w:tc>
          <w:tcPr>
            <w:tcW w:w="43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0.000216</w:t>
            </w:r>
          </w:p>
        </w:tc>
        <w:tc>
          <w:tcPr>
            <w:tcW w:w="41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2.16</w:t>
            </w:r>
          </w:p>
        </w:tc>
        <w:tc>
          <w:tcPr>
            <w:tcW w:w="720"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0.000047</w:t>
            </w:r>
          </w:p>
        </w:tc>
        <w:tc>
          <w:tcPr>
            <w:tcW w:w="79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w:t>
            </w:r>
          </w:p>
        </w:tc>
        <w:tc>
          <w:tcPr>
            <w:tcW w:w="73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0.000004</w:t>
            </w:r>
          </w:p>
        </w:tc>
        <w:tc>
          <w:tcPr>
            <w:tcW w:w="70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0.04</w:t>
            </w:r>
          </w:p>
        </w:tc>
        <w:tc>
          <w:tcPr>
            <w:tcW w:w="58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0.001729</w:t>
            </w:r>
          </w:p>
        </w:tc>
        <w:tc>
          <w:tcPr>
            <w:tcW w:w="38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4" w:hRule="atLeast"/>
          <w:jc w:val="center"/>
        </w:trPr>
        <w:tc>
          <w:tcPr>
            <w:tcW w:w="24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val="en-US" w:eastAsia="zh-CN"/>
              </w:rPr>
              <w:t>6</w:t>
            </w:r>
          </w:p>
        </w:tc>
        <w:tc>
          <w:tcPr>
            <w:tcW w:w="3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800</w:t>
            </w:r>
          </w:p>
        </w:tc>
        <w:tc>
          <w:tcPr>
            <w:tcW w:w="46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0.000426</w:t>
            </w:r>
          </w:p>
        </w:tc>
        <w:tc>
          <w:tcPr>
            <w:tcW w:w="40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0.21</w:t>
            </w:r>
          </w:p>
        </w:tc>
        <w:tc>
          <w:tcPr>
            <w:tcW w:w="43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0.000213</w:t>
            </w:r>
          </w:p>
        </w:tc>
        <w:tc>
          <w:tcPr>
            <w:tcW w:w="41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2.13</w:t>
            </w:r>
          </w:p>
        </w:tc>
        <w:tc>
          <w:tcPr>
            <w:tcW w:w="720"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0.000045</w:t>
            </w:r>
          </w:p>
        </w:tc>
        <w:tc>
          <w:tcPr>
            <w:tcW w:w="79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w:t>
            </w:r>
          </w:p>
        </w:tc>
        <w:tc>
          <w:tcPr>
            <w:tcW w:w="73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0.000004</w:t>
            </w:r>
          </w:p>
        </w:tc>
        <w:tc>
          <w:tcPr>
            <w:tcW w:w="70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0.04</w:t>
            </w:r>
          </w:p>
        </w:tc>
        <w:tc>
          <w:tcPr>
            <w:tcW w:w="58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0.001645</w:t>
            </w:r>
          </w:p>
        </w:tc>
        <w:tc>
          <w:tcPr>
            <w:tcW w:w="38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4" w:hRule="atLeast"/>
          <w:jc w:val="center"/>
        </w:trPr>
        <w:tc>
          <w:tcPr>
            <w:tcW w:w="24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val="en-US" w:eastAsia="zh-CN"/>
              </w:rPr>
              <w:t>7</w:t>
            </w:r>
          </w:p>
        </w:tc>
        <w:tc>
          <w:tcPr>
            <w:tcW w:w="3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900</w:t>
            </w:r>
          </w:p>
        </w:tc>
        <w:tc>
          <w:tcPr>
            <w:tcW w:w="46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0.000418</w:t>
            </w:r>
          </w:p>
        </w:tc>
        <w:tc>
          <w:tcPr>
            <w:tcW w:w="40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0.21</w:t>
            </w:r>
          </w:p>
        </w:tc>
        <w:tc>
          <w:tcPr>
            <w:tcW w:w="43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0.000209</w:t>
            </w:r>
          </w:p>
        </w:tc>
        <w:tc>
          <w:tcPr>
            <w:tcW w:w="41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2.09</w:t>
            </w:r>
          </w:p>
        </w:tc>
        <w:tc>
          <w:tcPr>
            <w:tcW w:w="720"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0.000043</w:t>
            </w:r>
          </w:p>
        </w:tc>
        <w:tc>
          <w:tcPr>
            <w:tcW w:w="79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w:t>
            </w:r>
          </w:p>
        </w:tc>
        <w:tc>
          <w:tcPr>
            <w:tcW w:w="73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0.000003</w:t>
            </w:r>
          </w:p>
        </w:tc>
        <w:tc>
          <w:tcPr>
            <w:tcW w:w="70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w:t>
            </w:r>
          </w:p>
        </w:tc>
        <w:tc>
          <w:tcPr>
            <w:tcW w:w="58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0.001571</w:t>
            </w:r>
          </w:p>
        </w:tc>
        <w:tc>
          <w:tcPr>
            <w:tcW w:w="38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4" w:hRule="atLeast"/>
          <w:jc w:val="center"/>
        </w:trPr>
        <w:tc>
          <w:tcPr>
            <w:tcW w:w="24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val="en-US" w:eastAsia="zh-CN"/>
              </w:rPr>
              <w:t>8</w:t>
            </w:r>
          </w:p>
        </w:tc>
        <w:tc>
          <w:tcPr>
            <w:tcW w:w="3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1000</w:t>
            </w:r>
          </w:p>
        </w:tc>
        <w:tc>
          <w:tcPr>
            <w:tcW w:w="46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0.000408</w:t>
            </w:r>
          </w:p>
        </w:tc>
        <w:tc>
          <w:tcPr>
            <w:tcW w:w="40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w:t>
            </w:r>
          </w:p>
        </w:tc>
        <w:tc>
          <w:tcPr>
            <w:tcW w:w="43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0.000204</w:t>
            </w:r>
          </w:p>
        </w:tc>
        <w:tc>
          <w:tcPr>
            <w:tcW w:w="41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2.04</w:t>
            </w:r>
          </w:p>
        </w:tc>
        <w:tc>
          <w:tcPr>
            <w:tcW w:w="720"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0.000042</w:t>
            </w:r>
          </w:p>
        </w:tc>
        <w:tc>
          <w:tcPr>
            <w:tcW w:w="79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w:t>
            </w:r>
          </w:p>
        </w:tc>
        <w:tc>
          <w:tcPr>
            <w:tcW w:w="73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0.000003</w:t>
            </w:r>
          </w:p>
        </w:tc>
        <w:tc>
          <w:tcPr>
            <w:tcW w:w="70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w:t>
            </w:r>
          </w:p>
        </w:tc>
        <w:tc>
          <w:tcPr>
            <w:tcW w:w="58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0.001504</w:t>
            </w:r>
          </w:p>
        </w:tc>
        <w:tc>
          <w:tcPr>
            <w:tcW w:w="38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4" w:hRule="atLeast"/>
          <w:jc w:val="center"/>
        </w:trPr>
        <w:tc>
          <w:tcPr>
            <w:tcW w:w="24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val="en-US" w:eastAsia="zh-CN"/>
              </w:rPr>
              <w:t>9</w:t>
            </w:r>
          </w:p>
        </w:tc>
        <w:tc>
          <w:tcPr>
            <w:tcW w:w="3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1100</w:t>
            </w:r>
          </w:p>
        </w:tc>
        <w:tc>
          <w:tcPr>
            <w:tcW w:w="46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0.000397</w:t>
            </w:r>
          </w:p>
        </w:tc>
        <w:tc>
          <w:tcPr>
            <w:tcW w:w="40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w:t>
            </w:r>
          </w:p>
        </w:tc>
        <w:tc>
          <w:tcPr>
            <w:tcW w:w="43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0.000199</w:t>
            </w:r>
          </w:p>
        </w:tc>
        <w:tc>
          <w:tcPr>
            <w:tcW w:w="41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1.99</w:t>
            </w:r>
          </w:p>
        </w:tc>
        <w:tc>
          <w:tcPr>
            <w:tcW w:w="720"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0.00004</w:t>
            </w:r>
          </w:p>
        </w:tc>
        <w:tc>
          <w:tcPr>
            <w:tcW w:w="79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w:t>
            </w:r>
          </w:p>
        </w:tc>
        <w:tc>
          <w:tcPr>
            <w:tcW w:w="73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0.000003</w:t>
            </w:r>
          </w:p>
        </w:tc>
        <w:tc>
          <w:tcPr>
            <w:tcW w:w="70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w:t>
            </w:r>
          </w:p>
        </w:tc>
        <w:tc>
          <w:tcPr>
            <w:tcW w:w="58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0.001443</w:t>
            </w:r>
          </w:p>
        </w:tc>
        <w:tc>
          <w:tcPr>
            <w:tcW w:w="38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4" w:hRule="atLeast"/>
          <w:jc w:val="center"/>
        </w:trPr>
        <w:tc>
          <w:tcPr>
            <w:tcW w:w="24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w:t>
            </w:r>
          </w:p>
        </w:tc>
        <w:tc>
          <w:tcPr>
            <w:tcW w:w="3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1200</w:t>
            </w:r>
          </w:p>
        </w:tc>
        <w:tc>
          <w:tcPr>
            <w:tcW w:w="46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0.000385</w:t>
            </w:r>
          </w:p>
        </w:tc>
        <w:tc>
          <w:tcPr>
            <w:tcW w:w="40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0.19</w:t>
            </w:r>
          </w:p>
        </w:tc>
        <w:tc>
          <w:tcPr>
            <w:tcW w:w="43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0.000192</w:t>
            </w:r>
          </w:p>
        </w:tc>
        <w:tc>
          <w:tcPr>
            <w:tcW w:w="41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1.92</w:t>
            </w:r>
          </w:p>
        </w:tc>
        <w:tc>
          <w:tcPr>
            <w:tcW w:w="720"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0.000038</w:t>
            </w:r>
          </w:p>
        </w:tc>
        <w:tc>
          <w:tcPr>
            <w:tcW w:w="79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w:t>
            </w:r>
          </w:p>
        </w:tc>
        <w:tc>
          <w:tcPr>
            <w:tcW w:w="73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0.000003</w:t>
            </w:r>
          </w:p>
        </w:tc>
        <w:tc>
          <w:tcPr>
            <w:tcW w:w="70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w:t>
            </w:r>
          </w:p>
        </w:tc>
        <w:tc>
          <w:tcPr>
            <w:tcW w:w="58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0.001387</w:t>
            </w:r>
          </w:p>
        </w:tc>
        <w:tc>
          <w:tcPr>
            <w:tcW w:w="38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4" w:hRule="atLeast"/>
          <w:jc w:val="center"/>
        </w:trPr>
        <w:tc>
          <w:tcPr>
            <w:tcW w:w="24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val="en-US" w:eastAsia="zh-CN"/>
              </w:rPr>
              <w:t>1</w:t>
            </w:r>
          </w:p>
        </w:tc>
        <w:tc>
          <w:tcPr>
            <w:tcW w:w="3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1300</w:t>
            </w:r>
          </w:p>
        </w:tc>
        <w:tc>
          <w:tcPr>
            <w:tcW w:w="46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0.000373</w:t>
            </w:r>
          </w:p>
        </w:tc>
        <w:tc>
          <w:tcPr>
            <w:tcW w:w="40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0.19</w:t>
            </w:r>
          </w:p>
        </w:tc>
        <w:tc>
          <w:tcPr>
            <w:tcW w:w="43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0.000186</w:t>
            </w:r>
          </w:p>
        </w:tc>
        <w:tc>
          <w:tcPr>
            <w:tcW w:w="41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1.86</w:t>
            </w:r>
          </w:p>
        </w:tc>
        <w:tc>
          <w:tcPr>
            <w:tcW w:w="720"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0.000037</w:t>
            </w:r>
          </w:p>
        </w:tc>
        <w:tc>
          <w:tcPr>
            <w:tcW w:w="79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w:t>
            </w:r>
          </w:p>
        </w:tc>
        <w:tc>
          <w:tcPr>
            <w:tcW w:w="73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0.000003</w:t>
            </w:r>
          </w:p>
        </w:tc>
        <w:tc>
          <w:tcPr>
            <w:tcW w:w="70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w:t>
            </w:r>
          </w:p>
        </w:tc>
        <w:tc>
          <w:tcPr>
            <w:tcW w:w="58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0.001335</w:t>
            </w:r>
          </w:p>
        </w:tc>
        <w:tc>
          <w:tcPr>
            <w:tcW w:w="38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4" w:hRule="atLeast"/>
          <w:jc w:val="center"/>
        </w:trPr>
        <w:tc>
          <w:tcPr>
            <w:tcW w:w="24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val="en-US" w:eastAsia="zh-CN"/>
              </w:rPr>
              <w:t>2</w:t>
            </w:r>
          </w:p>
        </w:tc>
        <w:tc>
          <w:tcPr>
            <w:tcW w:w="3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1400</w:t>
            </w:r>
          </w:p>
        </w:tc>
        <w:tc>
          <w:tcPr>
            <w:tcW w:w="46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0.000362</w:t>
            </w:r>
          </w:p>
        </w:tc>
        <w:tc>
          <w:tcPr>
            <w:tcW w:w="40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0.18</w:t>
            </w:r>
          </w:p>
        </w:tc>
        <w:tc>
          <w:tcPr>
            <w:tcW w:w="43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0.000181</w:t>
            </w:r>
          </w:p>
        </w:tc>
        <w:tc>
          <w:tcPr>
            <w:tcW w:w="41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1.81</w:t>
            </w:r>
          </w:p>
        </w:tc>
        <w:tc>
          <w:tcPr>
            <w:tcW w:w="720"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0.000036</w:t>
            </w:r>
          </w:p>
        </w:tc>
        <w:tc>
          <w:tcPr>
            <w:tcW w:w="79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w:t>
            </w:r>
          </w:p>
        </w:tc>
        <w:tc>
          <w:tcPr>
            <w:tcW w:w="73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0.000003</w:t>
            </w:r>
          </w:p>
        </w:tc>
        <w:tc>
          <w:tcPr>
            <w:tcW w:w="70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w:t>
            </w:r>
          </w:p>
        </w:tc>
        <w:tc>
          <w:tcPr>
            <w:tcW w:w="58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0.001287</w:t>
            </w:r>
          </w:p>
        </w:tc>
        <w:tc>
          <w:tcPr>
            <w:tcW w:w="38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4" w:hRule="atLeast"/>
          <w:jc w:val="center"/>
        </w:trPr>
        <w:tc>
          <w:tcPr>
            <w:tcW w:w="24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val="en-US" w:eastAsia="zh-CN"/>
              </w:rPr>
              <w:t>3</w:t>
            </w:r>
          </w:p>
        </w:tc>
        <w:tc>
          <w:tcPr>
            <w:tcW w:w="3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1500</w:t>
            </w:r>
          </w:p>
        </w:tc>
        <w:tc>
          <w:tcPr>
            <w:tcW w:w="46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0.000352</w:t>
            </w:r>
          </w:p>
        </w:tc>
        <w:tc>
          <w:tcPr>
            <w:tcW w:w="40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0.18</w:t>
            </w:r>
          </w:p>
        </w:tc>
        <w:tc>
          <w:tcPr>
            <w:tcW w:w="43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0.000176</w:t>
            </w:r>
          </w:p>
        </w:tc>
        <w:tc>
          <w:tcPr>
            <w:tcW w:w="41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1.76</w:t>
            </w:r>
          </w:p>
        </w:tc>
        <w:tc>
          <w:tcPr>
            <w:tcW w:w="720"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0.000035</w:t>
            </w:r>
          </w:p>
        </w:tc>
        <w:tc>
          <w:tcPr>
            <w:tcW w:w="79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w:t>
            </w:r>
          </w:p>
        </w:tc>
        <w:tc>
          <w:tcPr>
            <w:tcW w:w="73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0.000003</w:t>
            </w:r>
          </w:p>
        </w:tc>
        <w:tc>
          <w:tcPr>
            <w:tcW w:w="70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w:t>
            </w:r>
          </w:p>
        </w:tc>
        <w:tc>
          <w:tcPr>
            <w:tcW w:w="58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0.001242</w:t>
            </w:r>
          </w:p>
        </w:tc>
        <w:tc>
          <w:tcPr>
            <w:tcW w:w="38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9" w:hRule="atLeast"/>
          <w:jc w:val="center"/>
        </w:trPr>
        <w:tc>
          <w:tcPr>
            <w:tcW w:w="24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val="en-US" w:eastAsia="zh-CN"/>
              </w:rPr>
              <w:t>4</w:t>
            </w:r>
          </w:p>
        </w:tc>
        <w:tc>
          <w:tcPr>
            <w:tcW w:w="3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1600</w:t>
            </w:r>
          </w:p>
        </w:tc>
        <w:tc>
          <w:tcPr>
            <w:tcW w:w="46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0.000344</w:t>
            </w:r>
          </w:p>
        </w:tc>
        <w:tc>
          <w:tcPr>
            <w:tcW w:w="40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0.17</w:t>
            </w:r>
          </w:p>
        </w:tc>
        <w:tc>
          <w:tcPr>
            <w:tcW w:w="43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0.000172</w:t>
            </w:r>
          </w:p>
        </w:tc>
        <w:tc>
          <w:tcPr>
            <w:tcW w:w="41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1.72</w:t>
            </w:r>
          </w:p>
        </w:tc>
        <w:tc>
          <w:tcPr>
            <w:tcW w:w="720"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0.000034</w:t>
            </w:r>
          </w:p>
        </w:tc>
        <w:tc>
          <w:tcPr>
            <w:tcW w:w="79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w:t>
            </w:r>
          </w:p>
        </w:tc>
        <w:tc>
          <w:tcPr>
            <w:tcW w:w="73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0.000003</w:t>
            </w:r>
          </w:p>
        </w:tc>
        <w:tc>
          <w:tcPr>
            <w:tcW w:w="70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w:t>
            </w:r>
          </w:p>
        </w:tc>
        <w:tc>
          <w:tcPr>
            <w:tcW w:w="58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0.0012</w:t>
            </w:r>
          </w:p>
        </w:tc>
        <w:tc>
          <w:tcPr>
            <w:tcW w:w="38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4" w:hRule="atLeast"/>
          <w:jc w:val="center"/>
        </w:trPr>
        <w:tc>
          <w:tcPr>
            <w:tcW w:w="24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val="en-US" w:eastAsia="zh-CN"/>
              </w:rPr>
              <w:t>5</w:t>
            </w:r>
          </w:p>
        </w:tc>
        <w:tc>
          <w:tcPr>
            <w:tcW w:w="3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1700</w:t>
            </w:r>
          </w:p>
        </w:tc>
        <w:tc>
          <w:tcPr>
            <w:tcW w:w="46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0.000336</w:t>
            </w:r>
          </w:p>
        </w:tc>
        <w:tc>
          <w:tcPr>
            <w:tcW w:w="40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0.17</w:t>
            </w:r>
          </w:p>
        </w:tc>
        <w:tc>
          <w:tcPr>
            <w:tcW w:w="43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0.000168</w:t>
            </w:r>
          </w:p>
        </w:tc>
        <w:tc>
          <w:tcPr>
            <w:tcW w:w="41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1.68</w:t>
            </w:r>
          </w:p>
        </w:tc>
        <w:tc>
          <w:tcPr>
            <w:tcW w:w="720"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0.000032</w:t>
            </w:r>
          </w:p>
        </w:tc>
        <w:tc>
          <w:tcPr>
            <w:tcW w:w="79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w:t>
            </w:r>
          </w:p>
        </w:tc>
        <w:tc>
          <w:tcPr>
            <w:tcW w:w="73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0.000003</w:t>
            </w:r>
          </w:p>
        </w:tc>
        <w:tc>
          <w:tcPr>
            <w:tcW w:w="70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w:t>
            </w:r>
          </w:p>
        </w:tc>
        <w:tc>
          <w:tcPr>
            <w:tcW w:w="58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0.00116</w:t>
            </w:r>
          </w:p>
        </w:tc>
        <w:tc>
          <w:tcPr>
            <w:tcW w:w="38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4" w:hRule="atLeast"/>
          <w:jc w:val="center"/>
        </w:trPr>
        <w:tc>
          <w:tcPr>
            <w:tcW w:w="24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val="en-US" w:eastAsia="zh-CN"/>
              </w:rPr>
              <w:t>6</w:t>
            </w:r>
          </w:p>
        </w:tc>
        <w:tc>
          <w:tcPr>
            <w:tcW w:w="3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1800</w:t>
            </w:r>
          </w:p>
        </w:tc>
        <w:tc>
          <w:tcPr>
            <w:tcW w:w="46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0.000327</w:t>
            </w:r>
          </w:p>
        </w:tc>
        <w:tc>
          <w:tcPr>
            <w:tcW w:w="40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0.16</w:t>
            </w:r>
          </w:p>
        </w:tc>
        <w:tc>
          <w:tcPr>
            <w:tcW w:w="43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0.000164</w:t>
            </w:r>
          </w:p>
        </w:tc>
        <w:tc>
          <w:tcPr>
            <w:tcW w:w="41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1.64</w:t>
            </w:r>
          </w:p>
        </w:tc>
        <w:tc>
          <w:tcPr>
            <w:tcW w:w="720"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0.000031</w:t>
            </w:r>
          </w:p>
        </w:tc>
        <w:tc>
          <w:tcPr>
            <w:tcW w:w="79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w:t>
            </w:r>
          </w:p>
        </w:tc>
        <w:tc>
          <w:tcPr>
            <w:tcW w:w="73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0.000002</w:t>
            </w:r>
          </w:p>
        </w:tc>
        <w:tc>
          <w:tcPr>
            <w:tcW w:w="70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w:t>
            </w:r>
          </w:p>
        </w:tc>
        <w:tc>
          <w:tcPr>
            <w:tcW w:w="58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0.001123</w:t>
            </w:r>
          </w:p>
        </w:tc>
        <w:tc>
          <w:tcPr>
            <w:tcW w:w="38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4" w:hRule="atLeast"/>
          <w:jc w:val="center"/>
        </w:trPr>
        <w:tc>
          <w:tcPr>
            <w:tcW w:w="24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val="en-US" w:eastAsia="zh-CN"/>
              </w:rPr>
              <w:t>7</w:t>
            </w:r>
          </w:p>
        </w:tc>
        <w:tc>
          <w:tcPr>
            <w:tcW w:w="3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1900</w:t>
            </w:r>
          </w:p>
        </w:tc>
        <w:tc>
          <w:tcPr>
            <w:tcW w:w="46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0.000319</w:t>
            </w:r>
          </w:p>
        </w:tc>
        <w:tc>
          <w:tcPr>
            <w:tcW w:w="40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0.16</w:t>
            </w:r>
          </w:p>
        </w:tc>
        <w:tc>
          <w:tcPr>
            <w:tcW w:w="43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0.00016</w:t>
            </w:r>
          </w:p>
        </w:tc>
        <w:tc>
          <w:tcPr>
            <w:tcW w:w="41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w:t>
            </w:r>
          </w:p>
        </w:tc>
        <w:tc>
          <w:tcPr>
            <w:tcW w:w="720"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0.00003</w:t>
            </w:r>
          </w:p>
        </w:tc>
        <w:tc>
          <w:tcPr>
            <w:tcW w:w="79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w:t>
            </w:r>
          </w:p>
        </w:tc>
        <w:tc>
          <w:tcPr>
            <w:tcW w:w="73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0.000002</w:t>
            </w:r>
          </w:p>
        </w:tc>
        <w:tc>
          <w:tcPr>
            <w:tcW w:w="70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w:t>
            </w:r>
          </w:p>
        </w:tc>
        <w:tc>
          <w:tcPr>
            <w:tcW w:w="58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0.001087</w:t>
            </w:r>
          </w:p>
        </w:tc>
        <w:tc>
          <w:tcPr>
            <w:tcW w:w="38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4" w:hRule="atLeast"/>
          <w:jc w:val="center"/>
        </w:trPr>
        <w:tc>
          <w:tcPr>
            <w:tcW w:w="24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28</w:t>
            </w:r>
          </w:p>
        </w:tc>
        <w:tc>
          <w:tcPr>
            <w:tcW w:w="3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2000</w:t>
            </w:r>
          </w:p>
        </w:tc>
        <w:tc>
          <w:tcPr>
            <w:tcW w:w="46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0.000311</w:t>
            </w:r>
          </w:p>
        </w:tc>
        <w:tc>
          <w:tcPr>
            <w:tcW w:w="40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0.16</w:t>
            </w:r>
          </w:p>
        </w:tc>
        <w:tc>
          <w:tcPr>
            <w:tcW w:w="43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0.000156</w:t>
            </w:r>
          </w:p>
        </w:tc>
        <w:tc>
          <w:tcPr>
            <w:tcW w:w="41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1.56</w:t>
            </w:r>
          </w:p>
        </w:tc>
        <w:tc>
          <w:tcPr>
            <w:tcW w:w="720"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0.00003</w:t>
            </w:r>
          </w:p>
        </w:tc>
        <w:tc>
          <w:tcPr>
            <w:tcW w:w="79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w:t>
            </w:r>
          </w:p>
        </w:tc>
        <w:tc>
          <w:tcPr>
            <w:tcW w:w="73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0.000002</w:t>
            </w:r>
          </w:p>
        </w:tc>
        <w:tc>
          <w:tcPr>
            <w:tcW w:w="70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w:t>
            </w:r>
          </w:p>
        </w:tc>
        <w:tc>
          <w:tcPr>
            <w:tcW w:w="58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0.001054</w:t>
            </w:r>
          </w:p>
        </w:tc>
        <w:tc>
          <w:tcPr>
            <w:tcW w:w="38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4" w:hRule="atLeast"/>
          <w:jc w:val="center"/>
        </w:trPr>
        <w:tc>
          <w:tcPr>
            <w:tcW w:w="24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29</w:t>
            </w:r>
          </w:p>
        </w:tc>
        <w:tc>
          <w:tcPr>
            <w:tcW w:w="3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2100</w:t>
            </w:r>
          </w:p>
        </w:tc>
        <w:tc>
          <w:tcPr>
            <w:tcW w:w="46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0.000303</w:t>
            </w:r>
          </w:p>
        </w:tc>
        <w:tc>
          <w:tcPr>
            <w:tcW w:w="40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0.15</w:t>
            </w:r>
          </w:p>
        </w:tc>
        <w:tc>
          <w:tcPr>
            <w:tcW w:w="43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0.000152</w:t>
            </w:r>
          </w:p>
        </w:tc>
        <w:tc>
          <w:tcPr>
            <w:tcW w:w="41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1.52</w:t>
            </w:r>
          </w:p>
        </w:tc>
        <w:tc>
          <w:tcPr>
            <w:tcW w:w="720"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0.000029</w:t>
            </w:r>
          </w:p>
        </w:tc>
        <w:tc>
          <w:tcPr>
            <w:tcW w:w="79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w:t>
            </w:r>
          </w:p>
        </w:tc>
        <w:tc>
          <w:tcPr>
            <w:tcW w:w="73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0.000002</w:t>
            </w:r>
          </w:p>
        </w:tc>
        <w:tc>
          <w:tcPr>
            <w:tcW w:w="70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w:t>
            </w:r>
          </w:p>
        </w:tc>
        <w:tc>
          <w:tcPr>
            <w:tcW w:w="58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0.001022</w:t>
            </w:r>
          </w:p>
        </w:tc>
        <w:tc>
          <w:tcPr>
            <w:tcW w:w="38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4" w:hRule="atLeast"/>
          <w:jc w:val="center"/>
        </w:trPr>
        <w:tc>
          <w:tcPr>
            <w:tcW w:w="24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30</w:t>
            </w:r>
          </w:p>
        </w:tc>
        <w:tc>
          <w:tcPr>
            <w:tcW w:w="3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2200</w:t>
            </w:r>
          </w:p>
        </w:tc>
        <w:tc>
          <w:tcPr>
            <w:tcW w:w="46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0.000295</w:t>
            </w:r>
          </w:p>
        </w:tc>
        <w:tc>
          <w:tcPr>
            <w:tcW w:w="40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0.15</w:t>
            </w:r>
          </w:p>
        </w:tc>
        <w:tc>
          <w:tcPr>
            <w:tcW w:w="43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0.000148</w:t>
            </w:r>
          </w:p>
        </w:tc>
        <w:tc>
          <w:tcPr>
            <w:tcW w:w="41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1.48</w:t>
            </w:r>
          </w:p>
        </w:tc>
        <w:tc>
          <w:tcPr>
            <w:tcW w:w="720"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0.000028</w:t>
            </w:r>
          </w:p>
        </w:tc>
        <w:tc>
          <w:tcPr>
            <w:tcW w:w="79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w:t>
            </w:r>
          </w:p>
        </w:tc>
        <w:tc>
          <w:tcPr>
            <w:tcW w:w="73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0.000002</w:t>
            </w:r>
          </w:p>
        </w:tc>
        <w:tc>
          <w:tcPr>
            <w:tcW w:w="70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w:t>
            </w:r>
          </w:p>
        </w:tc>
        <w:tc>
          <w:tcPr>
            <w:tcW w:w="58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0.000993</w:t>
            </w:r>
          </w:p>
        </w:tc>
        <w:tc>
          <w:tcPr>
            <w:tcW w:w="38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4" w:hRule="atLeast"/>
          <w:jc w:val="center"/>
        </w:trPr>
        <w:tc>
          <w:tcPr>
            <w:tcW w:w="24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31</w:t>
            </w:r>
          </w:p>
        </w:tc>
        <w:tc>
          <w:tcPr>
            <w:tcW w:w="3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2300</w:t>
            </w:r>
          </w:p>
        </w:tc>
        <w:tc>
          <w:tcPr>
            <w:tcW w:w="46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0.000289</w:t>
            </w:r>
          </w:p>
        </w:tc>
        <w:tc>
          <w:tcPr>
            <w:tcW w:w="40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0.14</w:t>
            </w:r>
          </w:p>
        </w:tc>
        <w:tc>
          <w:tcPr>
            <w:tcW w:w="43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0.000145</w:t>
            </w:r>
          </w:p>
        </w:tc>
        <w:tc>
          <w:tcPr>
            <w:tcW w:w="41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1.45</w:t>
            </w:r>
          </w:p>
        </w:tc>
        <w:tc>
          <w:tcPr>
            <w:tcW w:w="720"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0.000027</w:t>
            </w:r>
          </w:p>
        </w:tc>
        <w:tc>
          <w:tcPr>
            <w:tcW w:w="79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w:t>
            </w:r>
          </w:p>
        </w:tc>
        <w:tc>
          <w:tcPr>
            <w:tcW w:w="73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0.000002</w:t>
            </w:r>
          </w:p>
        </w:tc>
        <w:tc>
          <w:tcPr>
            <w:tcW w:w="70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w:t>
            </w:r>
          </w:p>
        </w:tc>
        <w:tc>
          <w:tcPr>
            <w:tcW w:w="58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0.000964</w:t>
            </w:r>
          </w:p>
        </w:tc>
        <w:tc>
          <w:tcPr>
            <w:tcW w:w="38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4" w:hRule="atLeast"/>
          <w:jc w:val="center"/>
        </w:trPr>
        <w:tc>
          <w:tcPr>
            <w:tcW w:w="24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32</w:t>
            </w:r>
          </w:p>
        </w:tc>
        <w:tc>
          <w:tcPr>
            <w:tcW w:w="3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2400</w:t>
            </w:r>
          </w:p>
        </w:tc>
        <w:tc>
          <w:tcPr>
            <w:tcW w:w="46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0.000285</w:t>
            </w:r>
          </w:p>
        </w:tc>
        <w:tc>
          <w:tcPr>
            <w:tcW w:w="40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0.14</w:t>
            </w:r>
          </w:p>
        </w:tc>
        <w:tc>
          <w:tcPr>
            <w:tcW w:w="43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0.000143</w:t>
            </w:r>
          </w:p>
        </w:tc>
        <w:tc>
          <w:tcPr>
            <w:tcW w:w="41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1.43</w:t>
            </w:r>
          </w:p>
        </w:tc>
        <w:tc>
          <w:tcPr>
            <w:tcW w:w="720"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0.000026</w:t>
            </w:r>
          </w:p>
        </w:tc>
        <w:tc>
          <w:tcPr>
            <w:tcW w:w="79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w:t>
            </w:r>
          </w:p>
        </w:tc>
        <w:tc>
          <w:tcPr>
            <w:tcW w:w="73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0.000002</w:t>
            </w:r>
          </w:p>
        </w:tc>
        <w:tc>
          <w:tcPr>
            <w:tcW w:w="70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w:t>
            </w:r>
          </w:p>
        </w:tc>
        <w:tc>
          <w:tcPr>
            <w:tcW w:w="58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0.000937</w:t>
            </w:r>
          </w:p>
        </w:tc>
        <w:tc>
          <w:tcPr>
            <w:tcW w:w="38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04" w:hRule="atLeast"/>
          <w:jc w:val="center"/>
        </w:trPr>
        <w:tc>
          <w:tcPr>
            <w:tcW w:w="24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33</w:t>
            </w:r>
          </w:p>
        </w:tc>
        <w:tc>
          <w:tcPr>
            <w:tcW w:w="3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2500</w:t>
            </w:r>
          </w:p>
        </w:tc>
        <w:tc>
          <w:tcPr>
            <w:tcW w:w="46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0.000281</w:t>
            </w:r>
          </w:p>
        </w:tc>
        <w:tc>
          <w:tcPr>
            <w:tcW w:w="40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0.14</w:t>
            </w:r>
          </w:p>
        </w:tc>
        <w:tc>
          <w:tcPr>
            <w:tcW w:w="43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0.000141</w:t>
            </w:r>
          </w:p>
        </w:tc>
        <w:tc>
          <w:tcPr>
            <w:tcW w:w="41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1.41</w:t>
            </w:r>
          </w:p>
        </w:tc>
        <w:tc>
          <w:tcPr>
            <w:tcW w:w="720"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0.000026</w:t>
            </w:r>
          </w:p>
        </w:tc>
        <w:tc>
          <w:tcPr>
            <w:tcW w:w="79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w:t>
            </w:r>
          </w:p>
        </w:tc>
        <w:tc>
          <w:tcPr>
            <w:tcW w:w="73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0.000002</w:t>
            </w:r>
          </w:p>
        </w:tc>
        <w:tc>
          <w:tcPr>
            <w:tcW w:w="70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w:t>
            </w:r>
          </w:p>
        </w:tc>
        <w:tc>
          <w:tcPr>
            <w:tcW w:w="58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0.000912</w:t>
            </w:r>
          </w:p>
        </w:tc>
        <w:tc>
          <w:tcPr>
            <w:tcW w:w="38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w:t>
            </w:r>
          </w:p>
        </w:tc>
      </w:tr>
    </w:tbl>
    <w:p>
      <w:pPr>
        <w:pageBreakBefore w:val="0"/>
        <w:wordWrap/>
        <w:bidi w:val="0"/>
        <w:adjustRightInd w:val="0"/>
        <w:spacing w:line="360" w:lineRule="auto"/>
        <w:ind w:left="0" w:leftChars="0" w:right="0" w:rightChars="0" w:firstLine="480" w:firstLineChars="200"/>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通过预测分析，可以得出以下结论：</w:t>
      </w:r>
    </w:p>
    <w:p>
      <w:pPr>
        <w:pageBreakBefore w:val="0"/>
        <w:wordWrap/>
        <w:bidi w:val="0"/>
        <w:adjustRightInd w:val="0"/>
        <w:spacing w:line="360" w:lineRule="auto"/>
        <w:ind w:left="0" w:leftChars="0" w:right="0" w:rightChars="0" w:firstLine="480"/>
        <w:rPr>
          <w:rFonts w:hint="default" w:ascii="Times New Roman" w:hAnsi="Times New Roman" w:cs="Times New Roman"/>
          <w:color w:val="auto"/>
          <w:sz w:val="24"/>
          <w:szCs w:val="22"/>
          <w:highlight w:val="yellow"/>
        </w:rPr>
      </w:pPr>
      <w:r>
        <w:rPr>
          <w:rFonts w:hint="default" w:ascii="Times New Roman" w:hAnsi="Times New Roman" w:cs="Times New Roman"/>
          <w:color w:val="auto"/>
          <w:sz w:val="24"/>
          <w:szCs w:val="22"/>
          <w:highlight w:val="none"/>
        </w:rPr>
        <w:t>有组织污染源饲料粉尘最大落地浓度为</w:t>
      </w:r>
      <w:r>
        <w:rPr>
          <w:rFonts w:hint="eastAsia" w:cs="Times New Roman"/>
          <w:color w:val="auto"/>
          <w:sz w:val="24"/>
          <w:szCs w:val="22"/>
          <w:highlight w:val="none"/>
          <w:lang w:eastAsia="zh-CN"/>
        </w:rPr>
        <w:t>0.000583</w:t>
      </w:r>
      <w:r>
        <w:rPr>
          <w:rFonts w:hint="default" w:ascii="Times New Roman" w:hAnsi="Times New Roman" w:cs="Times New Roman"/>
          <w:color w:val="auto"/>
          <w:sz w:val="24"/>
          <w:szCs w:val="22"/>
          <w:highlight w:val="none"/>
        </w:rPr>
        <w:t>mg/m</w:t>
      </w:r>
      <w:r>
        <w:rPr>
          <w:rFonts w:hint="default" w:ascii="Times New Roman" w:hAnsi="Times New Roman" w:cs="Times New Roman"/>
          <w:color w:val="auto"/>
          <w:sz w:val="24"/>
          <w:szCs w:val="22"/>
          <w:highlight w:val="none"/>
          <w:vertAlign w:val="superscript"/>
          <w:lang w:val="en-US" w:eastAsia="zh-CN"/>
        </w:rPr>
        <w:t>3</w:t>
      </w:r>
      <w:r>
        <w:rPr>
          <w:rFonts w:hint="default" w:ascii="Times New Roman" w:hAnsi="Times New Roman" w:cs="Times New Roman"/>
          <w:color w:val="auto"/>
          <w:sz w:val="24"/>
          <w:szCs w:val="22"/>
          <w:highlight w:val="none"/>
        </w:rPr>
        <w:t>，最大占标率0.</w:t>
      </w:r>
      <w:r>
        <w:rPr>
          <w:rFonts w:hint="default" w:ascii="Times New Roman" w:hAnsi="Times New Roman" w:cs="Times New Roman"/>
          <w:color w:val="auto"/>
          <w:sz w:val="24"/>
          <w:szCs w:val="22"/>
          <w:highlight w:val="none"/>
          <w:lang w:val="en-US" w:eastAsia="zh-CN"/>
        </w:rPr>
        <w:t>00</w:t>
      </w:r>
      <w:r>
        <w:rPr>
          <w:rFonts w:hint="default" w:ascii="Times New Roman" w:hAnsi="Times New Roman" w:cs="Times New Roman"/>
          <w:color w:val="auto"/>
          <w:sz w:val="24"/>
          <w:szCs w:val="22"/>
          <w:highlight w:val="none"/>
        </w:rPr>
        <w:t>%，出现于</w:t>
      </w:r>
      <w:r>
        <w:rPr>
          <w:rFonts w:hint="default" w:ascii="Times New Roman" w:hAnsi="Times New Roman" w:cs="Times New Roman"/>
          <w:color w:val="auto"/>
          <w:sz w:val="24"/>
          <w:szCs w:val="22"/>
          <w:highlight w:val="none"/>
          <w:lang w:val="en-US" w:eastAsia="zh-CN"/>
        </w:rPr>
        <w:t>75</w:t>
      </w:r>
      <w:r>
        <w:rPr>
          <w:rFonts w:hint="default" w:ascii="Times New Roman" w:hAnsi="Times New Roman" w:cs="Times New Roman"/>
          <w:color w:val="auto"/>
          <w:sz w:val="24"/>
          <w:szCs w:val="22"/>
          <w:highlight w:val="none"/>
        </w:rPr>
        <w:t>m处</w:t>
      </w:r>
      <w:r>
        <w:rPr>
          <w:rFonts w:hint="default" w:ascii="Times New Roman" w:hAnsi="Times New Roman" w:cs="Times New Roman"/>
          <w:color w:val="auto"/>
          <w:sz w:val="24"/>
          <w:szCs w:val="22"/>
          <w:highlight w:val="none"/>
          <w:lang w:eastAsia="zh-CN"/>
        </w:rPr>
        <w:t>。</w:t>
      </w:r>
      <w:r>
        <w:rPr>
          <w:rFonts w:hint="default" w:ascii="Times New Roman" w:hAnsi="Times New Roman" w:cs="Times New Roman"/>
          <w:color w:val="auto"/>
          <w:sz w:val="24"/>
          <w:szCs w:val="22"/>
          <w:highlight w:val="none"/>
        </w:rPr>
        <w:t>无组织污染源</w:t>
      </w:r>
      <w:r>
        <w:rPr>
          <w:rFonts w:hint="default" w:ascii="Times New Roman" w:hAnsi="Times New Roman" w:cs="Times New Roman"/>
          <w:color w:val="auto"/>
          <w:sz w:val="24"/>
          <w:szCs w:val="22"/>
          <w:highlight w:val="none"/>
          <w:lang w:val="en-US" w:eastAsia="zh-CN"/>
        </w:rPr>
        <w:t>养殖区</w:t>
      </w:r>
      <w:r>
        <w:rPr>
          <w:rFonts w:hint="default" w:ascii="Times New Roman" w:hAnsi="Times New Roman" w:cs="Times New Roman"/>
          <w:color w:val="auto"/>
          <w:sz w:val="24"/>
          <w:szCs w:val="22"/>
          <w:highlight w:val="none"/>
        </w:rPr>
        <w:t>NH</w:t>
      </w:r>
      <w:r>
        <w:rPr>
          <w:rFonts w:hint="default" w:ascii="Times New Roman" w:hAnsi="Times New Roman" w:cs="Times New Roman"/>
          <w:color w:val="auto"/>
          <w:sz w:val="24"/>
          <w:szCs w:val="22"/>
          <w:highlight w:val="none"/>
          <w:vertAlign w:val="subscript"/>
        </w:rPr>
        <w:t>3</w:t>
      </w:r>
      <w:r>
        <w:rPr>
          <w:rFonts w:hint="default" w:ascii="Times New Roman" w:hAnsi="Times New Roman" w:cs="Times New Roman"/>
          <w:color w:val="auto"/>
          <w:sz w:val="24"/>
          <w:szCs w:val="22"/>
          <w:highlight w:val="none"/>
        </w:rPr>
        <w:t>最大落地浓度为</w:t>
      </w:r>
      <w:r>
        <w:rPr>
          <w:rFonts w:hint="eastAsia" w:cs="Times New Roman"/>
          <w:color w:val="auto"/>
          <w:highlight w:val="none"/>
          <w:lang w:eastAsia="zh-CN"/>
        </w:rPr>
        <w:t>0.000433</w:t>
      </w:r>
      <w:r>
        <w:rPr>
          <w:rFonts w:hint="default" w:ascii="Times New Roman" w:hAnsi="Times New Roman" w:cs="Times New Roman"/>
          <w:color w:val="auto"/>
          <w:sz w:val="24"/>
          <w:szCs w:val="22"/>
          <w:highlight w:val="none"/>
        </w:rPr>
        <w:t>mg/m</w:t>
      </w:r>
      <w:r>
        <w:rPr>
          <w:rFonts w:hint="default" w:ascii="Times New Roman" w:hAnsi="Times New Roman" w:cs="Times New Roman"/>
          <w:color w:val="auto"/>
          <w:sz w:val="24"/>
          <w:szCs w:val="22"/>
          <w:highlight w:val="none"/>
          <w:vertAlign w:val="superscript"/>
          <w:lang w:val="en-US" w:eastAsia="zh-CN"/>
        </w:rPr>
        <w:t>3</w:t>
      </w:r>
      <w:r>
        <w:rPr>
          <w:rFonts w:hint="default" w:ascii="Times New Roman" w:hAnsi="Times New Roman" w:cs="Times New Roman"/>
          <w:color w:val="auto"/>
          <w:sz w:val="24"/>
          <w:szCs w:val="22"/>
          <w:highlight w:val="none"/>
        </w:rPr>
        <w:t>，最大占标率0.</w:t>
      </w:r>
      <w:r>
        <w:rPr>
          <w:rFonts w:hint="eastAsia" w:cs="Times New Roman"/>
          <w:color w:val="auto"/>
          <w:sz w:val="24"/>
          <w:szCs w:val="22"/>
          <w:highlight w:val="none"/>
          <w:lang w:val="en-US" w:eastAsia="zh-CN"/>
        </w:rPr>
        <w:t>22</w:t>
      </w:r>
      <w:r>
        <w:rPr>
          <w:rFonts w:hint="default" w:ascii="Times New Roman" w:hAnsi="Times New Roman" w:cs="Times New Roman"/>
          <w:color w:val="auto"/>
          <w:sz w:val="24"/>
          <w:szCs w:val="22"/>
          <w:highlight w:val="none"/>
        </w:rPr>
        <w:t>%，出现于</w:t>
      </w:r>
      <w:r>
        <w:rPr>
          <w:rFonts w:hint="default" w:ascii="Times New Roman" w:hAnsi="Times New Roman" w:cs="Times New Roman"/>
          <w:color w:val="auto"/>
          <w:sz w:val="24"/>
          <w:szCs w:val="22"/>
          <w:highlight w:val="none"/>
          <w:lang w:val="en-US" w:eastAsia="zh-CN"/>
        </w:rPr>
        <w:t>625</w:t>
      </w:r>
      <w:r>
        <w:rPr>
          <w:rFonts w:hint="default" w:ascii="Times New Roman" w:hAnsi="Times New Roman" w:cs="Times New Roman"/>
          <w:color w:val="auto"/>
          <w:sz w:val="24"/>
          <w:szCs w:val="22"/>
          <w:highlight w:val="none"/>
        </w:rPr>
        <w:t>m处，H</w:t>
      </w:r>
      <w:r>
        <w:rPr>
          <w:rFonts w:hint="default" w:ascii="Times New Roman" w:hAnsi="Times New Roman" w:cs="Times New Roman"/>
          <w:color w:val="auto"/>
          <w:sz w:val="24"/>
          <w:szCs w:val="22"/>
          <w:highlight w:val="none"/>
          <w:vertAlign w:val="subscript"/>
        </w:rPr>
        <w:t>2</w:t>
      </w:r>
      <w:r>
        <w:rPr>
          <w:rFonts w:hint="default" w:ascii="Times New Roman" w:hAnsi="Times New Roman" w:cs="Times New Roman"/>
          <w:color w:val="auto"/>
          <w:sz w:val="24"/>
          <w:szCs w:val="22"/>
          <w:highlight w:val="none"/>
        </w:rPr>
        <w:t>S最大落地浓度为</w:t>
      </w:r>
      <w:r>
        <w:rPr>
          <w:rFonts w:hint="eastAsia" w:cs="Times New Roman"/>
          <w:color w:val="auto"/>
          <w:highlight w:val="none"/>
          <w:lang w:eastAsia="zh-CN"/>
        </w:rPr>
        <w:t>0.000217</w:t>
      </w:r>
      <w:r>
        <w:rPr>
          <w:rFonts w:hint="default" w:ascii="Times New Roman" w:hAnsi="Times New Roman" w:cs="Times New Roman"/>
          <w:color w:val="auto"/>
          <w:sz w:val="24"/>
          <w:szCs w:val="22"/>
          <w:highlight w:val="none"/>
        </w:rPr>
        <w:t>mg/m</w:t>
      </w:r>
      <w:r>
        <w:rPr>
          <w:rFonts w:hint="default" w:ascii="Times New Roman" w:hAnsi="Times New Roman" w:cs="Times New Roman"/>
          <w:color w:val="auto"/>
          <w:sz w:val="24"/>
          <w:szCs w:val="22"/>
          <w:highlight w:val="none"/>
          <w:vertAlign w:val="superscript"/>
          <w:lang w:val="en-US" w:eastAsia="zh-CN"/>
        </w:rPr>
        <w:t>3</w:t>
      </w:r>
      <w:r>
        <w:rPr>
          <w:rFonts w:hint="default" w:ascii="Times New Roman" w:hAnsi="Times New Roman" w:cs="Times New Roman"/>
          <w:color w:val="auto"/>
          <w:sz w:val="24"/>
          <w:szCs w:val="22"/>
          <w:highlight w:val="none"/>
        </w:rPr>
        <w:t>，最大占标率</w:t>
      </w:r>
      <w:r>
        <w:rPr>
          <w:rFonts w:hint="eastAsia" w:cs="Times New Roman"/>
          <w:color w:val="auto"/>
          <w:sz w:val="24"/>
          <w:szCs w:val="22"/>
          <w:highlight w:val="none"/>
          <w:lang w:val="en-US" w:eastAsia="zh-CN"/>
        </w:rPr>
        <w:t>2.17</w:t>
      </w:r>
      <w:r>
        <w:rPr>
          <w:rFonts w:hint="default" w:ascii="Times New Roman" w:hAnsi="Times New Roman" w:cs="Times New Roman"/>
          <w:color w:val="auto"/>
          <w:sz w:val="24"/>
          <w:szCs w:val="22"/>
          <w:highlight w:val="none"/>
        </w:rPr>
        <w:t>%，出现于</w:t>
      </w:r>
      <w:r>
        <w:rPr>
          <w:rFonts w:hint="eastAsia" w:cs="Times New Roman"/>
          <w:color w:val="auto"/>
          <w:sz w:val="24"/>
          <w:szCs w:val="22"/>
          <w:highlight w:val="none"/>
          <w:lang w:val="en-US" w:eastAsia="zh-CN"/>
        </w:rPr>
        <w:t>650</w:t>
      </w:r>
      <w:r>
        <w:rPr>
          <w:rFonts w:hint="default" w:ascii="Times New Roman" w:hAnsi="Times New Roman" w:cs="Times New Roman"/>
          <w:color w:val="auto"/>
          <w:sz w:val="24"/>
          <w:szCs w:val="22"/>
          <w:highlight w:val="none"/>
        </w:rPr>
        <w:t>m处</w:t>
      </w:r>
      <w:r>
        <w:rPr>
          <w:rFonts w:hint="default" w:ascii="Times New Roman" w:hAnsi="Times New Roman" w:cs="Times New Roman"/>
          <w:color w:val="auto"/>
          <w:sz w:val="24"/>
          <w:szCs w:val="22"/>
          <w:highlight w:val="none"/>
          <w:lang w:eastAsia="zh-CN"/>
        </w:rPr>
        <w:t>；</w:t>
      </w:r>
      <w:r>
        <w:rPr>
          <w:rFonts w:hint="default" w:ascii="Times New Roman" w:hAnsi="Times New Roman" w:cs="Times New Roman"/>
          <w:color w:val="auto"/>
          <w:sz w:val="24"/>
          <w:szCs w:val="22"/>
          <w:highlight w:val="none"/>
          <w:lang w:val="en-US" w:eastAsia="zh-CN"/>
        </w:rPr>
        <w:t>堆粪场</w:t>
      </w:r>
      <w:r>
        <w:rPr>
          <w:rFonts w:hint="default" w:ascii="Times New Roman" w:hAnsi="Times New Roman" w:cs="Times New Roman"/>
          <w:color w:val="auto"/>
          <w:sz w:val="24"/>
          <w:szCs w:val="22"/>
          <w:highlight w:val="none"/>
        </w:rPr>
        <w:t>NH</w:t>
      </w:r>
      <w:r>
        <w:rPr>
          <w:rFonts w:hint="default" w:ascii="Times New Roman" w:hAnsi="Times New Roman" w:cs="Times New Roman"/>
          <w:color w:val="auto"/>
          <w:sz w:val="24"/>
          <w:szCs w:val="22"/>
          <w:highlight w:val="none"/>
          <w:vertAlign w:val="subscript"/>
        </w:rPr>
        <w:t>3</w:t>
      </w:r>
      <w:r>
        <w:rPr>
          <w:rFonts w:hint="default" w:ascii="Times New Roman" w:hAnsi="Times New Roman" w:cs="Times New Roman"/>
          <w:color w:val="auto"/>
          <w:sz w:val="24"/>
          <w:szCs w:val="22"/>
          <w:highlight w:val="none"/>
        </w:rPr>
        <w:t>最大落地浓度为</w:t>
      </w:r>
      <w:r>
        <w:rPr>
          <w:rFonts w:hint="eastAsia" w:cs="Times New Roman"/>
          <w:color w:val="auto"/>
          <w:sz w:val="24"/>
          <w:szCs w:val="22"/>
          <w:highlight w:val="none"/>
          <w:lang w:val="en-US" w:eastAsia="zh-CN"/>
        </w:rPr>
        <w:t>0.000168</w:t>
      </w:r>
      <w:r>
        <w:rPr>
          <w:rFonts w:hint="default" w:ascii="Times New Roman" w:hAnsi="Times New Roman" w:cs="Times New Roman"/>
          <w:color w:val="auto"/>
          <w:sz w:val="24"/>
          <w:szCs w:val="22"/>
          <w:highlight w:val="none"/>
        </w:rPr>
        <w:t>mg/m</w:t>
      </w:r>
      <w:r>
        <w:rPr>
          <w:rFonts w:hint="default" w:ascii="Times New Roman" w:hAnsi="Times New Roman" w:cs="Times New Roman"/>
          <w:color w:val="auto"/>
          <w:sz w:val="24"/>
          <w:szCs w:val="22"/>
          <w:highlight w:val="none"/>
          <w:vertAlign w:val="superscript"/>
          <w:lang w:val="en-US" w:eastAsia="zh-CN"/>
        </w:rPr>
        <w:t>3</w:t>
      </w:r>
      <w:r>
        <w:rPr>
          <w:rFonts w:hint="default" w:ascii="Times New Roman" w:hAnsi="Times New Roman" w:cs="Times New Roman"/>
          <w:color w:val="auto"/>
          <w:sz w:val="24"/>
          <w:szCs w:val="22"/>
          <w:highlight w:val="none"/>
        </w:rPr>
        <w:t>，最大占标率0.</w:t>
      </w:r>
      <w:r>
        <w:rPr>
          <w:rFonts w:hint="eastAsia" w:cs="Times New Roman"/>
          <w:color w:val="auto"/>
          <w:sz w:val="24"/>
          <w:szCs w:val="22"/>
          <w:highlight w:val="none"/>
          <w:lang w:val="en-US" w:eastAsia="zh-CN"/>
        </w:rPr>
        <w:t>08</w:t>
      </w:r>
      <w:r>
        <w:rPr>
          <w:rFonts w:hint="default" w:ascii="Times New Roman" w:hAnsi="Times New Roman" w:cs="Times New Roman"/>
          <w:color w:val="auto"/>
          <w:sz w:val="24"/>
          <w:szCs w:val="22"/>
          <w:highlight w:val="none"/>
        </w:rPr>
        <w:t>%，出现于</w:t>
      </w:r>
      <w:r>
        <w:rPr>
          <w:rFonts w:hint="default" w:ascii="Times New Roman" w:hAnsi="Times New Roman" w:cs="Times New Roman"/>
          <w:color w:val="auto"/>
          <w:sz w:val="24"/>
          <w:szCs w:val="22"/>
          <w:highlight w:val="none"/>
          <w:lang w:val="en-US" w:eastAsia="zh-CN"/>
        </w:rPr>
        <w:t>40</w:t>
      </w:r>
      <w:r>
        <w:rPr>
          <w:rFonts w:hint="default" w:ascii="Times New Roman" w:hAnsi="Times New Roman" w:cs="Times New Roman"/>
          <w:color w:val="auto"/>
          <w:sz w:val="24"/>
          <w:szCs w:val="22"/>
          <w:highlight w:val="none"/>
        </w:rPr>
        <w:t>m处，H</w:t>
      </w:r>
      <w:r>
        <w:rPr>
          <w:rFonts w:hint="default" w:ascii="Times New Roman" w:hAnsi="Times New Roman" w:cs="Times New Roman"/>
          <w:color w:val="auto"/>
          <w:sz w:val="24"/>
          <w:szCs w:val="22"/>
          <w:highlight w:val="none"/>
          <w:vertAlign w:val="subscript"/>
        </w:rPr>
        <w:t>2</w:t>
      </w:r>
      <w:r>
        <w:rPr>
          <w:rFonts w:hint="default" w:ascii="Times New Roman" w:hAnsi="Times New Roman" w:cs="Times New Roman"/>
          <w:color w:val="auto"/>
          <w:sz w:val="24"/>
          <w:szCs w:val="22"/>
          <w:highlight w:val="none"/>
        </w:rPr>
        <w:t>S最大落地浓度为</w:t>
      </w:r>
      <w:r>
        <w:rPr>
          <w:rFonts w:hint="eastAsia" w:cs="Times New Roman"/>
          <w:color w:val="auto"/>
          <w:sz w:val="24"/>
          <w:szCs w:val="22"/>
          <w:highlight w:val="none"/>
          <w:lang w:val="en-US" w:eastAsia="zh-CN"/>
        </w:rPr>
        <w:t>0.000013</w:t>
      </w:r>
      <w:r>
        <w:rPr>
          <w:rFonts w:hint="default" w:ascii="Times New Roman" w:hAnsi="Times New Roman" w:cs="Times New Roman"/>
          <w:color w:val="auto"/>
          <w:sz w:val="24"/>
          <w:szCs w:val="22"/>
          <w:highlight w:val="none"/>
        </w:rPr>
        <w:t>mg/m</w:t>
      </w:r>
      <w:r>
        <w:rPr>
          <w:rFonts w:hint="default" w:ascii="Times New Roman" w:hAnsi="Times New Roman" w:cs="Times New Roman"/>
          <w:color w:val="auto"/>
          <w:sz w:val="24"/>
          <w:szCs w:val="22"/>
          <w:highlight w:val="none"/>
          <w:vertAlign w:val="superscript"/>
          <w:lang w:val="en-US" w:eastAsia="zh-CN"/>
        </w:rPr>
        <w:t>3</w:t>
      </w:r>
      <w:r>
        <w:rPr>
          <w:rFonts w:hint="default" w:ascii="Times New Roman" w:hAnsi="Times New Roman" w:cs="Times New Roman"/>
          <w:color w:val="auto"/>
          <w:sz w:val="24"/>
          <w:szCs w:val="22"/>
          <w:highlight w:val="none"/>
        </w:rPr>
        <w:t>，最大占标率</w:t>
      </w:r>
      <w:r>
        <w:rPr>
          <w:rFonts w:hint="eastAsia" w:cs="Times New Roman"/>
          <w:color w:val="auto"/>
          <w:sz w:val="24"/>
          <w:szCs w:val="22"/>
          <w:highlight w:val="none"/>
          <w:lang w:val="en-US" w:eastAsia="zh-CN"/>
        </w:rPr>
        <w:t>0.13</w:t>
      </w:r>
      <w:r>
        <w:rPr>
          <w:rFonts w:hint="default" w:ascii="Times New Roman" w:hAnsi="Times New Roman" w:cs="Times New Roman"/>
          <w:color w:val="auto"/>
          <w:sz w:val="24"/>
          <w:szCs w:val="22"/>
          <w:highlight w:val="none"/>
        </w:rPr>
        <w:t>%，出现于</w:t>
      </w:r>
      <w:r>
        <w:rPr>
          <w:rFonts w:hint="default" w:ascii="Times New Roman" w:hAnsi="Times New Roman" w:cs="Times New Roman"/>
          <w:color w:val="auto"/>
          <w:sz w:val="24"/>
          <w:szCs w:val="22"/>
          <w:highlight w:val="none"/>
          <w:lang w:val="en-US" w:eastAsia="zh-CN"/>
        </w:rPr>
        <w:t>40</w:t>
      </w:r>
      <w:r>
        <w:rPr>
          <w:rFonts w:hint="default" w:ascii="Times New Roman" w:hAnsi="Times New Roman" w:cs="Times New Roman"/>
          <w:color w:val="auto"/>
          <w:sz w:val="24"/>
          <w:szCs w:val="22"/>
          <w:highlight w:val="none"/>
        </w:rPr>
        <w:t>m处</w:t>
      </w:r>
      <w:r>
        <w:rPr>
          <w:rFonts w:hint="default" w:ascii="Times New Roman" w:hAnsi="Times New Roman" w:cs="Times New Roman"/>
          <w:color w:val="auto"/>
          <w:sz w:val="24"/>
          <w:szCs w:val="22"/>
          <w:highlight w:val="none"/>
          <w:lang w:eastAsia="zh-CN"/>
        </w:rPr>
        <w:t>；</w:t>
      </w:r>
      <w:r>
        <w:rPr>
          <w:rFonts w:hint="default" w:ascii="Times New Roman" w:hAnsi="Times New Roman" w:cs="Times New Roman"/>
          <w:color w:val="auto"/>
          <w:sz w:val="24"/>
          <w:szCs w:val="22"/>
          <w:highlight w:val="none"/>
          <w:lang w:val="en-US" w:eastAsia="zh-CN"/>
        </w:rPr>
        <w:t>饲料加工间TSP最大落地浓度</w:t>
      </w:r>
      <w:r>
        <w:rPr>
          <w:rFonts w:hint="eastAsia" w:cs="Times New Roman"/>
          <w:color w:val="auto"/>
          <w:sz w:val="24"/>
          <w:szCs w:val="22"/>
          <w:highlight w:val="none"/>
          <w:lang w:val="en-US" w:eastAsia="zh-CN"/>
        </w:rPr>
        <w:t>0.012019</w:t>
      </w:r>
      <w:r>
        <w:rPr>
          <w:rFonts w:hint="default" w:ascii="Times New Roman" w:hAnsi="Times New Roman" w:cs="Times New Roman"/>
          <w:color w:val="auto"/>
          <w:sz w:val="24"/>
          <w:szCs w:val="22"/>
          <w:highlight w:val="none"/>
        </w:rPr>
        <w:t>mg/m</w:t>
      </w:r>
      <w:r>
        <w:rPr>
          <w:rFonts w:hint="default" w:ascii="Times New Roman" w:hAnsi="Times New Roman" w:cs="Times New Roman"/>
          <w:color w:val="auto"/>
          <w:sz w:val="24"/>
          <w:szCs w:val="22"/>
          <w:highlight w:val="none"/>
          <w:vertAlign w:val="superscript"/>
          <w:lang w:val="en-US" w:eastAsia="zh-CN"/>
        </w:rPr>
        <w:t>3</w:t>
      </w:r>
      <w:r>
        <w:rPr>
          <w:rFonts w:hint="default" w:ascii="Times New Roman" w:hAnsi="Times New Roman" w:cs="Times New Roman"/>
          <w:color w:val="auto"/>
          <w:sz w:val="24"/>
          <w:szCs w:val="22"/>
          <w:highlight w:val="none"/>
          <w:vertAlign w:val="baseline"/>
          <w:lang w:val="en-US" w:eastAsia="zh-CN"/>
        </w:rPr>
        <w:t>，最大占标率</w:t>
      </w:r>
      <w:r>
        <w:rPr>
          <w:rFonts w:hint="eastAsia" w:cs="Times New Roman"/>
          <w:color w:val="auto"/>
          <w:sz w:val="24"/>
          <w:szCs w:val="22"/>
          <w:highlight w:val="none"/>
          <w:vertAlign w:val="baseline"/>
          <w:lang w:val="en-US" w:eastAsia="zh-CN"/>
        </w:rPr>
        <w:t>1.34</w:t>
      </w:r>
      <w:r>
        <w:rPr>
          <w:rFonts w:hint="default" w:ascii="Times New Roman" w:hAnsi="Times New Roman" w:cs="Times New Roman"/>
          <w:color w:val="auto"/>
          <w:sz w:val="24"/>
          <w:szCs w:val="22"/>
          <w:highlight w:val="none"/>
          <w:vertAlign w:val="baseline"/>
          <w:lang w:val="en-US" w:eastAsia="zh-CN"/>
        </w:rPr>
        <w:t>%，出现在21m处。</w:t>
      </w:r>
      <w:r>
        <w:rPr>
          <w:rFonts w:hint="default" w:ascii="Times New Roman" w:hAnsi="Times New Roman" w:cs="Times New Roman"/>
          <w:color w:val="auto"/>
          <w:highlight w:val="none"/>
        </w:rPr>
        <w:t>因此，本项目产生的NH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w:t>
      </w:r>
      <w:r>
        <w:rPr>
          <w:rFonts w:hint="default" w:ascii="Times New Roman" w:hAnsi="Times New Roman" w:cs="Times New Roman"/>
          <w:color w:val="auto"/>
          <w:highlight w:val="none"/>
          <w:lang w:val="en-US" w:eastAsia="zh-CN"/>
        </w:rPr>
        <w:t>、PM</w:t>
      </w:r>
      <w:r>
        <w:rPr>
          <w:rFonts w:hint="default" w:ascii="Times New Roman" w:hAnsi="Times New Roman" w:cs="Times New Roman"/>
          <w:color w:val="auto"/>
          <w:highlight w:val="none"/>
          <w:vertAlign w:val="subscript"/>
          <w:lang w:val="en-US" w:eastAsia="zh-CN"/>
        </w:rPr>
        <w:t>10、</w:t>
      </w:r>
      <w:r>
        <w:rPr>
          <w:rFonts w:hint="default" w:ascii="Times New Roman" w:hAnsi="Times New Roman" w:cs="Times New Roman"/>
          <w:color w:val="auto"/>
          <w:sz w:val="24"/>
          <w:szCs w:val="22"/>
          <w:highlight w:val="none"/>
          <w:lang w:val="en-US" w:eastAsia="zh-CN"/>
        </w:rPr>
        <w:t>TSP</w:t>
      </w:r>
      <w:r>
        <w:rPr>
          <w:rFonts w:hint="default" w:ascii="Times New Roman" w:hAnsi="Times New Roman" w:cs="Times New Roman"/>
          <w:color w:val="auto"/>
          <w:highlight w:val="none"/>
          <w:lang w:val="en-US" w:eastAsia="zh-CN"/>
        </w:rPr>
        <w:t>最大落地浓度均满足</w:t>
      </w:r>
      <w:r>
        <w:rPr>
          <w:rFonts w:hint="default" w:ascii="Times New Roman" w:hAnsi="Times New Roman" w:cs="Times New Roman"/>
          <w:color w:val="auto"/>
          <w:highlight w:val="none"/>
        </w:rPr>
        <w:t>《环境影响评价技术导则 大气环境》（HJ2.2-2018）中附录D中1h平均浓度限值及《环境空气质量标准》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GB3095-2012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中浓度限值要求。判定本项目大气评价等级为二级，二级评价项目不进行进一步预测与评价，只对污染物排放量进行核算。本项目NH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w:t>
      </w:r>
      <w:r>
        <w:rPr>
          <w:rFonts w:hint="default" w:ascii="Times New Roman" w:hAnsi="Times New Roman" w:cs="Times New Roman"/>
          <w:color w:val="auto"/>
          <w:highlight w:val="none"/>
          <w:lang w:val="en-US" w:eastAsia="zh-CN"/>
        </w:rPr>
        <w:t>颗粒物</w:t>
      </w:r>
      <w:r>
        <w:rPr>
          <w:rFonts w:hint="default" w:ascii="Times New Roman" w:hAnsi="Times New Roman" w:cs="Times New Roman"/>
          <w:color w:val="auto"/>
          <w:highlight w:val="none"/>
        </w:rPr>
        <w:t>的最大落地浓度均未出现超标现象，</w:t>
      </w:r>
      <w:r>
        <w:rPr>
          <w:rFonts w:hint="default" w:ascii="Times New Roman" w:hAnsi="Times New Roman" w:cs="Times New Roman"/>
          <w:color w:val="auto"/>
          <w:sz w:val="24"/>
          <w:szCs w:val="22"/>
          <w:highlight w:val="none"/>
        </w:rPr>
        <w:t>预测结果表明，拟建项目排放的废气对周围大气环境质量影响不大。</w:t>
      </w:r>
    </w:p>
    <w:p>
      <w:pPr>
        <w:pStyle w:val="6"/>
        <w:pageBreakBefore w:val="0"/>
        <w:wordWrap/>
        <w:bidi w:val="0"/>
        <w:adjustRightInd w:val="0"/>
        <w:ind w:left="0" w:leftChars="0"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恶臭气体对环境影响分析</w:t>
      </w:r>
    </w:p>
    <w:p>
      <w:pPr>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恶臭的产生</w:t>
      </w:r>
    </w:p>
    <w:p>
      <w:pPr>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随着畜牧业生产集约化成都的不断提高，</w:t>
      </w:r>
      <w:r>
        <w:rPr>
          <w:rFonts w:hint="default" w:ascii="Times New Roman" w:hAnsi="Times New Roman" w:cs="Times New Roman"/>
          <w:color w:val="auto"/>
          <w:highlight w:val="none"/>
          <w:lang w:eastAsia="zh-CN"/>
        </w:rPr>
        <w:t>养殖基地</w:t>
      </w:r>
      <w:r>
        <w:rPr>
          <w:rFonts w:hint="default" w:ascii="Times New Roman" w:hAnsi="Times New Roman" w:cs="Times New Roman"/>
          <w:color w:val="auto"/>
          <w:highlight w:val="none"/>
        </w:rPr>
        <w:t>的恶臭对大气污染已经构成社会公害，使人类生存环境下降，使禽畜生产力下降，对疫病的易感性提高或直接引起某些疾病，从而引起普遍关注。</w:t>
      </w:r>
    </w:p>
    <w:p>
      <w:pPr>
        <w:pageBreakBefore w:val="0"/>
        <w:wordWrap/>
        <w:bidi w:val="0"/>
        <w:adjustRightInd w:val="0"/>
        <w:ind w:left="0" w:leftChars="0" w:right="0" w:rightChars="0"/>
        <w:rPr>
          <w:rFonts w:hint="default" w:ascii="Times New Roman" w:hAnsi="Times New Roman" w:cs="Times New Roman"/>
          <w:color w:val="auto"/>
          <w:highlight w:val="none"/>
        </w:rPr>
      </w:pPr>
      <w:r>
        <w:rPr>
          <w:rFonts w:hint="eastAsia" w:cs="Times New Roman"/>
          <w:color w:val="auto"/>
          <w:highlight w:val="none"/>
          <w:lang w:val="en-US" w:eastAsia="zh-CN"/>
        </w:rPr>
        <w:t>本项目</w:t>
      </w:r>
      <w:r>
        <w:rPr>
          <w:rFonts w:hint="default" w:ascii="Times New Roman" w:hAnsi="Times New Roman" w:cs="Times New Roman"/>
          <w:color w:val="auto"/>
          <w:highlight w:val="none"/>
        </w:rPr>
        <w:t>恶臭主要来自</w:t>
      </w:r>
      <w:r>
        <w:rPr>
          <w:rFonts w:hint="default" w:ascii="Times New Roman" w:hAnsi="Times New Roman" w:cs="Times New Roman"/>
          <w:color w:val="auto"/>
          <w:highlight w:val="none"/>
          <w:lang w:val="en-US" w:eastAsia="zh-CN"/>
        </w:rPr>
        <w:t>粪污</w:t>
      </w:r>
      <w:r>
        <w:rPr>
          <w:rFonts w:hint="default" w:ascii="Times New Roman" w:hAnsi="Times New Roman" w:cs="Times New Roman"/>
          <w:color w:val="auto"/>
          <w:highlight w:val="none"/>
        </w:rPr>
        <w:t>等。影响因素主要是清粪方式、管理水平、粪便和污水的无害化程度。同时，也与场址规划、布局、圈舍设计、通风等有关。</w:t>
      </w:r>
    </w:p>
    <w:p>
      <w:pPr>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恶臭是由许多单一的恶臭物质复合作用生成的。其中对环境危害最大的恶臭物质为氨气、硫化氢。</w:t>
      </w:r>
    </w:p>
    <w:p>
      <w:pPr>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氨气无色气体。有强烈的刺激气味。轻于空气。易被液化成无色的液体。对动物或人体的上呼吸道有刺激和腐蚀作用，使组织蛋白变性，使脂肪皂化，破坏细胞膜结构减弱人体对疾病的抵抗力；短期接触氨后可能会出现皮肤色素沉积或手指溃疡等症状；长期内吸入大量氨气后可出现流泪、咽痛、声音嘶哑、咳嗽、痰带血丝、胸闷、呼吸困难，并伴有头晕、头痛、恶心、呕吐、乏力等症状，严重者可发生肺水肿、成人呼吸窘迫综合症，同时可能发生呼吸道刺激症状。</w:t>
      </w:r>
    </w:p>
    <w:p>
      <w:pPr>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硫化氢是一种无机化合物，正常情况下是一种无色、易燃的酸性气体，浓度低时带恶臭，气味如臭蛋；短期内吸入高浓度的硫化氢后出现流泪、眼痛、眼内异物感、畏光、视觉模糊、流涕、咽喉部灼烧感、咳嗽、胸闷、头痛、头晕、乏力、意识模糊等。重者可出现脑水肿、肺水肿，极高浓度（1000mg/m³以上）时可在数秒内突然昏迷，发生闪电型死亡。高浓度接触眼结膜发生水肿和角膜溃疡。长期低浓度接触，可引起神经衰弱综合症和植物神经功能紊乱。</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在单项恶臭气体对人体的影响方面，当大气中硫化氢气体浓度达到0.07ppm，会影响人眼睛对光的反应；当大气中氨气浓度高于17ppm时，人在此环境中暴露7～8小时，则尿中的NH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量增加，同时氧的消耗降低，呼吸频率下降；当在高浓度三甲胺气体暴露下，会刺激眼睛、催泪并患结膜炎等。表5.2-</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列出了感觉到主要恶臭物质的浓度阀值。</w:t>
      </w:r>
    </w:p>
    <w:p>
      <w:pPr>
        <w:pStyle w:val="50"/>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表5.2-</w:t>
      </w:r>
      <w:r>
        <w:rPr>
          <w:rFonts w:hint="default" w:ascii="Times New Roman" w:hAnsi="Times New Roman" w:cs="Times New Roman"/>
          <w:color w:val="auto"/>
          <w:sz w:val="21"/>
          <w:szCs w:val="21"/>
          <w:highlight w:val="none"/>
          <w:lang w:val="en-US" w:eastAsia="zh-CN"/>
        </w:rPr>
        <w:t>7</w:t>
      </w:r>
      <w:r>
        <w:rPr>
          <w:rFonts w:hint="default" w:ascii="Times New Roman" w:hAnsi="Times New Roman" w:cs="Times New Roman"/>
          <w:color w:val="auto"/>
          <w:sz w:val="21"/>
          <w:szCs w:val="21"/>
          <w:highlight w:val="none"/>
        </w:rPr>
        <w:t xml:space="preserve">   主要恶臭物质的阀值浓度</w:t>
      </w:r>
    </w:p>
    <w:tbl>
      <w:tblPr>
        <w:tblStyle w:val="39"/>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947"/>
        <w:gridCol w:w="2896"/>
        <w:gridCol w:w="289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47" w:type="dxa"/>
            <w:tcBorders>
              <w:tl2br w:val="nil"/>
              <w:tr2bl w:val="nil"/>
            </w:tcBorders>
            <w:noWrap w:val="0"/>
            <w:vAlign w:val="center"/>
          </w:tcPr>
          <w:p>
            <w:pPr>
              <w:pStyle w:val="12"/>
              <w:pageBreakBefore w:val="0"/>
              <w:wordWrap/>
              <w:bidi w:val="0"/>
              <w:adjustRightInd w:val="0"/>
              <w:spacing w:line="240" w:lineRule="auto"/>
              <w:ind w:left="0" w:leftChars="0" w:right="0" w:rightChars="0" w:firstLine="422"/>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物  质</w:t>
            </w:r>
          </w:p>
        </w:tc>
        <w:tc>
          <w:tcPr>
            <w:tcW w:w="2896" w:type="dxa"/>
            <w:tcBorders>
              <w:tl2br w:val="nil"/>
              <w:tr2bl w:val="nil"/>
            </w:tcBorders>
            <w:noWrap w:val="0"/>
            <w:vAlign w:val="center"/>
          </w:tcPr>
          <w:p>
            <w:pPr>
              <w:pStyle w:val="12"/>
              <w:pageBreakBefore w:val="0"/>
              <w:wordWrap/>
              <w:bidi w:val="0"/>
              <w:adjustRightInd w:val="0"/>
              <w:spacing w:line="240" w:lineRule="auto"/>
              <w:ind w:left="0" w:leftChars="0" w:right="0" w:rightChars="0" w:firstLine="422"/>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嗅阀值（ppm）</w:t>
            </w:r>
          </w:p>
        </w:tc>
        <w:tc>
          <w:tcPr>
            <w:tcW w:w="2896" w:type="dxa"/>
            <w:tcBorders>
              <w:tl2br w:val="nil"/>
              <w:tr2bl w:val="nil"/>
            </w:tcBorders>
            <w:noWrap w:val="0"/>
            <w:vAlign w:val="center"/>
          </w:tcPr>
          <w:p>
            <w:pPr>
              <w:pStyle w:val="12"/>
              <w:pageBreakBefore w:val="0"/>
              <w:wordWrap/>
              <w:bidi w:val="0"/>
              <w:adjustRightInd w:val="0"/>
              <w:spacing w:line="240" w:lineRule="auto"/>
              <w:ind w:left="0" w:leftChars="0" w:right="0" w:rightChars="0" w:firstLine="422"/>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嗅阀值（mg/m</w:t>
            </w:r>
            <w:r>
              <w:rPr>
                <w:rFonts w:hint="default" w:ascii="Times New Roman" w:hAnsi="Times New Roman" w:cs="Times New Roman"/>
                <w:b/>
                <w:color w:val="auto"/>
                <w:sz w:val="21"/>
                <w:szCs w:val="21"/>
                <w:highlight w:val="none"/>
                <w:vertAlign w:val="superscript"/>
              </w:rPr>
              <w:t>3</w:t>
            </w:r>
            <w:r>
              <w:rPr>
                <w:rFonts w:hint="default" w:ascii="Times New Roman" w:hAnsi="Times New Roman" w:cs="Times New Roman"/>
                <w:b/>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47" w:type="dxa"/>
            <w:tcBorders>
              <w:tl2br w:val="nil"/>
              <w:tr2bl w:val="nil"/>
            </w:tcBorders>
            <w:noWrap w:val="0"/>
            <w:vAlign w:val="center"/>
          </w:tcPr>
          <w:p>
            <w:pPr>
              <w:pStyle w:val="12"/>
              <w:pageBreakBefore w:val="0"/>
              <w:wordWrap/>
              <w:bidi w:val="0"/>
              <w:adjustRightInd w:val="0"/>
              <w:spacing w:line="240" w:lineRule="auto"/>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氨</w:t>
            </w:r>
          </w:p>
        </w:tc>
        <w:tc>
          <w:tcPr>
            <w:tcW w:w="2896" w:type="dxa"/>
            <w:tcBorders>
              <w:tl2br w:val="nil"/>
              <w:tr2bl w:val="nil"/>
            </w:tcBorders>
            <w:noWrap w:val="0"/>
            <w:vAlign w:val="center"/>
          </w:tcPr>
          <w:p>
            <w:pPr>
              <w:pStyle w:val="12"/>
              <w:pageBreakBefore w:val="0"/>
              <w:wordWrap/>
              <w:bidi w:val="0"/>
              <w:adjustRightInd w:val="0"/>
              <w:spacing w:line="240" w:lineRule="auto"/>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w:t>
            </w:r>
          </w:p>
        </w:tc>
        <w:tc>
          <w:tcPr>
            <w:tcW w:w="2896" w:type="dxa"/>
            <w:tcBorders>
              <w:tl2br w:val="nil"/>
              <w:tr2bl w:val="nil"/>
            </w:tcBorders>
            <w:noWrap w:val="0"/>
            <w:vAlign w:val="center"/>
          </w:tcPr>
          <w:p>
            <w:pPr>
              <w:pStyle w:val="12"/>
              <w:pageBreakBefore w:val="0"/>
              <w:wordWrap/>
              <w:bidi w:val="0"/>
              <w:adjustRightInd w:val="0"/>
              <w:spacing w:line="240" w:lineRule="auto"/>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47" w:type="dxa"/>
            <w:tcBorders>
              <w:tl2br w:val="nil"/>
              <w:tr2bl w:val="nil"/>
            </w:tcBorders>
            <w:noWrap w:val="0"/>
            <w:vAlign w:val="center"/>
          </w:tcPr>
          <w:p>
            <w:pPr>
              <w:pStyle w:val="12"/>
              <w:pageBreakBefore w:val="0"/>
              <w:wordWrap/>
              <w:bidi w:val="0"/>
              <w:adjustRightInd w:val="0"/>
              <w:spacing w:line="240" w:lineRule="auto"/>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硫化氢</w:t>
            </w:r>
          </w:p>
        </w:tc>
        <w:tc>
          <w:tcPr>
            <w:tcW w:w="2896" w:type="dxa"/>
            <w:tcBorders>
              <w:tl2br w:val="nil"/>
              <w:tr2bl w:val="nil"/>
            </w:tcBorders>
            <w:noWrap w:val="0"/>
            <w:vAlign w:val="center"/>
          </w:tcPr>
          <w:p>
            <w:pPr>
              <w:pStyle w:val="12"/>
              <w:pageBreakBefore w:val="0"/>
              <w:wordWrap/>
              <w:bidi w:val="0"/>
              <w:adjustRightInd w:val="0"/>
              <w:spacing w:line="240" w:lineRule="auto"/>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0.0005</w:t>
            </w:r>
          </w:p>
        </w:tc>
        <w:tc>
          <w:tcPr>
            <w:tcW w:w="2896" w:type="dxa"/>
            <w:tcBorders>
              <w:tl2br w:val="nil"/>
              <w:tr2bl w:val="nil"/>
            </w:tcBorders>
            <w:noWrap w:val="0"/>
            <w:vAlign w:val="center"/>
          </w:tcPr>
          <w:p>
            <w:pPr>
              <w:pStyle w:val="12"/>
              <w:pageBreakBefore w:val="0"/>
              <w:wordWrap/>
              <w:bidi w:val="0"/>
              <w:adjustRightInd w:val="0"/>
              <w:spacing w:line="240" w:lineRule="auto"/>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0.00076</w:t>
            </w:r>
          </w:p>
        </w:tc>
      </w:tr>
    </w:tbl>
    <w:p>
      <w:pPr>
        <w:keepNext w:val="0"/>
        <w:keepLines w:val="0"/>
        <w:pageBreakBefore w:val="0"/>
        <w:widowControl w:val="0"/>
        <w:kinsoku/>
        <w:wordWrap/>
        <w:overflowPunct/>
        <w:topLinePunct w:val="0"/>
        <w:autoSpaceDE/>
        <w:autoSpaceDN/>
        <w:bidi w:val="0"/>
        <w:adjustRightInd w:val="0"/>
        <w:snapToGrid w:val="0"/>
        <w:spacing w:before="157" w:beforeLines="50"/>
        <w:ind w:left="0" w:leftChars="0" w:right="0" w:rightChars="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上述恶臭污染物质的臭味特征见表5.2-</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w:t>
      </w:r>
    </w:p>
    <w:p>
      <w:pPr>
        <w:pStyle w:val="50"/>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表5.2-</w:t>
      </w:r>
      <w:r>
        <w:rPr>
          <w:rFonts w:hint="default" w:ascii="Times New Roman" w:hAnsi="Times New Roman" w:cs="Times New Roman"/>
          <w:color w:val="auto"/>
          <w:sz w:val="21"/>
          <w:szCs w:val="21"/>
          <w:highlight w:val="none"/>
          <w:lang w:val="en-US" w:eastAsia="zh-CN"/>
        </w:rPr>
        <w:t>8</w:t>
      </w:r>
      <w:r>
        <w:rPr>
          <w:rFonts w:hint="default" w:ascii="Times New Roman" w:hAnsi="Times New Roman" w:cs="Times New Roman"/>
          <w:color w:val="auto"/>
          <w:sz w:val="21"/>
          <w:szCs w:val="21"/>
          <w:highlight w:val="none"/>
        </w:rPr>
        <w:t xml:space="preserve">   主要恶臭物质的臭味特征</w:t>
      </w:r>
    </w:p>
    <w:tbl>
      <w:tblPr>
        <w:tblStyle w:val="39"/>
        <w:tblW w:w="8809"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509"/>
        <w:gridCol w:w="430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6" w:hRule="atLeast"/>
          <w:jc w:val="center"/>
        </w:trPr>
        <w:tc>
          <w:tcPr>
            <w:tcW w:w="4509" w:type="dxa"/>
            <w:tcBorders>
              <w:tl2br w:val="nil"/>
              <w:tr2bl w:val="nil"/>
            </w:tcBorders>
            <w:noWrap w:val="0"/>
            <w:vAlign w:val="center"/>
          </w:tcPr>
          <w:p>
            <w:pPr>
              <w:pStyle w:val="12"/>
              <w:pageBreakBefore w:val="0"/>
              <w:wordWrap/>
              <w:bidi w:val="0"/>
              <w:adjustRightInd w:val="0"/>
              <w:spacing w:line="240" w:lineRule="auto"/>
              <w:ind w:left="0" w:leftChars="0" w:right="0" w:rightChars="0" w:firstLine="422"/>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物   质</w:t>
            </w:r>
          </w:p>
        </w:tc>
        <w:tc>
          <w:tcPr>
            <w:tcW w:w="4300" w:type="dxa"/>
            <w:tcBorders>
              <w:tl2br w:val="nil"/>
              <w:tr2bl w:val="nil"/>
            </w:tcBorders>
            <w:noWrap w:val="0"/>
            <w:vAlign w:val="center"/>
          </w:tcPr>
          <w:p>
            <w:pPr>
              <w:pStyle w:val="12"/>
              <w:pageBreakBefore w:val="0"/>
              <w:wordWrap/>
              <w:bidi w:val="0"/>
              <w:adjustRightInd w:val="0"/>
              <w:spacing w:line="240" w:lineRule="auto"/>
              <w:ind w:left="0" w:leftChars="0" w:right="0" w:rightChars="0" w:firstLine="422"/>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臭   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4509" w:type="dxa"/>
            <w:tcBorders>
              <w:tl2br w:val="nil"/>
              <w:tr2bl w:val="nil"/>
            </w:tcBorders>
            <w:noWrap w:val="0"/>
            <w:vAlign w:val="center"/>
          </w:tcPr>
          <w:p>
            <w:pPr>
              <w:pStyle w:val="12"/>
              <w:pageBreakBefore w:val="0"/>
              <w:wordWrap/>
              <w:bidi w:val="0"/>
              <w:adjustRightInd w:val="0"/>
              <w:spacing w:line="240" w:lineRule="auto"/>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氨</w:t>
            </w:r>
          </w:p>
        </w:tc>
        <w:tc>
          <w:tcPr>
            <w:tcW w:w="4300" w:type="dxa"/>
            <w:tcBorders>
              <w:tl2br w:val="nil"/>
              <w:tr2bl w:val="nil"/>
            </w:tcBorders>
            <w:noWrap w:val="0"/>
            <w:vAlign w:val="center"/>
          </w:tcPr>
          <w:p>
            <w:pPr>
              <w:pStyle w:val="12"/>
              <w:pageBreakBefore w:val="0"/>
              <w:wordWrap/>
              <w:bidi w:val="0"/>
              <w:adjustRightInd w:val="0"/>
              <w:spacing w:line="240" w:lineRule="auto"/>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强刺激臭味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5" w:hRule="atLeast"/>
          <w:jc w:val="center"/>
        </w:trPr>
        <w:tc>
          <w:tcPr>
            <w:tcW w:w="4509" w:type="dxa"/>
            <w:tcBorders>
              <w:tl2br w:val="nil"/>
              <w:tr2bl w:val="nil"/>
            </w:tcBorders>
            <w:noWrap w:val="0"/>
            <w:vAlign w:val="center"/>
          </w:tcPr>
          <w:p>
            <w:pPr>
              <w:pStyle w:val="12"/>
              <w:pageBreakBefore w:val="0"/>
              <w:wordWrap/>
              <w:bidi w:val="0"/>
              <w:adjustRightInd w:val="0"/>
              <w:spacing w:line="240" w:lineRule="auto"/>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硫化氢</w:t>
            </w:r>
          </w:p>
        </w:tc>
        <w:tc>
          <w:tcPr>
            <w:tcW w:w="4300" w:type="dxa"/>
            <w:tcBorders>
              <w:tl2br w:val="nil"/>
              <w:tr2bl w:val="nil"/>
            </w:tcBorders>
            <w:noWrap w:val="0"/>
            <w:vAlign w:val="center"/>
          </w:tcPr>
          <w:p>
            <w:pPr>
              <w:pStyle w:val="12"/>
              <w:pageBreakBefore w:val="0"/>
              <w:wordWrap/>
              <w:bidi w:val="0"/>
              <w:adjustRightInd w:val="0"/>
              <w:spacing w:line="240" w:lineRule="auto"/>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臭鸡蛋味</w:t>
            </w:r>
          </w:p>
        </w:tc>
      </w:tr>
    </w:tbl>
    <w:p>
      <w:pPr>
        <w:keepNext w:val="0"/>
        <w:keepLines w:val="0"/>
        <w:pageBreakBefore w:val="0"/>
        <w:widowControl w:val="0"/>
        <w:kinsoku/>
        <w:wordWrap/>
        <w:overflowPunct/>
        <w:topLinePunct w:val="0"/>
        <w:autoSpaceDE/>
        <w:autoSpaceDN/>
        <w:bidi w:val="0"/>
        <w:adjustRightInd w:val="0"/>
        <w:snapToGrid w:val="0"/>
        <w:spacing w:before="157" w:beforeLines="50"/>
        <w:ind w:left="0" w:leftChars="0" w:right="0" w:rightChars="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（2）恶臭影响分析</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臭气强度是公害的尺度，通常用人的感觉来测定恶臭，表5.2-</w:t>
      </w:r>
      <w:r>
        <w:rPr>
          <w:rFonts w:hint="default" w:ascii="Times New Roman" w:hAnsi="Times New Roman" w:cs="Times New Roman"/>
          <w:color w:val="auto"/>
          <w:highlight w:val="none"/>
          <w:lang w:val="en-US" w:eastAsia="zh-CN"/>
        </w:rPr>
        <w:t>9</w:t>
      </w:r>
      <w:r>
        <w:rPr>
          <w:rFonts w:hint="default" w:ascii="Times New Roman" w:hAnsi="Times New Roman" w:cs="Times New Roman"/>
          <w:color w:val="auto"/>
          <w:highlight w:val="none"/>
        </w:rPr>
        <w:t>列出了我国的6级臭气强度表示法。表5.2-</w:t>
      </w:r>
      <w:r>
        <w:rPr>
          <w:rFonts w:hint="default" w:ascii="Times New Roman" w:hAnsi="Times New Roman" w:cs="Times New Roman"/>
          <w:color w:val="auto"/>
          <w:highlight w:val="none"/>
          <w:lang w:val="en-US" w:eastAsia="zh-CN"/>
        </w:rPr>
        <w:t>10</w:t>
      </w:r>
      <w:r>
        <w:rPr>
          <w:rFonts w:hint="default" w:ascii="Times New Roman" w:hAnsi="Times New Roman" w:cs="Times New Roman"/>
          <w:color w:val="auto"/>
          <w:highlight w:val="none"/>
        </w:rPr>
        <w:t>恶臭污染物浓度与臭气强度响应关系。</w:t>
      </w:r>
    </w:p>
    <w:p>
      <w:pPr>
        <w:pageBreakBefore w:val="0"/>
        <w:wordWrap/>
        <w:bidi w:val="0"/>
        <w:adjustRightInd w:val="0"/>
        <w:ind w:left="0" w:leftChars="0" w:right="0" w:rightChars="0" w:firstLine="480"/>
        <w:rPr>
          <w:rFonts w:hint="default"/>
          <w:color w:val="auto"/>
        </w:rPr>
      </w:pPr>
    </w:p>
    <w:p>
      <w:pPr>
        <w:pStyle w:val="50"/>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表5.2-</w:t>
      </w:r>
      <w:r>
        <w:rPr>
          <w:rFonts w:hint="default" w:ascii="Times New Roman" w:hAnsi="Times New Roman" w:cs="Times New Roman"/>
          <w:color w:val="auto"/>
          <w:sz w:val="21"/>
          <w:szCs w:val="21"/>
          <w:highlight w:val="none"/>
          <w:lang w:val="en-US" w:eastAsia="zh-CN"/>
        </w:rPr>
        <w:t xml:space="preserve">9       </w:t>
      </w:r>
      <w:r>
        <w:rPr>
          <w:rFonts w:hint="default" w:ascii="Times New Roman" w:hAnsi="Times New Roman" w:cs="Times New Roman"/>
          <w:color w:val="auto"/>
          <w:sz w:val="21"/>
          <w:szCs w:val="21"/>
          <w:highlight w:val="none"/>
        </w:rPr>
        <w:t xml:space="preserve">  6级臭气强度表示法</w:t>
      </w:r>
    </w:p>
    <w:tbl>
      <w:tblPr>
        <w:tblStyle w:val="39"/>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547"/>
        <w:gridCol w:w="624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547" w:type="dxa"/>
            <w:tcBorders>
              <w:tl2br w:val="nil"/>
              <w:tr2bl w:val="nil"/>
            </w:tcBorders>
            <w:noWrap w:val="0"/>
            <w:vAlign w:val="center"/>
          </w:tcPr>
          <w:p>
            <w:pPr>
              <w:pStyle w:val="12"/>
              <w:pageBreakBefore w:val="0"/>
              <w:wordWrap/>
              <w:bidi w:val="0"/>
              <w:adjustRightInd w:val="0"/>
              <w:spacing w:line="240" w:lineRule="auto"/>
              <w:ind w:left="0" w:leftChars="0" w:right="0" w:rightChars="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臭气强度（级）</w:t>
            </w:r>
          </w:p>
        </w:tc>
        <w:tc>
          <w:tcPr>
            <w:tcW w:w="6245" w:type="dxa"/>
            <w:tcBorders>
              <w:tl2br w:val="nil"/>
              <w:tr2bl w:val="nil"/>
            </w:tcBorders>
            <w:noWrap w:val="0"/>
            <w:vAlign w:val="center"/>
          </w:tcPr>
          <w:p>
            <w:pPr>
              <w:pStyle w:val="12"/>
              <w:pageBreakBefore w:val="0"/>
              <w:wordWrap/>
              <w:bidi w:val="0"/>
              <w:adjustRightInd w:val="0"/>
              <w:spacing w:line="240" w:lineRule="auto"/>
              <w:ind w:left="0" w:leftChars="0" w:right="0" w:rightChars="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感觉强度描述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547" w:type="dxa"/>
            <w:tcBorders>
              <w:tl2br w:val="nil"/>
              <w:tr2bl w:val="nil"/>
            </w:tcBorders>
            <w:noWrap w:val="0"/>
            <w:vAlign w:val="center"/>
          </w:tcPr>
          <w:p>
            <w:pPr>
              <w:pStyle w:val="12"/>
              <w:pageBreakBefore w:val="0"/>
              <w:wordWrap/>
              <w:bidi w:val="0"/>
              <w:adjustRightInd w:val="0"/>
              <w:spacing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6245" w:type="dxa"/>
            <w:tcBorders>
              <w:tl2br w:val="nil"/>
              <w:tr2bl w:val="nil"/>
            </w:tcBorders>
            <w:noWrap w:val="0"/>
            <w:vAlign w:val="center"/>
          </w:tcPr>
          <w:p>
            <w:pPr>
              <w:pStyle w:val="12"/>
              <w:pageBreakBefore w:val="0"/>
              <w:wordWrap/>
              <w:bidi w:val="0"/>
              <w:adjustRightInd w:val="0"/>
              <w:spacing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无臭味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547" w:type="dxa"/>
            <w:tcBorders>
              <w:tl2br w:val="nil"/>
              <w:tr2bl w:val="nil"/>
            </w:tcBorders>
            <w:noWrap w:val="0"/>
            <w:vAlign w:val="center"/>
          </w:tcPr>
          <w:p>
            <w:pPr>
              <w:pStyle w:val="12"/>
              <w:pageBreakBefore w:val="0"/>
              <w:wordWrap/>
              <w:bidi w:val="0"/>
              <w:adjustRightInd w:val="0"/>
              <w:spacing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6245" w:type="dxa"/>
            <w:tcBorders>
              <w:tl2br w:val="nil"/>
              <w:tr2bl w:val="nil"/>
            </w:tcBorders>
            <w:noWrap w:val="0"/>
            <w:vAlign w:val="center"/>
          </w:tcPr>
          <w:p>
            <w:pPr>
              <w:pStyle w:val="12"/>
              <w:pageBreakBefore w:val="0"/>
              <w:wordWrap/>
              <w:bidi w:val="0"/>
              <w:adjustRightInd w:val="0"/>
              <w:spacing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勉强可感觉到气味（感觉阈值）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547" w:type="dxa"/>
            <w:tcBorders>
              <w:tl2br w:val="nil"/>
              <w:tr2bl w:val="nil"/>
            </w:tcBorders>
            <w:noWrap w:val="0"/>
            <w:vAlign w:val="center"/>
          </w:tcPr>
          <w:p>
            <w:pPr>
              <w:pStyle w:val="12"/>
              <w:pageBreakBefore w:val="0"/>
              <w:wordWrap/>
              <w:bidi w:val="0"/>
              <w:adjustRightInd w:val="0"/>
              <w:spacing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6245" w:type="dxa"/>
            <w:tcBorders>
              <w:tl2br w:val="nil"/>
              <w:tr2bl w:val="nil"/>
            </w:tcBorders>
            <w:noWrap w:val="0"/>
            <w:vAlign w:val="center"/>
          </w:tcPr>
          <w:p>
            <w:pPr>
              <w:pStyle w:val="12"/>
              <w:pageBreakBefore w:val="0"/>
              <w:wordWrap/>
              <w:bidi w:val="0"/>
              <w:adjustRightInd w:val="0"/>
              <w:spacing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气味很弱但能分辨其性质（识别阈值）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547" w:type="dxa"/>
            <w:tcBorders>
              <w:tl2br w:val="nil"/>
              <w:tr2bl w:val="nil"/>
            </w:tcBorders>
            <w:noWrap w:val="0"/>
            <w:vAlign w:val="center"/>
          </w:tcPr>
          <w:p>
            <w:pPr>
              <w:pStyle w:val="12"/>
              <w:pageBreakBefore w:val="0"/>
              <w:wordWrap/>
              <w:bidi w:val="0"/>
              <w:adjustRightInd w:val="0"/>
              <w:spacing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6245" w:type="dxa"/>
            <w:tcBorders>
              <w:tl2br w:val="nil"/>
              <w:tr2bl w:val="nil"/>
            </w:tcBorders>
            <w:noWrap w:val="0"/>
            <w:vAlign w:val="center"/>
          </w:tcPr>
          <w:p>
            <w:pPr>
              <w:pStyle w:val="12"/>
              <w:pageBreakBefore w:val="0"/>
              <w:wordWrap/>
              <w:bidi w:val="0"/>
              <w:adjustRightInd w:val="0"/>
              <w:spacing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很容易感觉到气味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547" w:type="dxa"/>
            <w:tcBorders>
              <w:tl2br w:val="nil"/>
              <w:tr2bl w:val="nil"/>
            </w:tcBorders>
            <w:noWrap w:val="0"/>
            <w:vAlign w:val="center"/>
          </w:tcPr>
          <w:p>
            <w:pPr>
              <w:pStyle w:val="12"/>
              <w:pageBreakBefore w:val="0"/>
              <w:wordWrap/>
              <w:bidi w:val="0"/>
              <w:adjustRightInd w:val="0"/>
              <w:spacing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6245" w:type="dxa"/>
            <w:tcBorders>
              <w:tl2br w:val="nil"/>
              <w:tr2bl w:val="nil"/>
            </w:tcBorders>
            <w:noWrap w:val="0"/>
            <w:vAlign w:val="center"/>
          </w:tcPr>
          <w:p>
            <w:pPr>
              <w:pStyle w:val="12"/>
              <w:pageBreakBefore w:val="0"/>
              <w:wordWrap/>
              <w:bidi w:val="0"/>
              <w:adjustRightInd w:val="0"/>
              <w:spacing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强烈的气味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547" w:type="dxa"/>
            <w:tcBorders>
              <w:tl2br w:val="nil"/>
              <w:tr2bl w:val="nil"/>
            </w:tcBorders>
            <w:noWrap w:val="0"/>
            <w:vAlign w:val="center"/>
          </w:tcPr>
          <w:p>
            <w:pPr>
              <w:pStyle w:val="12"/>
              <w:pageBreakBefore w:val="0"/>
              <w:wordWrap/>
              <w:bidi w:val="0"/>
              <w:adjustRightInd w:val="0"/>
              <w:spacing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6245" w:type="dxa"/>
            <w:tcBorders>
              <w:tl2br w:val="nil"/>
              <w:tr2bl w:val="nil"/>
            </w:tcBorders>
            <w:noWrap w:val="0"/>
            <w:vAlign w:val="center"/>
          </w:tcPr>
          <w:p>
            <w:pPr>
              <w:pStyle w:val="12"/>
              <w:pageBreakBefore w:val="0"/>
              <w:wordWrap/>
              <w:bidi w:val="0"/>
              <w:adjustRightInd w:val="0"/>
              <w:spacing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无法忍受的极强气味</w:t>
            </w:r>
          </w:p>
        </w:tc>
      </w:tr>
    </w:tbl>
    <w:p>
      <w:pPr>
        <w:pStyle w:val="50"/>
        <w:keepNext w:val="0"/>
        <w:keepLines w:val="0"/>
        <w:pageBreakBefore w:val="0"/>
        <w:widowControl w:val="0"/>
        <w:kinsoku/>
        <w:wordWrap/>
        <w:overflowPunct/>
        <w:topLinePunct w:val="0"/>
        <w:autoSpaceDE/>
        <w:autoSpaceDN/>
        <w:bidi w:val="0"/>
        <w:adjustRightInd w:val="0"/>
        <w:snapToGrid w:val="0"/>
        <w:spacing w:before="157" w:beforeLines="50"/>
        <w:ind w:left="0" w:leftChars="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表5.2-</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rPr>
        <w:t xml:space="preserve">    恶臭污染物浓度与臭气强度响应关系</w:t>
      </w:r>
    </w:p>
    <w:tbl>
      <w:tblPr>
        <w:tblStyle w:val="3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33"/>
        <w:gridCol w:w="1196"/>
        <w:gridCol w:w="1465"/>
        <w:gridCol w:w="1465"/>
        <w:gridCol w:w="1465"/>
        <w:gridCol w:w="14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33" w:type="dxa"/>
            <w:vMerge w:val="restar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恶臭污染物名称</w:t>
            </w:r>
          </w:p>
        </w:tc>
        <w:tc>
          <w:tcPr>
            <w:tcW w:w="7061" w:type="dxa"/>
            <w:gridSpan w:val="5"/>
            <w:tcBorders>
              <w:tl2br w:val="nil"/>
              <w:tr2bl w:val="nil"/>
            </w:tcBorders>
            <w:noWrap w:val="0"/>
            <w:vAlign w:val="center"/>
          </w:tcPr>
          <w:p>
            <w:pPr>
              <w:pStyle w:val="12"/>
              <w:pageBreakBefore w:val="0"/>
              <w:wordWrap/>
              <w:bidi w:val="0"/>
              <w:adjustRightInd w:val="0"/>
              <w:spacing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恶臭强度分析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33" w:type="dxa"/>
            <w:vMerge w:val="continue"/>
            <w:tcBorders>
              <w:tl2br w:val="nil"/>
              <w:tr2bl w:val="nil"/>
            </w:tcBorders>
            <w:noWrap w:val="0"/>
            <w:vAlign w:val="center"/>
          </w:tcPr>
          <w:p>
            <w:pPr>
              <w:pStyle w:val="12"/>
              <w:pageBreakBefore w:val="0"/>
              <w:wordWrap/>
              <w:bidi w:val="0"/>
              <w:adjustRightInd w:val="0"/>
              <w:spacing w:line="240" w:lineRule="auto"/>
              <w:ind w:left="0" w:leftChars="0" w:right="0" w:rightChars="0" w:firstLine="0" w:firstLineChars="0"/>
              <w:jc w:val="center"/>
              <w:rPr>
                <w:rFonts w:hint="default" w:ascii="Times New Roman" w:hAnsi="Times New Roman" w:cs="Times New Roman"/>
                <w:color w:val="auto"/>
                <w:sz w:val="21"/>
                <w:szCs w:val="21"/>
                <w:highlight w:val="none"/>
              </w:rPr>
            </w:pPr>
          </w:p>
        </w:tc>
        <w:tc>
          <w:tcPr>
            <w:tcW w:w="1196" w:type="dxa"/>
            <w:tcBorders>
              <w:tl2br w:val="nil"/>
              <w:tr2bl w:val="nil"/>
            </w:tcBorders>
            <w:noWrap w:val="0"/>
            <w:vAlign w:val="center"/>
          </w:tcPr>
          <w:p>
            <w:pPr>
              <w:pStyle w:val="12"/>
              <w:pageBreakBefore w:val="0"/>
              <w:wordWrap/>
              <w:bidi w:val="0"/>
              <w:adjustRightInd w:val="0"/>
              <w:spacing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465" w:type="dxa"/>
            <w:tcBorders>
              <w:tl2br w:val="nil"/>
              <w:tr2bl w:val="nil"/>
            </w:tcBorders>
            <w:noWrap w:val="0"/>
            <w:vAlign w:val="center"/>
          </w:tcPr>
          <w:p>
            <w:pPr>
              <w:pStyle w:val="12"/>
              <w:pageBreakBefore w:val="0"/>
              <w:wordWrap/>
              <w:bidi w:val="0"/>
              <w:adjustRightInd w:val="0"/>
              <w:spacing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1465" w:type="dxa"/>
            <w:tcBorders>
              <w:tl2br w:val="nil"/>
              <w:tr2bl w:val="nil"/>
            </w:tcBorders>
            <w:noWrap w:val="0"/>
            <w:vAlign w:val="center"/>
          </w:tcPr>
          <w:p>
            <w:pPr>
              <w:pStyle w:val="12"/>
              <w:pageBreakBefore w:val="0"/>
              <w:wordWrap/>
              <w:bidi w:val="0"/>
              <w:adjustRightInd w:val="0"/>
              <w:spacing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1465" w:type="dxa"/>
            <w:tcBorders>
              <w:tl2br w:val="nil"/>
              <w:tr2bl w:val="nil"/>
            </w:tcBorders>
            <w:noWrap w:val="0"/>
            <w:vAlign w:val="center"/>
          </w:tcPr>
          <w:p>
            <w:pPr>
              <w:pStyle w:val="12"/>
              <w:pageBreakBefore w:val="0"/>
              <w:wordWrap/>
              <w:bidi w:val="0"/>
              <w:adjustRightInd w:val="0"/>
              <w:spacing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1470" w:type="dxa"/>
            <w:tcBorders>
              <w:tl2br w:val="nil"/>
              <w:tr2bl w:val="nil"/>
            </w:tcBorders>
            <w:noWrap w:val="0"/>
            <w:vAlign w:val="center"/>
          </w:tcPr>
          <w:p>
            <w:pPr>
              <w:pStyle w:val="12"/>
              <w:pageBreakBefore w:val="0"/>
              <w:wordWrap/>
              <w:bidi w:val="0"/>
              <w:adjustRightInd w:val="0"/>
              <w:spacing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33" w:type="dxa"/>
            <w:tcBorders>
              <w:tl2br w:val="nil"/>
              <w:tr2bl w:val="nil"/>
            </w:tcBorders>
            <w:noWrap w:val="0"/>
            <w:vAlign w:val="center"/>
          </w:tcPr>
          <w:p>
            <w:pPr>
              <w:pStyle w:val="12"/>
              <w:pageBreakBefore w:val="0"/>
              <w:wordWrap/>
              <w:bidi w:val="0"/>
              <w:adjustRightInd w:val="0"/>
              <w:spacing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（mg/m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p>
        </w:tc>
        <w:tc>
          <w:tcPr>
            <w:tcW w:w="1196" w:type="dxa"/>
            <w:tcBorders>
              <w:tl2br w:val="nil"/>
              <w:tr2bl w:val="nil"/>
            </w:tcBorders>
            <w:noWrap w:val="0"/>
            <w:vAlign w:val="center"/>
          </w:tcPr>
          <w:p>
            <w:pPr>
              <w:pStyle w:val="12"/>
              <w:pageBreakBefore w:val="0"/>
              <w:wordWrap/>
              <w:bidi w:val="0"/>
              <w:adjustRightInd w:val="0"/>
              <w:spacing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0.00076</w:t>
            </w:r>
          </w:p>
        </w:tc>
        <w:tc>
          <w:tcPr>
            <w:tcW w:w="1465" w:type="dxa"/>
            <w:tcBorders>
              <w:tl2br w:val="nil"/>
              <w:tr2bl w:val="nil"/>
            </w:tcBorders>
            <w:noWrap w:val="0"/>
            <w:vAlign w:val="center"/>
          </w:tcPr>
          <w:p>
            <w:pPr>
              <w:pStyle w:val="12"/>
              <w:pageBreakBefore w:val="0"/>
              <w:wordWrap/>
              <w:bidi w:val="0"/>
              <w:adjustRightInd w:val="0"/>
              <w:spacing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0.00912</w:t>
            </w:r>
          </w:p>
        </w:tc>
        <w:tc>
          <w:tcPr>
            <w:tcW w:w="1465" w:type="dxa"/>
            <w:tcBorders>
              <w:tl2br w:val="nil"/>
              <w:tr2bl w:val="nil"/>
            </w:tcBorders>
            <w:noWrap w:val="0"/>
            <w:vAlign w:val="center"/>
          </w:tcPr>
          <w:p>
            <w:pPr>
              <w:pStyle w:val="12"/>
              <w:pageBreakBefore w:val="0"/>
              <w:wordWrap/>
              <w:bidi w:val="0"/>
              <w:adjustRightInd w:val="0"/>
              <w:spacing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0.09127</w:t>
            </w:r>
          </w:p>
        </w:tc>
        <w:tc>
          <w:tcPr>
            <w:tcW w:w="1465" w:type="dxa"/>
            <w:tcBorders>
              <w:tl2br w:val="nil"/>
              <w:tr2bl w:val="nil"/>
            </w:tcBorders>
            <w:noWrap w:val="0"/>
            <w:vAlign w:val="center"/>
          </w:tcPr>
          <w:p>
            <w:pPr>
              <w:pStyle w:val="12"/>
              <w:pageBreakBefore w:val="0"/>
              <w:wordWrap/>
              <w:bidi w:val="0"/>
              <w:adjustRightInd w:val="0"/>
              <w:spacing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1.06487</w:t>
            </w:r>
          </w:p>
        </w:tc>
        <w:tc>
          <w:tcPr>
            <w:tcW w:w="1470" w:type="dxa"/>
            <w:tcBorders>
              <w:tl2br w:val="nil"/>
              <w:tr2bl w:val="nil"/>
            </w:tcBorders>
            <w:noWrap w:val="0"/>
            <w:vAlign w:val="center"/>
          </w:tcPr>
          <w:p>
            <w:pPr>
              <w:pStyle w:val="12"/>
              <w:pageBreakBefore w:val="0"/>
              <w:wordWrap/>
              <w:bidi w:val="0"/>
              <w:adjustRightInd w:val="0"/>
              <w:spacing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12.16993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33" w:type="dxa"/>
            <w:tcBorders>
              <w:tl2br w:val="nil"/>
              <w:tr2bl w:val="nil"/>
            </w:tcBorders>
            <w:noWrap w:val="0"/>
            <w:vAlign w:val="center"/>
          </w:tcPr>
          <w:p>
            <w:pPr>
              <w:pStyle w:val="12"/>
              <w:pageBreakBefore w:val="0"/>
              <w:wordWrap/>
              <w:bidi w:val="0"/>
              <w:adjustRightInd w:val="0"/>
              <w:spacing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S（mg/m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p>
        </w:tc>
        <w:tc>
          <w:tcPr>
            <w:tcW w:w="1196" w:type="dxa"/>
            <w:tcBorders>
              <w:tl2br w:val="nil"/>
              <w:tr2bl w:val="nil"/>
            </w:tcBorders>
            <w:noWrap w:val="0"/>
            <w:vAlign w:val="center"/>
          </w:tcPr>
          <w:p>
            <w:pPr>
              <w:pStyle w:val="12"/>
              <w:pageBreakBefore w:val="0"/>
              <w:wordWrap/>
              <w:bidi w:val="0"/>
              <w:adjustRightInd w:val="0"/>
              <w:spacing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0.076</w:t>
            </w:r>
          </w:p>
        </w:tc>
        <w:tc>
          <w:tcPr>
            <w:tcW w:w="1465" w:type="dxa"/>
            <w:tcBorders>
              <w:tl2br w:val="nil"/>
              <w:tr2bl w:val="nil"/>
            </w:tcBorders>
            <w:noWrap w:val="0"/>
            <w:vAlign w:val="center"/>
          </w:tcPr>
          <w:p>
            <w:pPr>
              <w:pStyle w:val="12"/>
              <w:pageBreakBefore w:val="0"/>
              <w:wordWrap/>
              <w:bidi w:val="0"/>
              <w:adjustRightInd w:val="0"/>
              <w:spacing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0.4562</w:t>
            </w:r>
          </w:p>
        </w:tc>
        <w:tc>
          <w:tcPr>
            <w:tcW w:w="1465" w:type="dxa"/>
            <w:tcBorders>
              <w:tl2br w:val="nil"/>
              <w:tr2bl w:val="nil"/>
            </w:tcBorders>
            <w:noWrap w:val="0"/>
            <w:vAlign w:val="center"/>
          </w:tcPr>
          <w:p>
            <w:pPr>
              <w:pStyle w:val="12"/>
              <w:pageBreakBefore w:val="0"/>
              <w:wordWrap/>
              <w:bidi w:val="0"/>
              <w:adjustRightInd w:val="0"/>
              <w:spacing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1.5206</w:t>
            </w:r>
          </w:p>
        </w:tc>
        <w:tc>
          <w:tcPr>
            <w:tcW w:w="1465" w:type="dxa"/>
            <w:tcBorders>
              <w:tl2br w:val="nil"/>
              <w:tr2bl w:val="nil"/>
            </w:tcBorders>
            <w:noWrap w:val="0"/>
            <w:vAlign w:val="center"/>
          </w:tcPr>
          <w:p>
            <w:pPr>
              <w:pStyle w:val="12"/>
              <w:pageBreakBefore w:val="0"/>
              <w:wordWrap/>
              <w:bidi w:val="0"/>
              <w:adjustRightInd w:val="0"/>
              <w:spacing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7.6029</w:t>
            </w:r>
          </w:p>
        </w:tc>
        <w:tc>
          <w:tcPr>
            <w:tcW w:w="1470" w:type="dxa"/>
            <w:tcBorders>
              <w:tl2br w:val="nil"/>
              <w:tr2bl w:val="nil"/>
            </w:tcBorders>
            <w:noWrap w:val="0"/>
            <w:vAlign w:val="center"/>
          </w:tcPr>
          <w:p>
            <w:pPr>
              <w:pStyle w:val="12"/>
              <w:pageBreakBefore w:val="0"/>
              <w:wordWrap/>
              <w:bidi w:val="0"/>
              <w:adjustRightInd w:val="0"/>
              <w:spacing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30.4114</w:t>
            </w:r>
          </w:p>
        </w:tc>
      </w:tr>
    </w:tbl>
    <w:p>
      <w:pPr>
        <w:keepNext w:val="0"/>
        <w:keepLines w:val="0"/>
        <w:pageBreakBefore w:val="0"/>
        <w:widowControl w:val="0"/>
        <w:kinsoku/>
        <w:wordWrap/>
        <w:overflowPunct/>
        <w:topLinePunct w:val="0"/>
        <w:autoSpaceDE/>
        <w:autoSpaceDN/>
        <w:bidi w:val="0"/>
        <w:adjustRightInd w:val="0"/>
        <w:snapToGrid w:val="0"/>
        <w:spacing w:before="157" w:beforeLines="50"/>
        <w:ind w:left="0" w:leftChars="0" w:right="0" w:rightChars="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各主要恶臭污染物质浓度与恶臭强度的关系见表5.2-</w:t>
      </w:r>
      <w:r>
        <w:rPr>
          <w:rFonts w:hint="default" w:ascii="Times New Roman" w:hAnsi="Times New Roman" w:cs="Times New Roman"/>
          <w:color w:val="auto"/>
          <w:highlight w:val="none"/>
          <w:lang w:val="en-US" w:eastAsia="zh-CN"/>
        </w:rPr>
        <w:t>11</w:t>
      </w:r>
      <w:r>
        <w:rPr>
          <w:rFonts w:hint="default" w:ascii="Times New Roman" w:hAnsi="Times New Roman" w:cs="Times New Roman"/>
          <w:color w:val="auto"/>
          <w:highlight w:val="none"/>
        </w:rPr>
        <w:t>。</w:t>
      </w:r>
    </w:p>
    <w:p>
      <w:pPr>
        <w:pStyle w:val="50"/>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表5.2-</w:t>
      </w:r>
      <w:r>
        <w:rPr>
          <w:rFonts w:hint="default" w:ascii="Times New Roman" w:hAnsi="Times New Roman" w:cs="Times New Roman"/>
          <w:color w:val="auto"/>
          <w:sz w:val="21"/>
          <w:szCs w:val="21"/>
          <w:highlight w:val="none"/>
          <w:lang w:val="en-US" w:eastAsia="zh-CN"/>
        </w:rPr>
        <w:t>11</w:t>
      </w:r>
      <w:r>
        <w:rPr>
          <w:rFonts w:hint="default" w:ascii="Times New Roman" w:hAnsi="Times New Roman" w:cs="Times New Roman"/>
          <w:color w:val="auto"/>
          <w:sz w:val="21"/>
          <w:szCs w:val="21"/>
          <w:highlight w:val="none"/>
        </w:rPr>
        <w:t xml:space="preserve">        本项目臭气强度分析</w:t>
      </w:r>
    </w:p>
    <w:tbl>
      <w:tblPr>
        <w:tblStyle w:val="39"/>
        <w:tblW w:w="877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54"/>
        <w:gridCol w:w="1125"/>
        <w:gridCol w:w="1395"/>
        <w:gridCol w:w="1275"/>
        <w:gridCol w:w="15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54" w:type="dxa"/>
            <w:vMerge w:val="restart"/>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污染物排放情况</w:t>
            </w:r>
          </w:p>
        </w:tc>
        <w:tc>
          <w:tcPr>
            <w:tcW w:w="2520" w:type="dxa"/>
            <w:gridSpan w:val="2"/>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rPr>
              <w:t>养殖区无组织</w:t>
            </w:r>
          </w:p>
        </w:tc>
        <w:tc>
          <w:tcPr>
            <w:tcW w:w="2805" w:type="dxa"/>
            <w:gridSpan w:val="2"/>
            <w:tcBorders>
              <w:tl2br w:val="nil"/>
              <w:tr2bl w:val="nil"/>
            </w:tcBorders>
            <w:noWrap w:val="0"/>
            <w:vAlign w:val="center"/>
          </w:tcPr>
          <w:p>
            <w:pPr>
              <w:pStyle w:val="84"/>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堆粪场</w:t>
            </w:r>
            <w:r>
              <w:rPr>
                <w:rFonts w:hint="default" w:ascii="Times New Roman" w:hAnsi="Times New Roman" w:eastAsia="宋体" w:cs="Times New Roman"/>
                <w:color w:val="auto"/>
                <w:sz w:val="21"/>
                <w:szCs w:val="21"/>
                <w:highlight w:val="none"/>
                <w:lang w:val="en-US"/>
              </w:rPr>
              <w:t>无组织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54" w:type="dxa"/>
            <w:vMerge w:val="continue"/>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cs="Times New Roman"/>
                <w:color w:val="auto"/>
                <w:sz w:val="21"/>
                <w:szCs w:val="21"/>
                <w:highlight w:val="none"/>
              </w:rPr>
            </w:pPr>
          </w:p>
        </w:tc>
        <w:tc>
          <w:tcPr>
            <w:tcW w:w="1125" w:type="dxa"/>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p>
        </w:tc>
        <w:tc>
          <w:tcPr>
            <w:tcW w:w="1395" w:type="dxa"/>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S</w:t>
            </w:r>
          </w:p>
        </w:tc>
        <w:tc>
          <w:tcPr>
            <w:tcW w:w="1275" w:type="dxa"/>
            <w:tcBorders>
              <w:tl2br w:val="nil"/>
              <w:tr2bl w:val="nil"/>
            </w:tcBorders>
            <w:noWrap w:val="0"/>
            <w:vAlign w:val="center"/>
          </w:tcPr>
          <w:p>
            <w:pPr>
              <w:pStyle w:val="84"/>
              <w:pageBreakBefore w:val="0"/>
              <w:wordWrap/>
              <w:bidi w:val="0"/>
              <w:adjustRightInd w:val="0"/>
              <w:spacing w:line="240" w:lineRule="auto"/>
              <w:ind w:left="0" w:leftChars="0" w:right="0" w:rightChars="0" w:firstLine="0" w:firstLineChars="0"/>
              <w:rPr>
                <w:rFonts w:hint="default" w:ascii="Times New Roman" w:hAnsi="Times New Roman" w:eastAsia="宋体" w:cs="Times New Roman"/>
                <w:color w:val="auto"/>
                <w:kern w:val="2"/>
                <w:sz w:val="21"/>
                <w:szCs w:val="21"/>
                <w:highlight w:val="none"/>
                <w:lang w:val="zh-CN" w:eastAsia="zh-CN" w:bidi="ar-SA"/>
              </w:rPr>
            </w:pP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p>
        </w:tc>
        <w:tc>
          <w:tcPr>
            <w:tcW w:w="1530" w:type="dxa"/>
            <w:tcBorders>
              <w:tl2br w:val="nil"/>
              <w:tr2bl w:val="nil"/>
            </w:tcBorders>
            <w:noWrap w:val="0"/>
            <w:vAlign w:val="center"/>
          </w:tcPr>
          <w:p>
            <w:pPr>
              <w:pStyle w:val="84"/>
              <w:pageBreakBefore w:val="0"/>
              <w:wordWrap/>
              <w:bidi w:val="0"/>
              <w:adjustRightInd w:val="0"/>
              <w:spacing w:line="240" w:lineRule="auto"/>
              <w:ind w:left="0" w:leftChars="0" w:right="0" w:rightChars="0" w:firstLine="0" w:firstLineChars="0"/>
              <w:rPr>
                <w:rFonts w:hint="default" w:ascii="Times New Roman" w:hAnsi="Times New Roman" w:eastAsia="宋体" w:cs="Times New Roman"/>
                <w:color w:val="auto"/>
                <w:kern w:val="2"/>
                <w:sz w:val="21"/>
                <w:szCs w:val="21"/>
                <w:highlight w:val="none"/>
                <w:lang w:val="zh-CN" w:eastAsia="zh-CN" w:bidi="ar-SA"/>
              </w:rPr>
            </w:pPr>
            <w:r>
              <w:rPr>
                <w:rFonts w:hint="default" w:ascii="Times New Roman" w:hAnsi="Times New Roman" w:cs="Times New Roman"/>
                <w:color w:val="auto"/>
                <w:sz w:val="21"/>
                <w:szCs w:val="21"/>
                <w:highlight w:val="none"/>
              </w:rPr>
              <w:t>H</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54" w:type="dxa"/>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恶臭污染物最大落地浓度（mg/m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p>
        </w:tc>
        <w:tc>
          <w:tcPr>
            <w:tcW w:w="1125" w:type="dxa"/>
            <w:tcBorders>
              <w:tl2br w:val="nil"/>
              <w:tr2bl w:val="nil"/>
            </w:tcBorders>
            <w:noWrap w:val="0"/>
            <w:vAlign w:val="center"/>
          </w:tcPr>
          <w:p>
            <w:pPr>
              <w:pStyle w:val="84"/>
              <w:pageBreakBefore w:val="0"/>
              <w:wordWrap/>
              <w:bidi w:val="0"/>
              <w:adjustRightInd w:val="0"/>
              <w:spacing w:line="240" w:lineRule="auto"/>
              <w:ind w:left="0" w:leftChars="0" w:right="0" w:rightChars="0"/>
              <w:rPr>
                <w:rFonts w:hint="eastAsia" w:ascii="Times New Roman" w:hAnsi="Times New Roman" w:eastAsia="宋体" w:cs="Times New Roman"/>
                <w:color w:val="auto"/>
                <w:sz w:val="21"/>
                <w:szCs w:val="21"/>
                <w:highlight w:val="none"/>
                <w:lang w:val="en-US" w:eastAsia="zh-CN"/>
              </w:rPr>
            </w:pPr>
            <w:r>
              <w:rPr>
                <w:rFonts w:hint="eastAsia" w:cs="Times New Roman"/>
                <w:color w:val="auto"/>
                <w:highlight w:val="none"/>
                <w:lang w:eastAsia="zh-CN"/>
              </w:rPr>
              <w:t>0.000433</w:t>
            </w:r>
          </w:p>
        </w:tc>
        <w:tc>
          <w:tcPr>
            <w:tcW w:w="1395" w:type="dxa"/>
            <w:tcBorders>
              <w:tl2br w:val="nil"/>
              <w:tr2bl w:val="nil"/>
            </w:tcBorders>
            <w:noWrap w:val="0"/>
            <w:vAlign w:val="center"/>
          </w:tcPr>
          <w:p>
            <w:pPr>
              <w:pStyle w:val="84"/>
              <w:pageBreakBefore w:val="0"/>
              <w:wordWrap/>
              <w:bidi w:val="0"/>
              <w:adjustRightInd w:val="0"/>
              <w:spacing w:line="240" w:lineRule="auto"/>
              <w:ind w:left="0" w:leftChars="0" w:right="0" w:rightChars="0"/>
              <w:rPr>
                <w:rFonts w:hint="eastAsia" w:ascii="Times New Roman" w:hAnsi="Times New Roman" w:eastAsia="宋体" w:cs="Times New Roman"/>
                <w:color w:val="auto"/>
                <w:highlight w:val="none"/>
                <w:lang w:val="en-US" w:eastAsia="zh-CN"/>
              </w:rPr>
            </w:pPr>
            <w:r>
              <w:rPr>
                <w:rFonts w:hint="eastAsia" w:cs="Times New Roman"/>
                <w:color w:val="auto"/>
                <w:highlight w:val="none"/>
                <w:lang w:eastAsia="zh-CN"/>
              </w:rPr>
              <w:t>0.000217</w:t>
            </w:r>
          </w:p>
        </w:tc>
        <w:tc>
          <w:tcPr>
            <w:tcW w:w="1275" w:type="dxa"/>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0.000168</w:t>
            </w:r>
          </w:p>
        </w:tc>
        <w:tc>
          <w:tcPr>
            <w:tcW w:w="1530" w:type="dxa"/>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0.000013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54" w:type="dxa"/>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对应的臭气强度（级）</w:t>
            </w:r>
          </w:p>
        </w:tc>
        <w:tc>
          <w:tcPr>
            <w:tcW w:w="1125" w:type="dxa"/>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1</w:t>
            </w:r>
          </w:p>
        </w:tc>
        <w:tc>
          <w:tcPr>
            <w:tcW w:w="1395" w:type="dxa"/>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1275" w:type="dxa"/>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w:t>
            </w:r>
            <w:r>
              <w:rPr>
                <w:rFonts w:hint="eastAsia" w:cs="Times New Roman"/>
                <w:color w:val="auto"/>
                <w:highlight w:val="none"/>
                <w:lang w:val="en-US" w:eastAsia="zh-CN"/>
              </w:rPr>
              <w:t>1</w:t>
            </w:r>
          </w:p>
        </w:tc>
        <w:tc>
          <w:tcPr>
            <w:tcW w:w="1530" w:type="dxa"/>
            <w:tcBorders>
              <w:tl2br w:val="nil"/>
              <w:tr2bl w:val="nil"/>
            </w:tcBorders>
            <w:noWrap w:val="0"/>
            <w:vAlign w:val="center"/>
          </w:tcPr>
          <w:p>
            <w:pPr>
              <w:pStyle w:val="84"/>
              <w:pageBreakBefore w:val="0"/>
              <w:wordWrap/>
              <w:bidi w:val="0"/>
              <w:adjustRightInd w:val="0"/>
              <w:spacing w:line="240" w:lineRule="auto"/>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r>
    </w:tbl>
    <w:p>
      <w:pPr>
        <w:keepNext w:val="0"/>
        <w:keepLines w:val="0"/>
        <w:widowControl/>
        <w:suppressLineNumbers w:val="0"/>
        <w:jc w:val="left"/>
        <w:rPr>
          <w:rFonts w:hint="default" w:ascii="Times New Roman" w:hAnsi="Times New Roman" w:cs="Times New Roman"/>
          <w:color w:val="auto"/>
          <w:sz w:val="32"/>
          <w:szCs w:val="32"/>
          <w:highlight w:val="none"/>
        </w:rPr>
      </w:pPr>
      <w:r>
        <w:rPr>
          <w:rFonts w:hint="default" w:ascii="Times New Roman" w:hAnsi="Times New Roman" w:cs="Times New Roman"/>
          <w:color w:val="auto"/>
          <w:highlight w:val="none"/>
        </w:rPr>
        <w:t>对本次评价恶臭污染物预测结果进行分级，各场界恶臭强度范围为0-</w:t>
      </w:r>
      <w:r>
        <w:rPr>
          <w:rFonts w:hint="eastAsia" w:cs="Times New Roman"/>
          <w:color w:val="auto"/>
          <w:highlight w:val="none"/>
          <w:lang w:val="en-US" w:eastAsia="zh-CN"/>
        </w:rPr>
        <w:t>1</w:t>
      </w:r>
      <w:r>
        <w:rPr>
          <w:rFonts w:hint="default" w:ascii="Times New Roman" w:hAnsi="Times New Roman" w:cs="Times New Roman"/>
          <w:color w:val="auto"/>
          <w:highlight w:val="none"/>
        </w:rPr>
        <w:t>级之间，人的感觉不强烈。</w:t>
      </w:r>
      <w:r>
        <w:rPr>
          <w:rFonts w:hint="eastAsia" w:cs="Times New Roman"/>
          <w:color w:val="auto"/>
          <w:highlight w:val="none"/>
          <w:lang w:val="en-US" w:eastAsia="zh-CN"/>
        </w:rPr>
        <w:t>采取</w:t>
      </w:r>
      <w:r>
        <w:rPr>
          <w:rFonts w:hint="default" w:ascii="Times New Roman" w:hAnsi="Times New Roman" w:cs="Times New Roman"/>
          <w:color w:val="auto"/>
          <w:highlight w:val="none"/>
          <w:lang w:val="en-US"/>
        </w:rPr>
        <w:t>圈舍加强通风，科学合理调控饲粮</w:t>
      </w:r>
      <w:r>
        <w:rPr>
          <w:rFonts w:hint="eastAsia" w:cs="Times New Roman"/>
          <w:color w:val="auto"/>
          <w:highlight w:val="none"/>
          <w:lang w:val="en-US" w:eastAsia="zh-CN"/>
        </w:rPr>
        <w:t>，</w:t>
      </w:r>
      <w:r>
        <w:rPr>
          <w:rFonts w:hint="default" w:ascii="Times New Roman" w:hAnsi="Times New Roman" w:cs="Times New Roman"/>
          <w:color w:val="auto"/>
          <w:highlight w:val="none"/>
          <w:lang w:val="en-US"/>
        </w:rPr>
        <w:t>圈舍每天定时清理粪污</w:t>
      </w:r>
      <w:r>
        <w:rPr>
          <w:rFonts w:hint="eastAsia" w:cs="Times New Roman"/>
          <w:color w:val="auto"/>
          <w:highlight w:val="none"/>
          <w:lang w:val="en-US" w:eastAsia="zh-CN"/>
        </w:rPr>
        <w:t>，</w:t>
      </w:r>
      <w:r>
        <w:rPr>
          <w:rFonts w:hint="eastAsia" w:ascii="宋体" w:hAnsi="宋体" w:eastAsia="宋体" w:cs="宋体"/>
          <w:color w:val="auto"/>
          <w:kern w:val="0"/>
          <w:sz w:val="24"/>
          <w:szCs w:val="24"/>
          <w:lang w:val="en-US" w:eastAsia="zh-CN" w:bidi="ar"/>
        </w:rPr>
        <w:t>定期喷洒除臭剂等措施后，本项目</w:t>
      </w:r>
      <w:r>
        <w:rPr>
          <w:rFonts w:hint="default" w:ascii="Times New Roman" w:hAnsi="Times New Roman" w:cs="Times New Roman"/>
          <w:color w:val="auto"/>
          <w:highlight w:val="none"/>
        </w:rPr>
        <w:t>恶臭污染物</w:t>
      </w:r>
      <w:r>
        <w:rPr>
          <w:rFonts w:hint="eastAsia"/>
          <w:color w:val="auto"/>
          <w:lang w:eastAsia="zh-CN"/>
        </w:rPr>
        <w:t>符合《畜禽养殖业污染物排放标准》（</w:t>
      </w:r>
      <w:r>
        <w:rPr>
          <w:color w:val="auto"/>
        </w:rPr>
        <w:t>GB18596-2001</w:t>
      </w:r>
      <w:r>
        <w:rPr>
          <w:rFonts w:hint="eastAsia"/>
          <w:color w:val="auto"/>
          <w:lang w:eastAsia="zh-CN"/>
        </w:rPr>
        <w:t>）要求。</w:t>
      </w:r>
    </w:p>
    <w:p>
      <w:pPr>
        <w:pStyle w:val="6"/>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大气防护距离</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根据《环境影响评价技术导则</w:t>
      </w:r>
      <w:r>
        <w:rPr>
          <w:rFonts w:hint="default"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lang w:val="en-US" w:eastAsia="zh-CN"/>
        </w:rPr>
        <w:t>大气环境》（</w:t>
      </w:r>
      <w:r>
        <w:rPr>
          <w:rFonts w:hint="default" w:ascii="Times New Roman" w:hAnsi="Times New Roman" w:cs="Times New Roman"/>
          <w:color w:val="auto"/>
          <w:highlight w:val="none"/>
          <w:lang w:val="en-US" w:eastAsia="zh-CN"/>
        </w:rPr>
        <w:t>HJ 2.2-2018</w:t>
      </w:r>
      <w:r>
        <w:rPr>
          <w:rFonts w:hint="default" w:ascii="Times New Roman" w:hAnsi="Times New Roman" w:eastAsia="宋体" w:cs="Times New Roman"/>
          <w:color w:val="auto"/>
          <w:highlight w:val="none"/>
          <w:lang w:val="en-US" w:eastAsia="zh-CN"/>
        </w:rPr>
        <w:t>）规定，对于项目</w:t>
      </w:r>
      <w:r>
        <w:rPr>
          <w:rFonts w:hint="default" w:ascii="Times New Roman" w:hAnsi="Times New Roman" w:cs="Times New Roman"/>
          <w:color w:val="auto"/>
          <w:highlight w:val="none"/>
          <w:lang w:val="en-US" w:eastAsia="zh-CN"/>
        </w:rPr>
        <w:t>场界</w:t>
      </w:r>
      <w:r>
        <w:rPr>
          <w:rFonts w:hint="default" w:ascii="Times New Roman" w:hAnsi="Times New Roman" w:eastAsia="宋体" w:cs="Times New Roman"/>
          <w:color w:val="auto"/>
          <w:highlight w:val="none"/>
          <w:lang w:val="en-US" w:eastAsia="zh-CN"/>
        </w:rPr>
        <w:t>浓度满足大气污染物</w:t>
      </w:r>
      <w:r>
        <w:rPr>
          <w:rFonts w:hint="default" w:ascii="Times New Roman" w:hAnsi="Times New Roman" w:cs="Times New Roman"/>
          <w:color w:val="auto"/>
          <w:highlight w:val="none"/>
          <w:lang w:val="en-US" w:eastAsia="zh-CN"/>
        </w:rPr>
        <w:t>场界</w:t>
      </w:r>
      <w:r>
        <w:rPr>
          <w:rFonts w:hint="default" w:ascii="Times New Roman" w:hAnsi="Times New Roman" w:eastAsia="宋体" w:cs="Times New Roman"/>
          <w:color w:val="auto"/>
          <w:highlight w:val="none"/>
          <w:lang w:val="en-US" w:eastAsia="zh-CN"/>
        </w:rPr>
        <w:t>浓度限值，但</w:t>
      </w:r>
      <w:r>
        <w:rPr>
          <w:rFonts w:hint="default" w:ascii="Times New Roman" w:hAnsi="Times New Roman" w:cs="Times New Roman"/>
          <w:color w:val="auto"/>
          <w:highlight w:val="none"/>
          <w:lang w:val="en-US" w:eastAsia="zh-CN"/>
        </w:rPr>
        <w:t>场界</w:t>
      </w:r>
      <w:r>
        <w:rPr>
          <w:rFonts w:hint="default" w:ascii="Times New Roman" w:hAnsi="Times New Roman" w:eastAsia="宋体" w:cs="Times New Roman"/>
          <w:color w:val="auto"/>
          <w:highlight w:val="none"/>
          <w:lang w:val="en-US" w:eastAsia="zh-CN"/>
        </w:rPr>
        <w:t>外大气污染物短期贡献浓度超过环境质量浓度限值的，可以自</w:t>
      </w:r>
      <w:r>
        <w:rPr>
          <w:rFonts w:hint="default" w:ascii="Times New Roman" w:hAnsi="Times New Roman" w:cs="Times New Roman"/>
          <w:color w:val="auto"/>
          <w:highlight w:val="none"/>
          <w:lang w:val="en-US" w:eastAsia="zh-CN"/>
        </w:rPr>
        <w:t>场界</w:t>
      </w:r>
      <w:r>
        <w:rPr>
          <w:rFonts w:hint="default" w:ascii="Times New Roman" w:hAnsi="Times New Roman" w:eastAsia="宋体" w:cs="Times New Roman"/>
          <w:color w:val="auto"/>
          <w:highlight w:val="none"/>
          <w:lang w:val="en-US" w:eastAsia="zh-CN"/>
        </w:rPr>
        <w:t>向外设置一定范围的大气环境防护区域，以确保大气环境防护区域外的污染物贡献浓度满足环境质量标准。根据预测，项目评价范围内</w:t>
      </w:r>
      <w:r>
        <w:rPr>
          <w:rFonts w:hint="default" w:ascii="Times New Roman" w:hAnsi="Times New Roman" w:cs="Times New Roman"/>
          <w:color w:val="auto"/>
          <w:highlight w:val="none"/>
        </w:rPr>
        <w:t>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w:t>
      </w:r>
      <w:r>
        <w:rPr>
          <w:rFonts w:hint="default" w:ascii="Times New Roman" w:hAnsi="Times New Roman" w:eastAsia="宋体" w:cs="Times New Roman"/>
          <w:color w:val="auto"/>
          <w:highlight w:val="none"/>
          <w:lang w:val="en-US" w:eastAsia="zh-CN"/>
        </w:rPr>
        <w:t>贡献浓度满足《环境影响评价技术导则</w:t>
      </w:r>
      <w:r>
        <w:rPr>
          <w:rFonts w:hint="default"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lang w:val="en-US" w:eastAsia="zh-CN"/>
        </w:rPr>
        <w:t>大气环境》（HJ2.2-2018）附录 D标准</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颗粒物</w:t>
      </w:r>
      <w:r>
        <w:rPr>
          <w:rFonts w:hint="default" w:ascii="Times New Roman" w:hAnsi="Times New Roman" w:eastAsia="宋体" w:cs="Times New Roman"/>
          <w:color w:val="auto"/>
          <w:highlight w:val="none"/>
          <w:lang w:val="en-US" w:eastAsia="zh-CN"/>
        </w:rPr>
        <w:t>贡献浓度满足《环境空气质量标准》（GB3095-2012）中的二级标准要求，可不设置大气防护距离。</w:t>
      </w:r>
    </w:p>
    <w:p>
      <w:pPr>
        <w:pStyle w:val="6"/>
        <w:pageBreakBefore w:val="0"/>
        <w:wordWrap/>
        <w:bidi w:val="0"/>
        <w:adjustRightInd w:val="0"/>
        <w:ind w:left="0" w:leftChars="0"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卫生防护距离</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根据《大气有害物质无组织排放卫生防护距离推导技术导则》（GB/T39499</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2020），卫生防护距离计算公式如下：</w:t>
      </w:r>
    </w:p>
    <w:p>
      <w:pPr>
        <w:keepNext w:val="0"/>
        <w:keepLines w:val="0"/>
        <w:pageBreakBefore w:val="0"/>
        <w:widowControl/>
        <w:suppressLineNumbers w:val="0"/>
        <w:wordWrap/>
        <w:bidi w:val="0"/>
        <w:adjustRightInd w:val="0"/>
        <w:ind w:left="0" w:leftChars="0" w:right="0"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2228850" cy="581025"/>
            <wp:effectExtent l="0" t="0" r="0" b="9525"/>
            <wp:docPr id="3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8"/>
                    <pic:cNvPicPr>
                      <a:picLocks noChangeAspect="1"/>
                    </pic:cNvPicPr>
                  </pic:nvPicPr>
                  <pic:blipFill>
                    <a:blip r:embed="rId54"/>
                    <a:stretch>
                      <a:fillRect/>
                    </a:stretch>
                  </pic:blipFill>
                  <pic:spPr>
                    <a:xfrm>
                      <a:off x="0" y="0"/>
                      <a:ext cx="2228850" cy="581025"/>
                    </a:xfrm>
                    <a:prstGeom prst="rect">
                      <a:avLst/>
                    </a:prstGeom>
                    <a:noFill/>
                    <a:ln>
                      <a:noFill/>
                    </a:ln>
                  </pic:spPr>
                </pic:pic>
              </a:graphicData>
            </a:graphic>
          </wp:inline>
        </w:drawing>
      </w:r>
    </w:p>
    <w:p>
      <w:pPr>
        <w:pStyle w:val="17"/>
        <w:pageBreakBefore w:val="0"/>
        <w:wordWrap/>
        <w:bidi w:val="0"/>
        <w:adjustRightInd w:val="0"/>
        <w:ind w:left="0" w:leftChars="0" w:right="0" w:right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式中：Qc—大气有害物质的无组织排放量，kg/h；</w:t>
      </w:r>
    </w:p>
    <w:p>
      <w:pPr>
        <w:pStyle w:val="17"/>
        <w:pageBreakBefore w:val="0"/>
        <w:wordWrap/>
        <w:bidi w:val="0"/>
        <w:adjustRightInd w:val="0"/>
        <w:ind w:left="0" w:leftChars="0" w:right="0" w:rightChars="0" w:firstLine="1200" w:firstLineChars="5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Cm—大气有害物质环境空气质量的标准限制，mg/m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w:t>
      </w:r>
    </w:p>
    <w:p>
      <w:pPr>
        <w:pStyle w:val="17"/>
        <w:pageBreakBefore w:val="0"/>
        <w:wordWrap/>
        <w:bidi w:val="0"/>
        <w:adjustRightInd w:val="0"/>
        <w:ind w:left="0" w:leftChars="0" w:right="0" w:rightChars="0" w:firstLine="1200" w:firstLineChars="5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L—大气有害物质卫生防护距离初值，m；</w:t>
      </w:r>
    </w:p>
    <w:p>
      <w:pPr>
        <w:pStyle w:val="17"/>
        <w:pageBreakBefore w:val="0"/>
        <w:wordWrap/>
        <w:bidi w:val="0"/>
        <w:adjustRightInd w:val="0"/>
        <w:ind w:left="0" w:leftChars="0" w:right="0" w:rightChars="0" w:firstLine="1140" w:firstLineChars="500"/>
        <w:rPr>
          <w:rFonts w:hint="default" w:ascii="Times New Roman" w:hAnsi="Times New Roman" w:cs="Times New Roman"/>
          <w:color w:val="auto"/>
          <w:spacing w:val="-6"/>
          <w:sz w:val="24"/>
          <w:highlight w:val="none"/>
          <w:vertAlign w:val="superscript"/>
          <w:lang w:val="en-US" w:eastAsia="zh-CN"/>
        </w:rPr>
      </w:pPr>
      <w:r>
        <w:rPr>
          <w:rFonts w:hint="default" w:ascii="Times New Roman" w:hAnsi="Times New Roman" w:cs="Times New Roman"/>
          <w:color w:val="auto"/>
          <w:spacing w:val="-6"/>
          <w:sz w:val="24"/>
          <w:highlight w:val="none"/>
          <w:lang w:val="en-US" w:eastAsia="zh-CN"/>
        </w:rPr>
        <w:t>r—大气有害物质无组织排放源所在生产单元的等效半径，m；r=（S/π）</w:t>
      </w:r>
      <w:r>
        <w:rPr>
          <w:rFonts w:hint="default" w:ascii="Times New Roman" w:hAnsi="Times New Roman" w:cs="Times New Roman"/>
          <w:color w:val="auto"/>
          <w:spacing w:val="-6"/>
          <w:sz w:val="24"/>
          <w:highlight w:val="none"/>
          <w:vertAlign w:val="superscript"/>
          <w:lang w:val="en-US" w:eastAsia="zh-CN"/>
        </w:rPr>
        <w:t>0.5</w:t>
      </w:r>
    </w:p>
    <w:p>
      <w:pPr>
        <w:pStyle w:val="17"/>
        <w:pageBreakBefore w:val="0"/>
        <w:wordWrap/>
        <w:bidi w:val="0"/>
        <w:adjustRightInd w:val="0"/>
        <w:ind w:left="0" w:leftChars="0" w:right="0" w:rightChars="0" w:firstLine="1200" w:firstLineChars="5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A、B、C、D—计算系数，从GB/T 39499-2020中查取。</w:t>
      </w:r>
    </w:p>
    <w:p>
      <w:pPr>
        <w:pStyle w:val="56"/>
        <w:keepNext w:val="0"/>
        <w:keepLines w:val="0"/>
        <w:pageBreakBefore w:val="0"/>
        <w:widowControl w:val="0"/>
        <w:kinsoku/>
        <w:wordWrap/>
        <w:overflowPunct/>
        <w:autoSpaceDE/>
        <w:autoSpaceDN/>
        <w:bidi w:val="0"/>
        <w:adjustRightInd w:val="0"/>
        <w:snapToGrid w:val="0"/>
        <w:spacing w:line="240" w:lineRule="auto"/>
        <w:ind w:left="0" w:leftChars="0" w:right="0" w:rightChars="0"/>
        <w:textAlignment w:val="auto"/>
        <w:rPr>
          <w:rStyle w:val="68"/>
          <w:rFonts w:hint="default" w:ascii="Times New Roman" w:hAnsi="Times New Roman" w:eastAsia="宋体" w:cs="Times New Roman"/>
          <w:b/>
          <w:color w:val="auto"/>
          <w:sz w:val="21"/>
          <w:szCs w:val="21"/>
          <w:highlight w:val="none"/>
          <w:lang w:val="en-US" w:eastAsia="zh-CN"/>
        </w:rPr>
      </w:pPr>
      <w:r>
        <w:rPr>
          <w:rStyle w:val="68"/>
          <w:rFonts w:hint="default" w:ascii="Times New Roman" w:hAnsi="Times New Roman" w:eastAsia="宋体" w:cs="Times New Roman"/>
          <w:b/>
          <w:color w:val="auto"/>
          <w:sz w:val="21"/>
          <w:szCs w:val="21"/>
          <w:highlight w:val="none"/>
          <w:lang w:val="en-US" w:eastAsia="zh-CN"/>
        </w:rPr>
        <w:t>表5.2-1</w:t>
      </w:r>
      <w:r>
        <w:rPr>
          <w:rStyle w:val="68"/>
          <w:rFonts w:hint="default" w:ascii="Times New Roman" w:hAnsi="Times New Roman" w:cs="Times New Roman"/>
          <w:b/>
          <w:color w:val="auto"/>
          <w:sz w:val="21"/>
          <w:szCs w:val="21"/>
          <w:highlight w:val="none"/>
          <w:lang w:val="en-US" w:eastAsia="zh-CN"/>
        </w:rPr>
        <w:t>2</w:t>
      </w:r>
      <w:r>
        <w:rPr>
          <w:rStyle w:val="68"/>
          <w:rFonts w:hint="default" w:ascii="Times New Roman" w:hAnsi="Times New Roman" w:eastAsia="宋体" w:cs="Times New Roman"/>
          <w:b/>
          <w:color w:val="auto"/>
          <w:sz w:val="21"/>
          <w:szCs w:val="21"/>
          <w:highlight w:val="none"/>
          <w:lang w:val="en-US" w:eastAsia="zh-CN"/>
        </w:rPr>
        <w:t xml:space="preserve">   卫生防护距离计算结果</w:t>
      </w:r>
    </w:p>
    <w:tbl>
      <w:tblPr>
        <w:tblStyle w:val="4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720"/>
        <w:gridCol w:w="775"/>
        <w:gridCol w:w="1047"/>
        <w:gridCol w:w="928"/>
        <w:gridCol w:w="660"/>
        <w:gridCol w:w="660"/>
        <w:gridCol w:w="635"/>
        <w:gridCol w:w="791"/>
        <w:gridCol w:w="13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099"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污染源</w:t>
            </w:r>
          </w:p>
        </w:tc>
        <w:tc>
          <w:tcPr>
            <w:tcW w:w="720"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污染物</w:t>
            </w:r>
          </w:p>
        </w:tc>
        <w:tc>
          <w:tcPr>
            <w:tcW w:w="775"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Cm</w:t>
            </w:r>
          </w:p>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047"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Qc</w:t>
            </w:r>
          </w:p>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kg/h</w:t>
            </w:r>
          </w:p>
        </w:tc>
        <w:tc>
          <w:tcPr>
            <w:tcW w:w="928"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平均风速</w:t>
            </w:r>
          </w:p>
        </w:tc>
        <w:tc>
          <w:tcPr>
            <w:tcW w:w="660"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A</w:t>
            </w:r>
          </w:p>
        </w:tc>
        <w:tc>
          <w:tcPr>
            <w:tcW w:w="660"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B</w:t>
            </w:r>
          </w:p>
        </w:tc>
        <w:tc>
          <w:tcPr>
            <w:tcW w:w="635"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w:t>
            </w:r>
          </w:p>
        </w:tc>
        <w:tc>
          <w:tcPr>
            <w:tcW w:w="791"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w:t>
            </w:r>
          </w:p>
        </w:tc>
        <w:tc>
          <w:tcPr>
            <w:tcW w:w="1377"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卫生防护距离/m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9"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饲料加</w:t>
            </w:r>
          </w:p>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工间</w:t>
            </w:r>
          </w:p>
        </w:tc>
        <w:tc>
          <w:tcPr>
            <w:tcW w:w="720"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TSP</w:t>
            </w:r>
          </w:p>
        </w:tc>
        <w:tc>
          <w:tcPr>
            <w:tcW w:w="775"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0.9</w:t>
            </w:r>
          </w:p>
        </w:tc>
        <w:tc>
          <w:tcPr>
            <w:tcW w:w="1047"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0.16</w:t>
            </w:r>
          </w:p>
        </w:tc>
        <w:tc>
          <w:tcPr>
            <w:tcW w:w="928" w:type="dxa"/>
            <w:vMerge w:val="restar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snapToGrid w:val="0"/>
                <w:color w:val="auto"/>
                <w:kern w:val="0"/>
                <w:sz w:val="21"/>
                <w:szCs w:val="21"/>
                <w:highlight w:val="none"/>
                <w:lang w:val="en-US" w:eastAsia="zh-CN"/>
              </w:rPr>
              <w:t>2.45</w:t>
            </w:r>
            <w:r>
              <w:rPr>
                <w:rFonts w:hint="default" w:ascii="Times New Roman" w:hAnsi="Times New Roman" w:cs="Times New Roman"/>
                <w:snapToGrid w:val="0"/>
                <w:color w:val="auto"/>
                <w:kern w:val="0"/>
                <w:sz w:val="21"/>
                <w:szCs w:val="21"/>
                <w:highlight w:val="none"/>
              </w:rPr>
              <w:t>m/s</w:t>
            </w:r>
          </w:p>
        </w:tc>
        <w:tc>
          <w:tcPr>
            <w:tcW w:w="660"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400</w:t>
            </w:r>
          </w:p>
        </w:tc>
        <w:tc>
          <w:tcPr>
            <w:tcW w:w="660"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w:t>
            </w:r>
          </w:p>
        </w:tc>
        <w:tc>
          <w:tcPr>
            <w:tcW w:w="635"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1.85</w:t>
            </w:r>
          </w:p>
        </w:tc>
        <w:tc>
          <w:tcPr>
            <w:tcW w:w="791"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0.78</w:t>
            </w:r>
          </w:p>
        </w:tc>
        <w:tc>
          <w:tcPr>
            <w:tcW w:w="1377"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9" w:type="dxa"/>
            <w:vMerge w:val="restar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rPr>
              <w:t>养殖区</w:t>
            </w:r>
          </w:p>
        </w:tc>
        <w:tc>
          <w:tcPr>
            <w:tcW w:w="720"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rPr>
              <w:t>NH</w:t>
            </w:r>
            <w:r>
              <w:rPr>
                <w:rFonts w:hint="default" w:ascii="Times New Roman" w:hAnsi="Times New Roman" w:eastAsia="宋体" w:cs="Times New Roman"/>
                <w:color w:val="auto"/>
                <w:sz w:val="21"/>
                <w:szCs w:val="21"/>
                <w:highlight w:val="none"/>
                <w:vertAlign w:val="subscript"/>
                <w:lang w:val="en-US"/>
              </w:rPr>
              <w:t>3</w:t>
            </w:r>
          </w:p>
        </w:tc>
        <w:tc>
          <w:tcPr>
            <w:tcW w:w="775"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w:t>
            </w:r>
          </w:p>
        </w:tc>
        <w:tc>
          <w:tcPr>
            <w:tcW w:w="1047"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0.0025</w:t>
            </w:r>
          </w:p>
        </w:tc>
        <w:tc>
          <w:tcPr>
            <w:tcW w:w="928" w:type="dxa"/>
            <w:vMerge w:val="continue"/>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c>
          <w:tcPr>
            <w:tcW w:w="660"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400</w:t>
            </w:r>
          </w:p>
        </w:tc>
        <w:tc>
          <w:tcPr>
            <w:tcW w:w="660"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w:t>
            </w:r>
          </w:p>
        </w:tc>
        <w:tc>
          <w:tcPr>
            <w:tcW w:w="635"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1.85</w:t>
            </w:r>
          </w:p>
        </w:tc>
        <w:tc>
          <w:tcPr>
            <w:tcW w:w="791"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0.78</w:t>
            </w:r>
          </w:p>
        </w:tc>
        <w:tc>
          <w:tcPr>
            <w:tcW w:w="1377"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9" w:type="dxa"/>
            <w:vMerge w:val="continue"/>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c>
          <w:tcPr>
            <w:tcW w:w="720"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rPr>
              <w:t>H</w:t>
            </w:r>
            <w:r>
              <w:rPr>
                <w:rFonts w:hint="default" w:ascii="Times New Roman" w:hAnsi="Times New Roman" w:eastAsia="宋体" w:cs="Times New Roman"/>
                <w:color w:val="auto"/>
                <w:sz w:val="21"/>
                <w:szCs w:val="21"/>
                <w:highlight w:val="none"/>
                <w:vertAlign w:val="subscript"/>
                <w:lang w:val="en-US"/>
              </w:rPr>
              <w:t>2</w:t>
            </w:r>
            <w:r>
              <w:rPr>
                <w:rFonts w:hint="default" w:ascii="Times New Roman" w:hAnsi="Times New Roman" w:eastAsia="宋体" w:cs="Times New Roman"/>
                <w:color w:val="auto"/>
                <w:sz w:val="21"/>
                <w:szCs w:val="21"/>
                <w:highlight w:val="none"/>
                <w:lang w:val="en-US"/>
              </w:rPr>
              <w:t>S</w:t>
            </w:r>
          </w:p>
        </w:tc>
        <w:tc>
          <w:tcPr>
            <w:tcW w:w="775"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w:t>
            </w:r>
          </w:p>
        </w:tc>
        <w:tc>
          <w:tcPr>
            <w:tcW w:w="1047"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0.0013</w:t>
            </w:r>
          </w:p>
        </w:tc>
        <w:tc>
          <w:tcPr>
            <w:tcW w:w="928" w:type="dxa"/>
            <w:vMerge w:val="continue"/>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c>
          <w:tcPr>
            <w:tcW w:w="660"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400</w:t>
            </w:r>
          </w:p>
        </w:tc>
        <w:tc>
          <w:tcPr>
            <w:tcW w:w="660"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w:t>
            </w:r>
          </w:p>
        </w:tc>
        <w:tc>
          <w:tcPr>
            <w:tcW w:w="635"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1.85</w:t>
            </w:r>
          </w:p>
        </w:tc>
        <w:tc>
          <w:tcPr>
            <w:tcW w:w="791"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0.78</w:t>
            </w:r>
          </w:p>
        </w:tc>
        <w:tc>
          <w:tcPr>
            <w:tcW w:w="1377"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9" w:type="dxa"/>
            <w:vMerge w:val="restart"/>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堆粪场</w:t>
            </w:r>
          </w:p>
        </w:tc>
        <w:tc>
          <w:tcPr>
            <w:tcW w:w="720"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rPr>
              <w:t>NH</w:t>
            </w:r>
            <w:r>
              <w:rPr>
                <w:rFonts w:hint="default" w:ascii="Times New Roman" w:hAnsi="Times New Roman" w:eastAsia="宋体" w:cs="Times New Roman"/>
                <w:color w:val="auto"/>
                <w:sz w:val="21"/>
                <w:szCs w:val="21"/>
                <w:highlight w:val="none"/>
                <w:vertAlign w:val="subscript"/>
                <w:lang w:val="en-US"/>
              </w:rPr>
              <w:t>3</w:t>
            </w:r>
          </w:p>
        </w:tc>
        <w:tc>
          <w:tcPr>
            <w:tcW w:w="775"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w:t>
            </w:r>
          </w:p>
        </w:tc>
        <w:tc>
          <w:tcPr>
            <w:tcW w:w="1047"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0.00032</w:t>
            </w:r>
          </w:p>
        </w:tc>
        <w:tc>
          <w:tcPr>
            <w:tcW w:w="928" w:type="dxa"/>
            <w:vMerge w:val="continue"/>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c>
          <w:tcPr>
            <w:tcW w:w="660"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400</w:t>
            </w:r>
          </w:p>
        </w:tc>
        <w:tc>
          <w:tcPr>
            <w:tcW w:w="660"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w:t>
            </w:r>
          </w:p>
        </w:tc>
        <w:tc>
          <w:tcPr>
            <w:tcW w:w="635"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1.85</w:t>
            </w:r>
          </w:p>
        </w:tc>
        <w:tc>
          <w:tcPr>
            <w:tcW w:w="791"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0.78</w:t>
            </w:r>
          </w:p>
        </w:tc>
        <w:tc>
          <w:tcPr>
            <w:tcW w:w="1377"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9" w:type="dxa"/>
            <w:vMerge w:val="continue"/>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c>
          <w:tcPr>
            <w:tcW w:w="720"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rPr>
              <w:t>H</w:t>
            </w:r>
            <w:r>
              <w:rPr>
                <w:rFonts w:hint="default" w:ascii="Times New Roman" w:hAnsi="Times New Roman" w:eastAsia="宋体" w:cs="Times New Roman"/>
                <w:color w:val="auto"/>
                <w:sz w:val="21"/>
                <w:szCs w:val="21"/>
                <w:highlight w:val="none"/>
                <w:vertAlign w:val="subscript"/>
                <w:lang w:val="en-US"/>
              </w:rPr>
              <w:t>2</w:t>
            </w:r>
            <w:r>
              <w:rPr>
                <w:rFonts w:hint="default" w:ascii="Times New Roman" w:hAnsi="Times New Roman" w:eastAsia="宋体" w:cs="Times New Roman"/>
                <w:color w:val="auto"/>
                <w:sz w:val="21"/>
                <w:szCs w:val="21"/>
                <w:highlight w:val="none"/>
                <w:lang w:val="en-US"/>
              </w:rPr>
              <w:t>S</w:t>
            </w:r>
          </w:p>
        </w:tc>
        <w:tc>
          <w:tcPr>
            <w:tcW w:w="775"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w:t>
            </w:r>
          </w:p>
        </w:tc>
        <w:tc>
          <w:tcPr>
            <w:tcW w:w="1047"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0.000025</w:t>
            </w:r>
          </w:p>
        </w:tc>
        <w:tc>
          <w:tcPr>
            <w:tcW w:w="928" w:type="dxa"/>
            <w:vMerge w:val="continue"/>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c>
          <w:tcPr>
            <w:tcW w:w="660"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400</w:t>
            </w:r>
          </w:p>
        </w:tc>
        <w:tc>
          <w:tcPr>
            <w:tcW w:w="660"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w:t>
            </w:r>
          </w:p>
        </w:tc>
        <w:tc>
          <w:tcPr>
            <w:tcW w:w="635"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1.85</w:t>
            </w:r>
          </w:p>
        </w:tc>
        <w:tc>
          <w:tcPr>
            <w:tcW w:w="791"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0.78</w:t>
            </w:r>
          </w:p>
        </w:tc>
        <w:tc>
          <w:tcPr>
            <w:tcW w:w="1377" w:type="dxa"/>
            <w:tcBorders>
              <w:tl2br w:val="nil"/>
              <w:tr2bl w:val="nil"/>
            </w:tcBorders>
            <w:noWrap w:val="0"/>
            <w:vAlign w:val="center"/>
          </w:tcPr>
          <w:p>
            <w:pPr>
              <w:pStyle w:val="84"/>
              <w:keepNext w:val="0"/>
              <w:keepLines w:val="0"/>
              <w:pageBreakBefore w:val="0"/>
              <w:widowControl w:val="0"/>
              <w:kinsoku/>
              <w:wordWrap/>
              <w:overflow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r>
    </w:tbl>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yellow"/>
          <w:lang w:val="en-US" w:eastAsia="zh-CN"/>
        </w:rPr>
      </w:pPr>
    </w:p>
    <w:p>
      <w:pPr>
        <w:pageBreakBefore w:val="0"/>
        <w:wordWrap/>
        <w:bidi w:val="0"/>
        <w:adjustRightInd w:val="0"/>
        <w:ind w:left="0" w:leftChars="0" w:right="0" w:right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根据《大气有害物质无组织排放卫生防护距离推导技术导则》（GB/T39499-2020）中对卫生防护距离的确定办法：6.1.1 卫生防护距离初值小于50m时，级差为50m；如计算初值小于50m，卫生防护距离终值取50m。因此，可确定本项目卫生防护距离初值均为50m。</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根据《大气有害物质无组织排放卫生防护距离推导技术导则》（GB/T39499-2020）中对卫生防护距离的提级办法：6.2 当某生产单元的无组织存在多种特征大气有害物质时，如果分别推导出的卫生防护距离初值在同一级别时，则该卫生防护距离应提高一级，本项目卫生防护距离提高一级，以无组织有害源边界外100m范围。</w:t>
      </w:r>
    </w:p>
    <w:p>
      <w:pPr>
        <w:keepNext w:val="0"/>
        <w:keepLines w:val="0"/>
        <w:pageBreakBefore w:val="0"/>
        <w:widowControl w:val="0"/>
        <w:kinsoku/>
        <w:wordWrap/>
        <w:overflowPunct/>
        <w:topLinePunct w:val="0"/>
        <w:autoSpaceDE/>
        <w:autoSpaceDN/>
        <w:bidi w:val="0"/>
        <w:adjustRightInd w:val="0"/>
        <w:snapToGrid w:val="0"/>
        <w:ind w:left="0" w:leftChars="0" w:right="0" w:rightChars="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根据《畜禽养殖业污染防治技术规范》（HJ/T81-2001）畜禽养殖场选址要求中有关规定，禁止在下列区域内建设畜禽养殖场：</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1</w:t>
      </w:r>
      <w:r>
        <w:rPr>
          <w:rFonts w:hint="eastAsia" w:cs="Times New Roman"/>
          <w:color w:val="auto"/>
          <w:highlight w:val="none"/>
          <w:lang w:eastAsia="zh-CN"/>
        </w:rPr>
        <w:t>）</w:t>
      </w:r>
      <w:r>
        <w:rPr>
          <w:rFonts w:hint="default" w:ascii="Times New Roman" w:hAnsi="Times New Roman" w:cs="Times New Roman"/>
          <w:color w:val="auto"/>
          <w:highlight w:val="none"/>
        </w:rPr>
        <w:t>生活饮用水水源保护区、风景名胜区、自然保护区核心区及缓冲区；</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2</w:t>
      </w:r>
      <w:r>
        <w:rPr>
          <w:rFonts w:hint="eastAsia" w:cs="Times New Roman"/>
          <w:color w:val="auto"/>
          <w:highlight w:val="none"/>
          <w:lang w:eastAsia="zh-CN"/>
        </w:rPr>
        <w:t>）</w:t>
      </w:r>
      <w:r>
        <w:rPr>
          <w:rFonts w:hint="default" w:ascii="Times New Roman" w:hAnsi="Times New Roman" w:cs="Times New Roman"/>
          <w:color w:val="auto"/>
          <w:highlight w:val="none"/>
        </w:rPr>
        <w:t>城市和城镇居民区，包括文教科研区、医疗区、商业区、工业区、游览区等人口集中地区；</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3</w:t>
      </w:r>
      <w:r>
        <w:rPr>
          <w:rFonts w:hint="eastAsia" w:cs="Times New Roman"/>
          <w:color w:val="auto"/>
          <w:highlight w:val="none"/>
          <w:lang w:eastAsia="zh-CN"/>
        </w:rPr>
        <w:t>）</w:t>
      </w:r>
      <w:r>
        <w:rPr>
          <w:rFonts w:hint="default" w:ascii="Times New Roman" w:hAnsi="Times New Roman" w:cs="Times New Roman"/>
          <w:color w:val="auto"/>
          <w:highlight w:val="none"/>
        </w:rPr>
        <w:t>县级人民政府依法划定的禁养区域；</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4</w:t>
      </w:r>
      <w:r>
        <w:rPr>
          <w:rFonts w:hint="eastAsia" w:cs="Times New Roman"/>
          <w:color w:val="auto"/>
          <w:highlight w:val="none"/>
          <w:lang w:eastAsia="zh-CN"/>
        </w:rPr>
        <w:t>）</w:t>
      </w:r>
      <w:r>
        <w:rPr>
          <w:rFonts w:hint="default" w:ascii="Times New Roman" w:hAnsi="Times New Roman" w:cs="Times New Roman"/>
          <w:color w:val="auto"/>
          <w:highlight w:val="none"/>
        </w:rPr>
        <w:t>国家或地方法律、法规规定需特殊保护的其它区域。</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5</w:t>
      </w:r>
      <w:r>
        <w:rPr>
          <w:rFonts w:hint="eastAsia" w:cs="Times New Roman"/>
          <w:color w:val="auto"/>
          <w:highlight w:val="none"/>
          <w:lang w:eastAsia="zh-CN"/>
        </w:rPr>
        <w:t>）</w:t>
      </w:r>
      <w:r>
        <w:rPr>
          <w:rFonts w:hint="default" w:ascii="Times New Roman" w:hAnsi="Times New Roman" w:cs="Times New Roman"/>
          <w:color w:val="auto"/>
          <w:highlight w:val="none"/>
        </w:rPr>
        <w:t>新建、改建、扩建的畜禽养殖场选址应避开以上规定的禁建区域，在禁建区域附近建设的，应设在规定的禁建区域常年主导风向的下风向或侧风向处，场界与禁建区域边界的最小距离不得小于500m。</w:t>
      </w:r>
    </w:p>
    <w:p>
      <w:pPr>
        <w:pStyle w:val="17"/>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确定</w:t>
      </w:r>
      <w:r>
        <w:rPr>
          <w:rFonts w:hint="default" w:ascii="Times New Roman" w:hAnsi="Times New Roman" w:cs="Times New Roman"/>
          <w:color w:val="auto"/>
          <w:highlight w:val="none"/>
          <w:lang w:val="en-US" w:eastAsia="zh-CN"/>
        </w:rPr>
        <w:t>本</w:t>
      </w:r>
      <w:r>
        <w:rPr>
          <w:rFonts w:hint="default" w:ascii="Times New Roman" w:hAnsi="Times New Roman" w:cs="Times New Roman"/>
          <w:color w:val="auto"/>
          <w:highlight w:val="none"/>
        </w:rPr>
        <w:t>项目的卫生防护距离为500m，在此范围内禁止新建居民区及其他人员聚集类建筑物。根据现场调查，项目区周围500m范围内无《畜禽养殖业污染防治技术规范》（HJ/T81-2001）中的禁止区域，项目场址可以满足卫生防护距离要求。</w:t>
      </w:r>
    </w:p>
    <w:p>
      <w:pPr>
        <w:pStyle w:val="6"/>
        <w:pageBreakBefore w:val="0"/>
        <w:wordWrap/>
        <w:bidi w:val="0"/>
        <w:adjustRightInd w:val="0"/>
        <w:ind w:left="0" w:leftChars="0"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排放量核算</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根据工程分析内容，本项目大气污染物排放量核算详见表5.2-1</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p>
    <w:p>
      <w:pPr>
        <w:pStyle w:val="56"/>
        <w:pageBreakBefore w:val="0"/>
        <w:widowControl w:val="0"/>
        <w:tabs>
          <w:tab w:val="left" w:pos="5280"/>
        </w:tabs>
        <w:kinsoku/>
        <w:wordWrap/>
        <w:overflowPunct/>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表5.2-13    本项目大气污染物排放量核算表</w:t>
      </w:r>
    </w:p>
    <w:tbl>
      <w:tblPr>
        <w:tblStyle w:val="39"/>
        <w:tblW w:w="881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4"/>
        <w:gridCol w:w="912"/>
        <w:gridCol w:w="900"/>
        <w:gridCol w:w="1650"/>
        <w:gridCol w:w="2371"/>
        <w:gridCol w:w="1302"/>
        <w:gridCol w:w="12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34" w:type="dxa"/>
            <w:vMerge w:val="restart"/>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912" w:type="dxa"/>
            <w:vMerge w:val="restart"/>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产污</w:t>
            </w:r>
          </w:p>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环节</w:t>
            </w:r>
          </w:p>
        </w:tc>
        <w:tc>
          <w:tcPr>
            <w:tcW w:w="900" w:type="dxa"/>
            <w:vMerge w:val="restart"/>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w:t>
            </w:r>
          </w:p>
        </w:tc>
        <w:tc>
          <w:tcPr>
            <w:tcW w:w="1650" w:type="dxa"/>
            <w:vMerge w:val="restart"/>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主要治理措施</w:t>
            </w:r>
          </w:p>
        </w:tc>
        <w:tc>
          <w:tcPr>
            <w:tcW w:w="3673" w:type="dxa"/>
            <w:gridSpan w:val="2"/>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国家或地方污染物排放标准</w:t>
            </w:r>
          </w:p>
        </w:tc>
        <w:tc>
          <w:tcPr>
            <w:tcW w:w="1249" w:type="dxa"/>
            <w:vMerge w:val="restart"/>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34" w:type="dxa"/>
            <w:vMerge w:val="continue"/>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cs="Times New Roman"/>
                <w:color w:val="auto"/>
                <w:sz w:val="21"/>
                <w:szCs w:val="21"/>
                <w:highlight w:val="yellow"/>
              </w:rPr>
            </w:pPr>
          </w:p>
        </w:tc>
        <w:tc>
          <w:tcPr>
            <w:tcW w:w="912" w:type="dxa"/>
            <w:vMerge w:val="continue"/>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cs="Times New Roman"/>
                <w:color w:val="auto"/>
                <w:sz w:val="21"/>
                <w:szCs w:val="21"/>
                <w:highlight w:val="yellow"/>
              </w:rPr>
            </w:pPr>
          </w:p>
        </w:tc>
        <w:tc>
          <w:tcPr>
            <w:tcW w:w="900" w:type="dxa"/>
            <w:vMerge w:val="continue"/>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cs="Times New Roman"/>
                <w:color w:val="auto"/>
                <w:sz w:val="21"/>
                <w:szCs w:val="21"/>
                <w:highlight w:val="yellow"/>
              </w:rPr>
            </w:pPr>
          </w:p>
        </w:tc>
        <w:tc>
          <w:tcPr>
            <w:tcW w:w="1650" w:type="dxa"/>
            <w:vMerge w:val="continue"/>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cs="Times New Roman"/>
                <w:color w:val="auto"/>
                <w:sz w:val="21"/>
                <w:szCs w:val="21"/>
                <w:highlight w:val="yellow"/>
              </w:rPr>
            </w:pPr>
          </w:p>
        </w:tc>
        <w:tc>
          <w:tcPr>
            <w:tcW w:w="2371" w:type="dxa"/>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标准名称</w:t>
            </w:r>
          </w:p>
        </w:tc>
        <w:tc>
          <w:tcPr>
            <w:tcW w:w="1302" w:type="dxa"/>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浓度限值（</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rPr>
              <w:t>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p>
        </w:tc>
        <w:tc>
          <w:tcPr>
            <w:tcW w:w="1249" w:type="dxa"/>
            <w:vMerge w:val="continue"/>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cs="Times New Roman"/>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34" w:type="dxa"/>
            <w:vMerge w:val="restart"/>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912" w:type="dxa"/>
            <w:vMerge w:val="restart"/>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养殖</w:t>
            </w:r>
            <w:r>
              <w:rPr>
                <w:rFonts w:hint="default" w:ascii="Times New Roman" w:hAnsi="Times New Roman" w:cs="Times New Roman"/>
                <w:color w:val="auto"/>
                <w:sz w:val="21"/>
                <w:szCs w:val="21"/>
                <w:highlight w:val="none"/>
                <w:lang w:val="en-US"/>
              </w:rPr>
              <w:t>区</w:t>
            </w:r>
          </w:p>
        </w:tc>
        <w:tc>
          <w:tcPr>
            <w:tcW w:w="900" w:type="dxa"/>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p>
        </w:tc>
        <w:tc>
          <w:tcPr>
            <w:tcW w:w="1650" w:type="dxa"/>
            <w:vMerge w:val="restart"/>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6"/>
                <w:sz w:val="21"/>
                <w:szCs w:val="21"/>
                <w:highlight w:val="none"/>
                <w:lang w:val="en-US"/>
              </w:rPr>
              <w:t>圈舍加强通风，并科学合理调控饲粮</w:t>
            </w:r>
            <w:r>
              <w:rPr>
                <w:rFonts w:hint="eastAsia" w:cs="Times New Roman"/>
                <w:color w:val="auto"/>
                <w:spacing w:val="-6"/>
                <w:sz w:val="21"/>
                <w:szCs w:val="21"/>
                <w:highlight w:val="none"/>
                <w:lang w:val="en-US" w:eastAsia="zh-CN"/>
              </w:rPr>
              <w:t>，</w:t>
            </w:r>
            <w:r>
              <w:rPr>
                <w:rFonts w:hint="default" w:ascii="Times New Roman" w:hAnsi="Times New Roman" w:cs="Times New Roman"/>
                <w:color w:val="auto"/>
                <w:spacing w:val="-6"/>
                <w:sz w:val="21"/>
                <w:szCs w:val="21"/>
                <w:highlight w:val="none"/>
                <w:lang w:val="en-US"/>
              </w:rPr>
              <w:t>圈舍每天定时清理粪污，减少恶臭污染物的蓄积。</w:t>
            </w:r>
          </w:p>
        </w:tc>
        <w:tc>
          <w:tcPr>
            <w:tcW w:w="2371" w:type="dxa"/>
            <w:vMerge w:val="restart"/>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《恶臭污染物排放标准》（GB14554-93）</w:t>
            </w:r>
          </w:p>
        </w:tc>
        <w:tc>
          <w:tcPr>
            <w:tcW w:w="1302" w:type="dxa"/>
            <w:vMerge w:val="restart"/>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1.5</w:t>
            </w:r>
          </w:p>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H</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S：</w:t>
            </w:r>
            <w:r>
              <w:rPr>
                <w:rFonts w:hint="default" w:ascii="Times New Roman" w:hAnsi="Times New Roman" w:cs="Times New Roman"/>
                <w:color w:val="auto"/>
                <w:sz w:val="21"/>
                <w:szCs w:val="21"/>
                <w:highlight w:val="none"/>
                <w:lang w:val="en-US" w:eastAsia="zh-CN"/>
              </w:rPr>
              <w:t>0.06</w:t>
            </w:r>
          </w:p>
        </w:tc>
        <w:tc>
          <w:tcPr>
            <w:tcW w:w="1249" w:type="dxa"/>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34" w:type="dxa"/>
            <w:vMerge w:val="continue"/>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cs="Times New Roman"/>
                <w:color w:val="auto"/>
                <w:sz w:val="21"/>
                <w:szCs w:val="21"/>
                <w:highlight w:val="none"/>
              </w:rPr>
            </w:pPr>
          </w:p>
        </w:tc>
        <w:tc>
          <w:tcPr>
            <w:tcW w:w="912" w:type="dxa"/>
            <w:vMerge w:val="continue"/>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cs="Times New Roman"/>
                <w:color w:val="auto"/>
                <w:sz w:val="21"/>
                <w:szCs w:val="21"/>
                <w:highlight w:val="none"/>
              </w:rPr>
            </w:pPr>
          </w:p>
        </w:tc>
        <w:tc>
          <w:tcPr>
            <w:tcW w:w="900" w:type="dxa"/>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S</w:t>
            </w:r>
          </w:p>
        </w:tc>
        <w:tc>
          <w:tcPr>
            <w:tcW w:w="1650" w:type="dxa"/>
            <w:vMerge w:val="continue"/>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cs="Times New Roman"/>
                <w:color w:val="auto"/>
                <w:sz w:val="21"/>
                <w:szCs w:val="21"/>
                <w:highlight w:val="none"/>
              </w:rPr>
            </w:pPr>
          </w:p>
        </w:tc>
        <w:tc>
          <w:tcPr>
            <w:tcW w:w="2371" w:type="dxa"/>
            <w:vMerge w:val="continue"/>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cs="Times New Roman"/>
                <w:color w:val="auto"/>
                <w:sz w:val="21"/>
                <w:szCs w:val="21"/>
                <w:highlight w:val="none"/>
              </w:rPr>
            </w:pPr>
          </w:p>
        </w:tc>
        <w:tc>
          <w:tcPr>
            <w:tcW w:w="1302" w:type="dxa"/>
            <w:vMerge w:val="continue"/>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cs="Times New Roman"/>
                <w:color w:val="auto"/>
                <w:sz w:val="21"/>
                <w:szCs w:val="21"/>
                <w:highlight w:val="none"/>
              </w:rPr>
            </w:pPr>
          </w:p>
        </w:tc>
        <w:tc>
          <w:tcPr>
            <w:tcW w:w="1249" w:type="dxa"/>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34" w:type="dxa"/>
            <w:vMerge w:val="restart"/>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912" w:type="dxa"/>
            <w:vMerge w:val="restart"/>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堆粪场</w:t>
            </w:r>
          </w:p>
        </w:tc>
        <w:tc>
          <w:tcPr>
            <w:tcW w:w="900" w:type="dxa"/>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p>
        </w:tc>
        <w:tc>
          <w:tcPr>
            <w:tcW w:w="1650" w:type="dxa"/>
            <w:vMerge w:val="restart"/>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喷洒除臭剂、好氧堆肥</w:t>
            </w:r>
          </w:p>
        </w:tc>
        <w:tc>
          <w:tcPr>
            <w:tcW w:w="2371" w:type="dxa"/>
            <w:vMerge w:val="continue"/>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p>
        </w:tc>
        <w:tc>
          <w:tcPr>
            <w:tcW w:w="1302" w:type="dxa"/>
            <w:vMerge w:val="continue"/>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p>
        </w:tc>
        <w:tc>
          <w:tcPr>
            <w:tcW w:w="1249" w:type="dxa"/>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34" w:type="dxa"/>
            <w:vMerge w:val="continue"/>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cs="Times New Roman"/>
                <w:color w:val="auto"/>
                <w:sz w:val="21"/>
                <w:szCs w:val="21"/>
                <w:highlight w:val="none"/>
                <w:lang w:val="en-US" w:eastAsia="zh-CN"/>
              </w:rPr>
            </w:pPr>
          </w:p>
        </w:tc>
        <w:tc>
          <w:tcPr>
            <w:tcW w:w="912" w:type="dxa"/>
            <w:vMerge w:val="continue"/>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cs="Times New Roman"/>
                <w:color w:val="auto"/>
                <w:sz w:val="21"/>
                <w:szCs w:val="21"/>
                <w:highlight w:val="none"/>
                <w:lang w:val="en-US" w:eastAsia="zh-CN"/>
              </w:rPr>
            </w:pPr>
          </w:p>
        </w:tc>
        <w:tc>
          <w:tcPr>
            <w:tcW w:w="900" w:type="dxa"/>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S</w:t>
            </w:r>
          </w:p>
        </w:tc>
        <w:tc>
          <w:tcPr>
            <w:tcW w:w="1650" w:type="dxa"/>
            <w:vMerge w:val="continue"/>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cs="Times New Roman"/>
                <w:color w:val="auto"/>
                <w:sz w:val="21"/>
                <w:szCs w:val="21"/>
                <w:highlight w:val="none"/>
              </w:rPr>
            </w:pPr>
          </w:p>
        </w:tc>
        <w:tc>
          <w:tcPr>
            <w:tcW w:w="2371" w:type="dxa"/>
            <w:vMerge w:val="continue"/>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cs="Times New Roman"/>
                <w:color w:val="auto"/>
                <w:sz w:val="21"/>
                <w:szCs w:val="21"/>
                <w:highlight w:val="none"/>
              </w:rPr>
            </w:pPr>
          </w:p>
        </w:tc>
        <w:tc>
          <w:tcPr>
            <w:tcW w:w="1302" w:type="dxa"/>
            <w:vMerge w:val="continue"/>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cs="Times New Roman"/>
                <w:color w:val="auto"/>
                <w:sz w:val="21"/>
                <w:szCs w:val="21"/>
                <w:highlight w:val="none"/>
              </w:rPr>
            </w:pPr>
          </w:p>
        </w:tc>
        <w:tc>
          <w:tcPr>
            <w:tcW w:w="1249" w:type="dxa"/>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0.00022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34" w:type="dxa"/>
            <w:vMerge w:val="restart"/>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c>
          <w:tcPr>
            <w:tcW w:w="912" w:type="dxa"/>
            <w:vMerge w:val="restart"/>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饲料</w:t>
            </w:r>
          </w:p>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加工间</w:t>
            </w:r>
          </w:p>
        </w:tc>
        <w:tc>
          <w:tcPr>
            <w:tcW w:w="900" w:type="dxa"/>
            <w:vMerge w:val="restart"/>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颗粒物</w:t>
            </w:r>
          </w:p>
        </w:tc>
        <w:tc>
          <w:tcPr>
            <w:tcW w:w="1650" w:type="dxa"/>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布袋除尘</w:t>
            </w:r>
          </w:p>
        </w:tc>
        <w:tc>
          <w:tcPr>
            <w:tcW w:w="2371" w:type="dxa"/>
            <w:vMerge w:val="restart"/>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《大气污染物综合排放标准》（GB16297-1996）</w:t>
            </w:r>
          </w:p>
        </w:tc>
        <w:tc>
          <w:tcPr>
            <w:tcW w:w="1302" w:type="dxa"/>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120</w:t>
            </w:r>
          </w:p>
        </w:tc>
        <w:tc>
          <w:tcPr>
            <w:tcW w:w="1249" w:type="dxa"/>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34" w:type="dxa"/>
            <w:vMerge w:val="continue"/>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cs="Times New Roman"/>
                <w:color w:val="auto"/>
                <w:highlight w:val="none"/>
              </w:rPr>
            </w:pPr>
          </w:p>
        </w:tc>
        <w:tc>
          <w:tcPr>
            <w:tcW w:w="912" w:type="dxa"/>
            <w:vMerge w:val="continue"/>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cs="Times New Roman"/>
                <w:color w:val="auto"/>
                <w:highlight w:val="none"/>
              </w:rPr>
            </w:pPr>
          </w:p>
        </w:tc>
        <w:tc>
          <w:tcPr>
            <w:tcW w:w="900" w:type="dxa"/>
            <w:vMerge w:val="continue"/>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cs="Times New Roman"/>
                <w:color w:val="auto"/>
                <w:highlight w:val="none"/>
              </w:rPr>
            </w:pPr>
          </w:p>
        </w:tc>
        <w:tc>
          <w:tcPr>
            <w:tcW w:w="1650" w:type="dxa"/>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2371" w:type="dxa"/>
            <w:vMerge w:val="continue"/>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cs="Times New Roman"/>
                <w:color w:val="auto"/>
                <w:sz w:val="21"/>
                <w:szCs w:val="21"/>
                <w:highlight w:val="none"/>
                <w:lang w:val="en-US" w:eastAsia="zh-CN"/>
              </w:rPr>
            </w:pPr>
          </w:p>
        </w:tc>
        <w:tc>
          <w:tcPr>
            <w:tcW w:w="1302" w:type="dxa"/>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rPr>
              <w:t>1</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rPr>
              <w:t>0</w:t>
            </w:r>
          </w:p>
        </w:tc>
        <w:tc>
          <w:tcPr>
            <w:tcW w:w="1249" w:type="dxa"/>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6" w:type="dxa"/>
            <w:gridSpan w:val="3"/>
            <w:vMerge w:val="restart"/>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cs="Times New Roman"/>
                <w:color w:val="auto"/>
                <w:sz w:val="21"/>
                <w:szCs w:val="21"/>
                <w:highlight w:val="none"/>
              </w:rPr>
            </w:pPr>
          </w:p>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合计</w:t>
            </w:r>
          </w:p>
        </w:tc>
        <w:tc>
          <w:tcPr>
            <w:tcW w:w="5323" w:type="dxa"/>
            <w:gridSpan w:val="3"/>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p>
        </w:tc>
        <w:tc>
          <w:tcPr>
            <w:tcW w:w="1249" w:type="dxa"/>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6" w:type="dxa"/>
            <w:gridSpan w:val="3"/>
            <w:vMerge w:val="continue"/>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cs="Times New Roman"/>
                <w:color w:val="auto"/>
                <w:sz w:val="21"/>
                <w:szCs w:val="21"/>
                <w:highlight w:val="none"/>
              </w:rPr>
            </w:pPr>
          </w:p>
        </w:tc>
        <w:tc>
          <w:tcPr>
            <w:tcW w:w="5323" w:type="dxa"/>
            <w:gridSpan w:val="3"/>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S</w:t>
            </w:r>
          </w:p>
        </w:tc>
        <w:tc>
          <w:tcPr>
            <w:tcW w:w="1249" w:type="dxa"/>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0.01122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6" w:type="dxa"/>
            <w:gridSpan w:val="3"/>
            <w:vMerge w:val="continue"/>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cs="Times New Roman"/>
                <w:color w:val="auto"/>
                <w:sz w:val="21"/>
                <w:szCs w:val="21"/>
                <w:highlight w:val="none"/>
              </w:rPr>
            </w:pPr>
          </w:p>
        </w:tc>
        <w:tc>
          <w:tcPr>
            <w:tcW w:w="5323" w:type="dxa"/>
            <w:gridSpan w:val="3"/>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颗粒物</w:t>
            </w:r>
          </w:p>
        </w:tc>
        <w:tc>
          <w:tcPr>
            <w:tcW w:w="1249" w:type="dxa"/>
            <w:tcBorders>
              <w:tl2br w:val="nil"/>
              <w:tr2bl w:val="nil"/>
            </w:tcBorders>
            <w:noWrap w:val="0"/>
            <w:vAlign w:val="center"/>
          </w:tcPr>
          <w:p>
            <w:pPr>
              <w:pStyle w:val="84"/>
              <w:pageBreakBefore w:val="0"/>
              <w:widowControl w:val="0"/>
              <w:kinsoku/>
              <w:wordWrap/>
              <w:overflowPunct/>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0.111</w:t>
            </w:r>
          </w:p>
        </w:tc>
      </w:tr>
    </w:tbl>
    <w:p>
      <w:pPr>
        <w:pStyle w:val="6"/>
        <w:keepNext/>
        <w:keepLines/>
        <w:pageBreakBefore w:val="0"/>
        <w:widowControl w:val="0"/>
        <w:kinsoku/>
        <w:wordWrap/>
        <w:overflowPunct/>
        <w:topLinePunct w:val="0"/>
        <w:autoSpaceDE/>
        <w:autoSpaceDN/>
        <w:bidi w:val="0"/>
        <w:adjustRightInd w:val="0"/>
        <w:snapToGrid w:val="0"/>
        <w:spacing w:before="157" w:beforeLines="50"/>
        <w:ind w:left="0" w:leftChars="0" w:right="0" w:rightChars="0"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大气环境影响评价自查表</w:t>
      </w:r>
    </w:p>
    <w:p>
      <w:pPr>
        <w:pageBreakBefore w:val="0"/>
        <w:wordWrap/>
        <w:bidi w:val="0"/>
        <w:adjustRightInd w:val="0"/>
        <w:ind w:left="0" w:leftChars="0" w:right="0" w:rightChars="0" w:firstLine="600" w:firstLineChars="25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本项目大气环境影响评价自查表见表5.2-1</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w:t>
      </w:r>
    </w:p>
    <w:p>
      <w:pPr>
        <w:pStyle w:val="50"/>
        <w:keepNext w:val="0"/>
        <w:keepLines w:val="0"/>
        <w:pageBreakBefore w:val="0"/>
        <w:widowControl w:val="0"/>
        <w:kinsoku/>
        <w:wordWrap/>
        <w:overflowPunct/>
        <w:topLinePunct w:val="0"/>
        <w:autoSpaceDE/>
        <w:autoSpaceDN/>
        <w:bidi w:val="0"/>
        <w:adjustRightInd w:val="0"/>
        <w:snapToGrid w:val="0"/>
        <w:spacing w:afterLines="0"/>
        <w:ind w:left="0" w:leftChars="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表5.2-1</w:t>
      </w:r>
      <w:r>
        <w:rPr>
          <w:rFonts w:hint="default"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 xml:space="preserve">   本项目大气环境影响评价自查表</w:t>
      </w:r>
    </w:p>
    <w:tbl>
      <w:tblPr>
        <w:tblStyle w:val="3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561"/>
        <w:gridCol w:w="1537"/>
        <w:gridCol w:w="951"/>
        <w:gridCol w:w="24"/>
        <w:gridCol w:w="514"/>
        <w:gridCol w:w="82"/>
        <w:gridCol w:w="142"/>
        <w:gridCol w:w="380"/>
        <w:gridCol w:w="170"/>
        <w:gridCol w:w="239"/>
        <w:gridCol w:w="550"/>
        <w:gridCol w:w="304"/>
        <w:gridCol w:w="354"/>
        <w:gridCol w:w="174"/>
        <w:gridCol w:w="469"/>
        <w:gridCol w:w="304"/>
        <w:gridCol w:w="341"/>
        <w:gridCol w:w="393"/>
        <w:gridCol w:w="7"/>
        <w:gridCol w:w="266"/>
        <w:gridCol w:w="85"/>
        <w:gridCol w:w="264"/>
        <w:gridCol w:w="5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blHeader/>
          <w:jc w:val="center"/>
        </w:trPr>
        <w:tc>
          <w:tcPr>
            <w:tcW w:w="1208"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工作内容</w:t>
            </w:r>
          </w:p>
        </w:tc>
        <w:tc>
          <w:tcPr>
            <w:tcW w:w="3791" w:type="pct"/>
            <w:gridSpan w:val="21"/>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自查项目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blHeader/>
          <w:jc w:val="center"/>
        </w:trPr>
        <w:tc>
          <w:tcPr>
            <w:tcW w:w="32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评价等级与范围</w:t>
            </w:r>
          </w:p>
        </w:tc>
        <w:tc>
          <w:tcPr>
            <w:tcW w:w="8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评价等级</w:t>
            </w:r>
          </w:p>
        </w:tc>
        <w:tc>
          <w:tcPr>
            <w:tcW w:w="1206" w:type="pct"/>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kern w:val="0"/>
                <w:sz w:val="21"/>
                <w:szCs w:val="21"/>
                <w:highlight w:val="none"/>
                <w:lang w:eastAsia="zh-CN"/>
              </w:rPr>
            </w:pPr>
            <w:r>
              <w:rPr>
                <w:rFonts w:hint="default" w:ascii="Times New Roman" w:hAnsi="Times New Roman" w:cs="Times New Roman"/>
                <w:snapToGrid w:val="0"/>
                <w:color w:val="auto"/>
                <w:spacing w:val="0"/>
                <w:kern w:val="0"/>
                <w:sz w:val="21"/>
                <w:szCs w:val="21"/>
                <w:highlight w:val="none"/>
              </w:rPr>
              <w:t>一级</w:t>
            </w:r>
            <w:r>
              <w:rPr>
                <w:rFonts w:hint="default" w:ascii="Times New Roman" w:hAnsi="Times New Roman" w:cs="Times New Roman"/>
                <w:snapToGrid w:val="0"/>
                <w:color w:val="auto"/>
                <w:spacing w:val="0"/>
                <w:kern w:val="0"/>
                <w:sz w:val="21"/>
                <w:szCs w:val="21"/>
                <w:highlight w:val="none"/>
                <w:lang w:eastAsia="zh-CN"/>
              </w:rPr>
              <w:t>□</w:t>
            </w:r>
          </w:p>
        </w:tc>
        <w:tc>
          <w:tcPr>
            <w:tcW w:w="2057" w:type="pct"/>
            <w:gridSpan w:val="1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kern w:val="0"/>
                <w:sz w:val="21"/>
                <w:szCs w:val="21"/>
                <w:highlight w:val="none"/>
                <w:lang w:eastAsia="zh-CN"/>
              </w:rPr>
            </w:pPr>
            <w:r>
              <w:rPr>
                <w:rFonts w:hint="default" w:ascii="Times New Roman" w:hAnsi="Times New Roman" w:cs="Times New Roman"/>
                <w:snapToGrid w:val="0"/>
                <w:color w:val="auto"/>
                <w:spacing w:val="0"/>
                <w:kern w:val="0"/>
                <w:sz w:val="21"/>
                <w:szCs w:val="21"/>
                <w:highlight w:val="none"/>
              </w:rPr>
              <w:t>二级</w:t>
            </w:r>
            <w:r>
              <w:rPr>
                <w:rFonts w:hint="default" w:ascii="Times New Roman" w:hAnsi="Times New Roman" w:cs="Times New Roman"/>
                <w:snapToGrid w:val="0"/>
                <w:color w:val="auto"/>
                <w:spacing w:val="0"/>
                <w:kern w:val="0"/>
                <w:sz w:val="21"/>
                <w:szCs w:val="21"/>
                <w:highlight w:val="none"/>
                <w:lang w:eastAsia="zh-CN"/>
              </w:rPr>
              <w:t>☑</w:t>
            </w:r>
          </w:p>
        </w:tc>
        <w:tc>
          <w:tcPr>
            <w:tcW w:w="527"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blHeader/>
          <w:jc w:val="center"/>
        </w:trPr>
        <w:tc>
          <w:tcPr>
            <w:tcW w:w="32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p>
        </w:tc>
        <w:tc>
          <w:tcPr>
            <w:tcW w:w="8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评价范围</w:t>
            </w:r>
          </w:p>
        </w:tc>
        <w:tc>
          <w:tcPr>
            <w:tcW w:w="1206" w:type="pct"/>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边长=50km□</w:t>
            </w:r>
          </w:p>
        </w:tc>
        <w:tc>
          <w:tcPr>
            <w:tcW w:w="2057" w:type="pct"/>
            <w:gridSpan w:val="1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边长5～50km□</w:t>
            </w:r>
          </w:p>
        </w:tc>
        <w:tc>
          <w:tcPr>
            <w:tcW w:w="527"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kern w:val="0"/>
                <w:sz w:val="21"/>
                <w:szCs w:val="21"/>
                <w:highlight w:val="none"/>
                <w:lang w:eastAsia="zh-CN"/>
              </w:rPr>
            </w:pPr>
            <w:r>
              <w:rPr>
                <w:rFonts w:hint="default" w:ascii="Times New Roman" w:hAnsi="Times New Roman" w:cs="Times New Roman"/>
                <w:snapToGrid w:val="0"/>
                <w:color w:val="auto"/>
                <w:spacing w:val="0"/>
                <w:kern w:val="0"/>
                <w:sz w:val="21"/>
                <w:szCs w:val="21"/>
                <w:highlight w:val="none"/>
              </w:rPr>
              <w:t>边长=5km</w:t>
            </w:r>
            <w:r>
              <w:rPr>
                <w:rFonts w:hint="default" w:ascii="Times New Roman" w:hAnsi="Times New Roman" w:cs="Times New Roman"/>
                <w:snapToGrid w:val="0"/>
                <w:color w:val="auto"/>
                <w:spacing w:val="0"/>
                <w:kern w:val="0"/>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blHeader/>
          <w:jc w:val="center"/>
        </w:trPr>
        <w:tc>
          <w:tcPr>
            <w:tcW w:w="32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评价因子</w:t>
            </w:r>
          </w:p>
        </w:tc>
        <w:tc>
          <w:tcPr>
            <w:tcW w:w="8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11"/>
                <w:kern w:val="0"/>
                <w:sz w:val="21"/>
                <w:szCs w:val="21"/>
                <w:highlight w:val="none"/>
              </w:rPr>
              <w:t>SO</w:t>
            </w:r>
            <w:r>
              <w:rPr>
                <w:rFonts w:hint="default" w:ascii="Times New Roman" w:hAnsi="Times New Roman" w:cs="Times New Roman"/>
                <w:snapToGrid w:val="0"/>
                <w:color w:val="auto"/>
                <w:spacing w:val="-11"/>
                <w:kern w:val="0"/>
                <w:sz w:val="21"/>
                <w:szCs w:val="21"/>
                <w:highlight w:val="none"/>
                <w:vertAlign w:val="subscript"/>
              </w:rPr>
              <w:t>2</w:t>
            </w:r>
            <w:r>
              <w:rPr>
                <w:rFonts w:hint="default" w:ascii="Times New Roman" w:hAnsi="Times New Roman" w:cs="Times New Roman"/>
                <w:snapToGrid w:val="0"/>
                <w:color w:val="auto"/>
                <w:spacing w:val="-11"/>
                <w:kern w:val="0"/>
                <w:sz w:val="21"/>
                <w:szCs w:val="21"/>
                <w:highlight w:val="none"/>
              </w:rPr>
              <w:t>+NOx排放量</w:t>
            </w:r>
          </w:p>
        </w:tc>
        <w:tc>
          <w:tcPr>
            <w:tcW w:w="1206" w:type="pct"/>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≥2000t/a□</w:t>
            </w:r>
          </w:p>
        </w:tc>
        <w:tc>
          <w:tcPr>
            <w:tcW w:w="2057" w:type="pct"/>
            <w:gridSpan w:val="1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500～2000t/a□</w:t>
            </w:r>
          </w:p>
        </w:tc>
        <w:tc>
          <w:tcPr>
            <w:tcW w:w="527"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&lt;500t/a□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blHeader/>
          <w:jc w:val="center"/>
        </w:trPr>
        <w:tc>
          <w:tcPr>
            <w:tcW w:w="32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p>
        </w:tc>
        <w:tc>
          <w:tcPr>
            <w:tcW w:w="8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评价因子</w:t>
            </w:r>
          </w:p>
        </w:tc>
        <w:tc>
          <w:tcPr>
            <w:tcW w:w="2683" w:type="pct"/>
            <w:gridSpan w:val="1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基本污染物（</w:t>
            </w: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10</w:t>
            </w: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2.5</w:t>
            </w:r>
            <w:r>
              <w:rPr>
                <w:rFonts w:hint="default" w:ascii="Times New Roman" w:hAnsi="Times New Roman" w:eastAsia="宋体" w:cs="Times New Roman"/>
                <w:color w:val="auto"/>
                <w:sz w:val="21"/>
                <w:szCs w:val="21"/>
                <w:highlight w:val="none"/>
              </w:rPr>
              <w:t>、CO</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O</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cs="Times New Roman"/>
                <w:snapToGrid w:val="0"/>
                <w:color w:val="auto"/>
                <w:spacing w:val="0"/>
                <w:kern w:val="0"/>
                <w:sz w:val="21"/>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其他污染物（</w:t>
            </w:r>
            <w:r>
              <w:rPr>
                <w:rFonts w:hint="default" w:ascii="Times New Roman" w:hAnsi="Times New Roman" w:cs="Times New Roman"/>
                <w:snapToGrid w:val="0"/>
                <w:color w:val="auto"/>
                <w:spacing w:val="0"/>
                <w:kern w:val="0"/>
                <w:sz w:val="21"/>
                <w:szCs w:val="21"/>
                <w:highlight w:val="none"/>
                <w:lang w:val="en-US" w:eastAsia="zh-CN"/>
              </w:rPr>
              <w:t>TSP、</w:t>
            </w:r>
            <w:r>
              <w:rPr>
                <w:rFonts w:hint="default" w:ascii="Times New Roman" w:hAnsi="Times New Roman" w:cs="Times New Roman"/>
                <w:snapToGrid w:val="0"/>
                <w:color w:val="auto"/>
                <w:spacing w:val="0"/>
                <w:kern w:val="0"/>
                <w:sz w:val="21"/>
                <w:szCs w:val="21"/>
                <w:highlight w:val="none"/>
              </w:rPr>
              <w:t>NH</w:t>
            </w:r>
            <w:r>
              <w:rPr>
                <w:rFonts w:hint="default" w:ascii="Times New Roman" w:hAnsi="Times New Roman" w:cs="Times New Roman"/>
                <w:snapToGrid w:val="0"/>
                <w:color w:val="auto"/>
                <w:spacing w:val="0"/>
                <w:kern w:val="0"/>
                <w:sz w:val="21"/>
                <w:szCs w:val="21"/>
                <w:highlight w:val="none"/>
                <w:vertAlign w:val="subscript"/>
              </w:rPr>
              <w:t>3</w:t>
            </w:r>
            <w:r>
              <w:rPr>
                <w:rFonts w:hint="default" w:ascii="Times New Roman" w:hAnsi="Times New Roman" w:cs="Times New Roman"/>
                <w:snapToGrid w:val="0"/>
                <w:color w:val="auto"/>
                <w:spacing w:val="0"/>
                <w:kern w:val="0"/>
                <w:sz w:val="21"/>
                <w:szCs w:val="21"/>
                <w:highlight w:val="none"/>
              </w:rPr>
              <w:t>、H</w:t>
            </w:r>
            <w:r>
              <w:rPr>
                <w:rFonts w:hint="default" w:ascii="Times New Roman" w:hAnsi="Times New Roman" w:cs="Times New Roman"/>
                <w:snapToGrid w:val="0"/>
                <w:color w:val="auto"/>
                <w:spacing w:val="0"/>
                <w:kern w:val="0"/>
                <w:sz w:val="21"/>
                <w:szCs w:val="21"/>
                <w:highlight w:val="none"/>
                <w:vertAlign w:val="subscript"/>
              </w:rPr>
              <w:t>2</w:t>
            </w:r>
            <w:r>
              <w:rPr>
                <w:rFonts w:hint="default" w:ascii="Times New Roman" w:hAnsi="Times New Roman" w:cs="Times New Roman"/>
                <w:snapToGrid w:val="0"/>
                <w:color w:val="auto"/>
                <w:spacing w:val="0"/>
                <w:kern w:val="0"/>
                <w:sz w:val="21"/>
                <w:szCs w:val="21"/>
                <w:highlight w:val="none"/>
              </w:rPr>
              <w:t>S</w:t>
            </w:r>
            <w:r>
              <w:rPr>
                <w:rFonts w:hint="eastAsia" w:cs="Times New Roman"/>
                <w:snapToGrid w:val="0"/>
                <w:color w:val="auto"/>
                <w:spacing w:val="0"/>
                <w:kern w:val="0"/>
                <w:sz w:val="21"/>
                <w:szCs w:val="21"/>
                <w:highlight w:val="none"/>
                <w:lang w:eastAsia="zh-CN"/>
              </w:rPr>
              <w:t>、</w:t>
            </w:r>
            <w:r>
              <w:rPr>
                <w:rFonts w:hint="eastAsia" w:cs="Times New Roman"/>
                <w:snapToGrid w:val="0"/>
                <w:color w:val="auto"/>
                <w:spacing w:val="0"/>
                <w:kern w:val="0"/>
                <w:sz w:val="21"/>
                <w:szCs w:val="21"/>
                <w:highlight w:val="none"/>
                <w:lang w:val="en-US" w:eastAsia="zh-CN"/>
              </w:rPr>
              <w:t>臭气浓度</w:t>
            </w:r>
            <w:r>
              <w:rPr>
                <w:rFonts w:hint="default" w:ascii="Times New Roman" w:hAnsi="Times New Roman" w:cs="Times New Roman"/>
                <w:snapToGrid w:val="0"/>
                <w:color w:val="auto"/>
                <w:spacing w:val="0"/>
                <w:kern w:val="0"/>
                <w:sz w:val="21"/>
                <w:szCs w:val="21"/>
                <w:highlight w:val="none"/>
              </w:rPr>
              <w:t>）</w:t>
            </w:r>
          </w:p>
        </w:tc>
        <w:tc>
          <w:tcPr>
            <w:tcW w:w="1107" w:type="pct"/>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包括二次PM</w:t>
            </w:r>
            <w:r>
              <w:rPr>
                <w:rFonts w:hint="default" w:ascii="Times New Roman" w:hAnsi="Times New Roman" w:cs="Times New Roman"/>
                <w:snapToGrid w:val="0"/>
                <w:color w:val="auto"/>
                <w:spacing w:val="0"/>
                <w:kern w:val="0"/>
                <w:sz w:val="21"/>
                <w:szCs w:val="21"/>
                <w:highlight w:val="none"/>
                <w:vertAlign w:val="subscript"/>
              </w:rPr>
              <w:t xml:space="preserve">2.5 </w:t>
            </w:r>
            <w:r>
              <w:rPr>
                <w:rFonts w:hint="default" w:ascii="Times New Roman" w:hAnsi="Times New Roman" w:cs="Times New Roman"/>
                <w:snapToGrid w:val="0"/>
                <w:color w:val="auto"/>
                <w:spacing w:val="0"/>
                <w:kern w:val="0"/>
                <w:sz w:val="21"/>
                <w:szCs w:val="21"/>
                <w:highlight w:val="none"/>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kern w:val="0"/>
                <w:sz w:val="21"/>
                <w:szCs w:val="21"/>
                <w:highlight w:val="none"/>
                <w:lang w:eastAsia="zh-CN"/>
              </w:rPr>
            </w:pPr>
            <w:r>
              <w:rPr>
                <w:rFonts w:hint="default" w:ascii="Times New Roman" w:hAnsi="Times New Roman" w:cs="Times New Roman"/>
                <w:snapToGrid w:val="0"/>
                <w:color w:val="auto"/>
                <w:spacing w:val="0"/>
                <w:kern w:val="0"/>
                <w:sz w:val="21"/>
                <w:szCs w:val="21"/>
                <w:highlight w:val="none"/>
              </w:rPr>
              <w:t>不包括二次PM</w:t>
            </w:r>
            <w:r>
              <w:rPr>
                <w:rFonts w:hint="default" w:ascii="Times New Roman" w:hAnsi="Times New Roman" w:cs="Times New Roman"/>
                <w:snapToGrid w:val="0"/>
                <w:color w:val="auto"/>
                <w:spacing w:val="0"/>
                <w:kern w:val="0"/>
                <w:sz w:val="21"/>
                <w:szCs w:val="21"/>
                <w:highlight w:val="none"/>
                <w:vertAlign w:val="subscript"/>
              </w:rPr>
              <w:t>2.5</w:t>
            </w:r>
            <w:r>
              <w:rPr>
                <w:rFonts w:hint="default" w:ascii="Times New Roman" w:hAnsi="Times New Roman" w:cs="Times New Roman"/>
                <w:snapToGrid w:val="0"/>
                <w:color w:val="auto"/>
                <w:spacing w:val="0"/>
                <w:kern w:val="0"/>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blHeader/>
          <w:jc w:val="center"/>
        </w:trPr>
        <w:tc>
          <w:tcPr>
            <w:tcW w:w="3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评价标准</w:t>
            </w:r>
          </w:p>
        </w:tc>
        <w:tc>
          <w:tcPr>
            <w:tcW w:w="8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评价标准</w:t>
            </w:r>
          </w:p>
        </w:tc>
        <w:tc>
          <w:tcPr>
            <w:tcW w:w="905"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kern w:val="0"/>
                <w:sz w:val="21"/>
                <w:szCs w:val="21"/>
                <w:highlight w:val="none"/>
                <w:lang w:eastAsia="zh-CN"/>
              </w:rPr>
            </w:pPr>
            <w:r>
              <w:rPr>
                <w:rFonts w:hint="default" w:ascii="Times New Roman" w:hAnsi="Times New Roman" w:cs="Times New Roman"/>
                <w:snapToGrid w:val="0"/>
                <w:color w:val="auto"/>
                <w:spacing w:val="0"/>
                <w:kern w:val="0"/>
                <w:sz w:val="21"/>
                <w:szCs w:val="21"/>
                <w:highlight w:val="none"/>
              </w:rPr>
              <w:t>国家标准</w:t>
            </w:r>
            <w:r>
              <w:rPr>
                <w:rFonts w:hint="default" w:ascii="Times New Roman" w:hAnsi="Times New Roman" w:cs="Times New Roman"/>
                <w:snapToGrid w:val="0"/>
                <w:color w:val="auto"/>
                <w:spacing w:val="0"/>
                <w:kern w:val="0"/>
                <w:sz w:val="21"/>
                <w:szCs w:val="21"/>
                <w:highlight w:val="none"/>
                <w:lang w:eastAsia="zh-CN"/>
              </w:rPr>
              <w:t>☑</w:t>
            </w:r>
          </w:p>
        </w:tc>
        <w:tc>
          <w:tcPr>
            <w:tcW w:w="1232" w:type="pct"/>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地方标准□</w:t>
            </w:r>
          </w:p>
        </w:tc>
        <w:tc>
          <w:tcPr>
            <w:tcW w:w="742"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kern w:val="0"/>
                <w:sz w:val="21"/>
                <w:szCs w:val="21"/>
                <w:highlight w:val="none"/>
                <w:lang w:eastAsia="zh-CN"/>
              </w:rPr>
            </w:pPr>
            <w:r>
              <w:rPr>
                <w:rFonts w:hint="default" w:ascii="Times New Roman" w:hAnsi="Times New Roman" w:cs="Times New Roman"/>
                <w:snapToGrid w:val="0"/>
                <w:color w:val="auto"/>
                <w:spacing w:val="0"/>
                <w:kern w:val="0"/>
                <w:sz w:val="21"/>
                <w:szCs w:val="21"/>
                <w:highlight w:val="none"/>
              </w:rPr>
              <w:t>附录D</w:t>
            </w:r>
            <w:r>
              <w:rPr>
                <w:rFonts w:hint="default" w:ascii="Times New Roman" w:hAnsi="Times New Roman" w:cs="Times New Roman"/>
                <w:snapToGrid w:val="0"/>
                <w:color w:val="auto"/>
                <w:spacing w:val="0"/>
                <w:kern w:val="0"/>
                <w:sz w:val="21"/>
                <w:szCs w:val="21"/>
                <w:highlight w:val="none"/>
                <w:lang w:eastAsia="zh-CN"/>
              </w:rPr>
              <w:t>☑</w:t>
            </w:r>
          </w:p>
        </w:tc>
        <w:tc>
          <w:tcPr>
            <w:tcW w:w="911" w:type="pct"/>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其他标准□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blHeader/>
          <w:jc w:val="center"/>
        </w:trPr>
        <w:tc>
          <w:tcPr>
            <w:tcW w:w="32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现状评价</w:t>
            </w:r>
          </w:p>
        </w:tc>
        <w:tc>
          <w:tcPr>
            <w:tcW w:w="8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环境功能区</w:t>
            </w:r>
          </w:p>
        </w:tc>
        <w:tc>
          <w:tcPr>
            <w:tcW w:w="1206" w:type="pct"/>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一类区□</w:t>
            </w:r>
          </w:p>
        </w:tc>
        <w:tc>
          <w:tcPr>
            <w:tcW w:w="1673" w:type="pct"/>
            <w:gridSpan w:val="9"/>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kern w:val="0"/>
                <w:sz w:val="21"/>
                <w:szCs w:val="21"/>
                <w:highlight w:val="none"/>
                <w:lang w:eastAsia="zh-CN"/>
              </w:rPr>
            </w:pPr>
            <w:r>
              <w:rPr>
                <w:rFonts w:hint="default" w:ascii="Times New Roman" w:hAnsi="Times New Roman" w:cs="Times New Roman"/>
                <w:snapToGrid w:val="0"/>
                <w:color w:val="auto"/>
                <w:spacing w:val="0"/>
                <w:kern w:val="0"/>
                <w:sz w:val="21"/>
                <w:szCs w:val="21"/>
                <w:highlight w:val="none"/>
              </w:rPr>
              <w:t>二类区</w:t>
            </w:r>
            <w:r>
              <w:rPr>
                <w:rFonts w:hint="default" w:ascii="Times New Roman" w:hAnsi="Times New Roman" w:cs="Times New Roman"/>
                <w:snapToGrid w:val="0"/>
                <w:color w:val="auto"/>
                <w:spacing w:val="0"/>
                <w:kern w:val="0"/>
                <w:sz w:val="21"/>
                <w:szCs w:val="21"/>
                <w:highlight w:val="none"/>
                <w:lang w:eastAsia="zh-CN"/>
              </w:rPr>
              <w:t>☑</w:t>
            </w:r>
          </w:p>
        </w:tc>
        <w:tc>
          <w:tcPr>
            <w:tcW w:w="911" w:type="pct"/>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11"/>
                <w:kern w:val="0"/>
                <w:sz w:val="21"/>
                <w:szCs w:val="21"/>
                <w:highlight w:val="none"/>
              </w:rPr>
              <w:t>一类区和二类区□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blHeader/>
          <w:jc w:val="center"/>
        </w:trPr>
        <w:tc>
          <w:tcPr>
            <w:tcW w:w="32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p>
        </w:tc>
        <w:tc>
          <w:tcPr>
            <w:tcW w:w="8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评价基准年</w:t>
            </w:r>
          </w:p>
        </w:tc>
        <w:tc>
          <w:tcPr>
            <w:tcW w:w="3791" w:type="pct"/>
            <w:gridSpan w:val="21"/>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（20</w:t>
            </w:r>
            <w:r>
              <w:rPr>
                <w:rFonts w:hint="default" w:ascii="Times New Roman" w:hAnsi="Times New Roman" w:cs="Times New Roman"/>
                <w:snapToGrid w:val="0"/>
                <w:color w:val="auto"/>
                <w:spacing w:val="0"/>
                <w:kern w:val="0"/>
                <w:sz w:val="21"/>
                <w:szCs w:val="21"/>
                <w:highlight w:val="none"/>
                <w:lang w:val="en-US" w:eastAsia="zh-CN"/>
              </w:rPr>
              <w:t>2</w:t>
            </w:r>
            <w:r>
              <w:rPr>
                <w:rFonts w:hint="eastAsia" w:cs="Times New Roman"/>
                <w:snapToGrid w:val="0"/>
                <w:color w:val="auto"/>
                <w:spacing w:val="0"/>
                <w:kern w:val="0"/>
                <w:sz w:val="21"/>
                <w:szCs w:val="21"/>
                <w:highlight w:val="none"/>
                <w:lang w:val="en-US" w:eastAsia="zh-CN"/>
              </w:rPr>
              <w:t>1</w:t>
            </w:r>
            <w:r>
              <w:rPr>
                <w:rFonts w:hint="default" w:ascii="Times New Roman" w:hAnsi="Times New Roman" w:cs="Times New Roman"/>
                <w:snapToGrid w:val="0"/>
                <w:color w:val="auto"/>
                <w:spacing w:val="0"/>
                <w:kern w:val="0"/>
                <w:sz w:val="21"/>
                <w:szCs w:val="21"/>
                <w:highlight w:val="none"/>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blHeader/>
          <w:jc w:val="center"/>
        </w:trPr>
        <w:tc>
          <w:tcPr>
            <w:tcW w:w="32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p>
        </w:tc>
        <w:tc>
          <w:tcPr>
            <w:tcW w:w="8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环境空气质量现状调查数据来源</w:t>
            </w:r>
          </w:p>
        </w:tc>
        <w:tc>
          <w:tcPr>
            <w:tcW w:w="1206" w:type="pct"/>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kern w:val="0"/>
                <w:sz w:val="21"/>
                <w:szCs w:val="21"/>
                <w:highlight w:val="none"/>
                <w:lang w:eastAsia="zh-CN"/>
              </w:rPr>
            </w:pPr>
            <w:r>
              <w:rPr>
                <w:rFonts w:hint="default" w:ascii="Times New Roman" w:hAnsi="Times New Roman" w:cs="Times New Roman"/>
                <w:snapToGrid w:val="0"/>
                <w:color w:val="auto"/>
                <w:spacing w:val="0"/>
                <w:kern w:val="0"/>
                <w:sz w:val="21"/>
                <w:szCs w:val="21"/>
                <w:highlight w:val="none"/>
              </w:rPr>
              <w:t>长期例行监测数据</w:t>
            </w:r>
            <w:r>
              <w:rPr>
                <w:rFonts w:hint="default" w:ascii="Times New Roman" w:hAnsi="Times New Roman" w:cs="Times New Roman"/>
                <w:snapToGrid w:val="0"/>
                <w:color w:val="auto"/>
                <w:spacing w:val="0"/>
                <w:kern w:val="0"/>
                <w:sz w:val="21"/>
                <w:szCs w:val="21"/>
                <w:highlight w:val="none"/>
                <w:lang w:eastAsia="zh-CN"/>
              </w:rPr>
              <w:t>□</w:t>
            </w:r>
          </w:p>
        </w:tc>
        <w:tc>
          <w:tcPr>
            <w:tcW w:w="1673" w:type="pct"/>
            <w:gridSpan w:val="9"/>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kern w:val="0"/>
                <w:sz w:val="21"/>
                <w:szCs w:val="21"/>
                <w:highlight w:val="none"/>
                <w:lang w:eastAsia="zh-CN"/>
              </w:rPr>
            </w:pPr>
            <w:r>
              <w:rPr>
                <w:rFonts w:hint="default" w:ascii="Times New Roman" w:hAnsi="Times New Roman" w:cs="Times New Roman"/>
                <w:snapToGrid w:val="0"/>
                <w:color w:val="auto"/>
                <w:spacing w:val="0"/>
                <w:kern w:val="0"/>
                <w:sz w:val="21"/>
                <w:szCs w:val="21"/>
                <w:highlight w:val="none"/>
              </w:rPr>
              <w:t>主管部门发布的数据</w:t>
            </w:r>
            <w:r>
              <w:rPr>
                <w:rFonts w:hint="default" w:ascii="Times New Roman" w:hAnsi="Times New Roman" w:cs="Times New Roman"/>
                <w:snapToGrid w:val="0"/>
                <w:color w:val="auto"/>
                <w:spacing w:val="0"/>
                <w:kern w:val="0"/>
                <w:sz w:val="21"/>
                <w:szCs w:val="21"/>
                <w:highlight w:val="none"/>
                <w:lang w:eastAsia="zh-CN"/>
              </w:rPr>
              <w:t>☑</w:t>
            </w:r>
          </w:p>
        </w:tc>
        <w:tc>
          <w:tcPr>
            <w:tcW w:w="911" w:type="pct"/>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kern w:val="0"/>
                <w:sz w:val="21"/>
                <w:szCs w:val="21"/>
                <w:highlight w:val="none"/>
                <w:lang w:eastAsia="zh-CN"/>
              </w:rPr>
            </w:pPr>
            <w:r>
              <w:rPr>
                <w:rFonts w:hint="default" w:ascii="Times New Roman" w:hAnsi="Times New Roman" w:cs="Times New Roman"/>
                <w:snapToGrid w:val="0"/>
                <w:color w:val="auto"/>
                <w:spacing w:val="0"/>
                <w:kern w:val="0"/>
                <w:sz w:val="21"/>
                <w:szCs w:val="21"/>
                <w:highlight w:val="none"/>
              </w:rPr>
              <w:t>现状补充监测</w:t>
            </w:r>
            <w:r>
              <w:rPr>
                <w:rFonts w:hint="default" w:ascii="Times New Roman" w:hAnsi="Times New Roman" w:cs="Times New Roman"/>
                <w:snapToGrid w:val="0"/>
                <w:color w:val="auto"/>
                <w:spacing w:val="0"/>
                <w:kern w:val="0"/>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blHeader/>
          <w:jc w:val="center"/>
        </w:trPr>
        <w:tc>
          <w:tcPr>
            <w:tcW w:w="32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p>
        </w:tc>
        <w:tc>
          <w:tcPr>
            <w:tcW w:w="8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现状评价</w:t>
            </w:r>
          </w:p>
        </w:tc>
        <w:tc>
          <w:tcPr>
            <w:tcW w:w="2508" w:type="pct"/>
            <w:gridSpan w:val="1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kern w:val="0"/>
                <w:sz w:val="21"/>
                <w:szCs w:val="21"/>
                <w:highlight w:val="none"/>
                <w:lang w:eastAsia="zh-CN"/>
              </w:rPr>
            </w:pPr>
            <w:r>
              <w:rPr>
                <w:rFonts w:hint="default" w:ascii="Times New Roman" w:hAnsi="Times New Roman" w:cs="Times New Roman"/>
                <w:snapToGrid w:val="0"/>
                <w:color w:val="auto"/>
                <w:spacing w:val="0"/>
                <w:kern w:val="0"/>
                <w:sz w:val="21"/>
                <w:szCs w:val="21"/>
                <w:highlight w:val="none"/>
              </w:rPr>
              <w:t>达标区</w:t>
            </w:r>
            <w:r>
              <w:rPr>
                <w:rFonts w:hint="default" w:ascii="Times New Roman" w:hAnsi="Times New Roman" w:cs="Times New Roman"/>
                <w:snapToGrid w:val="0"/>
                <w:color w:val="auto"/>
                <w:spacing w:val="0"/>
                <w:kern w:val="0"/>
                <w:sz w:val="21"/>
                <w:szCs w:val="21"/>
                <w:highlight w:val="none"/>
                <w:lang w:eastAsia="zh-CN"/>
              </w:rPr>
              <w:t>☑</w:t>
            </w:r>
          </w:p>
        </w:tc>
        <w:tc>
          <w:tcPr>
            <w:tcW w:w="1282" w:type="pct"/>
            <w:gridSpan w:val="8"/>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kern w:val="0"/>
                <w:sz w:val="21"/>
                <w:szCs w:val="21"/>
                <w:highlight w:val="none"/>
                <w:lang w:eastAsia="zh-CN"/>
              </w:rPr>
            </w:pPr>
            <w:r>
              <w:rPr>
                <w:rFonts w:hint="default" w:ascii="Times New Roman" w:hAnsi="Times New Roman" w:cs="Times New Roman"/>
                <w:snapToGrid w:val="0"/>
                <w:color w:val="auto"/>
                <w:spacing w:val="0"/>
                <w:kern w:val="0"/>
                <w:sz w:val="21"/>
                <w:szCs w:val="21"/>
                <w:highlight w:val="none"/>
              </w:rPr>
              <w:t>不达标区□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blHeader/>
          <w:jc w:val="center"/>
        </w:trPr>
        <w:tc>
          <w:tcPr>
            <w:tcW w:w="3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污染源调查</w:t>
            </w:r>
          </w:p>
        </w:tc>
        <w:tc>
          <w:tcPr>
            <w:tcW w:w="8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调查内容</w:t>
            </w:r>
          </w:p>
        </w:tc>
        <w:tc>
          <w:tcPr>
            <w:tcW w:w="1441" w:type="pct"/>
            <w:gridSpan w:val="8"/>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eastAsia="宋体" w:cs="Times New Roman"/>
                <w:snapToGrid w:val="0"/>
                <w:color w:val="auto"/>
                <w:spacing w:val="0"/>
                <w:kern w:val="0"/>
                <w:sz w:val="21"/>
                <w:szCs w:val="21"/>
                <w:highlight w:val="none"/>
                <w:lang w:eastAsia="zh-CN"/>
              </w:rPr>
            </w:pPr>
            <w:r>
              <w:rPr>
                <w:rFonts w:hint="default" w:ascii="Times New Roman" w:hAnsi="Times New Roman" w:cs="Times New Roman"/>
                <w:snapToGrid w:val="0"/>
                <w:color w:val="auto"/>
                <w:spacing w:val="0"/>
                <w:kern w:val="0"/>
                <w:sz w:val="21"/>
                <w:szCs w:val="21"/>
                <w:highlight w:val="none"/>
              </w:rPr>
              <w:t>本项目正常排放源</w:t>
            </w:r>
            <w:r>
              <w:rPr>
                <w:rFonts w:hint="default" w:ascii="Times New Roman" w:hAnsi="Times New Roman" w:cs="Times New Roman"/>
                <w:snapToGrid w:val="0"/>
                <w:color w:val="auto"/>
                <w:spacing w:val="0"/>
                <w:kern w:val="0"/>
                <w:sz w:val="21"/>
                <w:szCs w:val="21"/>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eastAsia="宋体" w:cs="Times New Roman"/>
                <w:snapToGrid w:val="0"/>
                <w:color w:val="auto"/>
                <w:spacing w:val="0"/>
                <w:kern w:val="0"/>
                <w:sz w:val="21"/>
                <w:szCs w:val="21"/>
                <w:highlight w:val="none"/>
                <w:lang w:eastAsia="zh-CN"/>
              </w:rPr>
            </w:pPr>
            <w:r>
              <w:rPr>
                <w:rFonts w:hint="default" w:ascii="Times New Roman" w:hAnsi="Times New Roman" w:cs="Times New Roman"/>
                <w:snapToGrid w:val="0"/>
                <w:color w:val="auto"/>
                <w:spacing w:val="0"/>
                <w:kern w:val="0"/>
                <w:sz w:val="21"/>
                <w:szCs w:val="21"/>
                <w:highlight w:val="none"/>
              </w:rPr>
              <w:t>本项目非正常排放源</w:t>
            </w:r>
            <w:r>
              <w:rPr>
                <w:rFonts w:hint="default" w:ascii="Times New Roman" w:hAnsi="Times New Roman" w:cs="Times New Roman"/>
                <w:snapToGrid w:val="0"/>
                <w:color w:val="auto"/>
                <w:spacing w:val="0"/>
                <w:kern w:val="0"/>
                <w:sz w:val="21"/>
                <w:szCs w:val="21"/>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现有污染源□</w:t>
            </w:r>
          </w:p>
        </w:tc>
        <w:tc>
          <w:tcPr>
            <w:tcW w:w="1066"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拟替代的污染源□</w:t>
            </w:r>
          </w:p>
        </w:tc>
        <w:tc>
          <w:tcPr>
            <w:tcW w:w="371"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11"/>
                <w:kern w:val="0"/>
                <w:sz w:val="21"/>
                <w:szCs w:val="21"/>
                <w:highlight w:val="none"/>
              </w:rPr>
              <w:t>其他在建、</w:t>
            </w:r>
            <w:r>
              <w:rPr>
                <w:rFonts w:hint="default" w:ascii="Times New Roman" w:hAnsi="Times New Roman" w:cs="Times New Roman"/>
                <w:snapToGrid w:val="0"/>
                <w:color w:val="auto"/>
                <w:spacing w:val="-11"/>
                <w:kern w:val="0"/>
                <w:sz w:val="21"/>
                <w:szCs w:val="21"/>
                <w:highlight w:val="none"/>
                <w:lang w:eastAsia="zh-CN"/>
              </w:rPr>
              <w:t>本项目</w:t>
            </w:r>
            <w:r>
              <w:rPr>
                <w:rFonts w:hint="default" w:ascii="Times New Roman" w:hAnsi="Times New Roman" w:cs="Times New Roman"/>
                <w:snapToGrid w:val="0"/>
                <w:color w:val="auto"/>
                <w:spacing w:val="-11"/>
                <w:kern w:val="0"/>
                <w:sz w:val="21"/>
                <w:szCs w:val="21"/>
                <w:highlight w:val="none"/>
              </w:rPr>
              <w:t>污染源□</w:t>
            </w:r>
          </w:p>
        </w:tc>
        <w:tc>
          <w:tcPr>
            <w:tcW w:w="911" w:type="pct"/>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区域污染源□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blHeader/>
          <w:jc w:val="center"/>
        </w:trPr>
        <w:tc>
          <w:tcPr>
            <w:tcW w:w="32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大气环境影响预测与评价</w:t>
            </w:r>
          </w:p>
        </w:tc>
        <w:tc>
          <w:tcPr>
            <w:tcW w:w="8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预测模型</w:t>
            </w:r>
          </w:p>
        </w:tc>
        <w:tc>
          <w:tcPr>
            <w:tcW w:w="5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w w:val="90"/>
                <w:kern w:val="0"/>
                <w:sz w:val="21"/>
                <w:szCs w:val="21"/>
                <w:highlight w:val="none"/>
              </w:rPr>
            </w:pPr>
            <w:r>
              <w:rPr>
                <w:rFonts w:hint="default" w:ascii="Times New Roman" w:hAnsi="Times New Roman" w:cs="Times New Roman"/>
                <w:snapToGrid w:val="0"/>
                <w:color w:val="auto"/>
                <w:spacing w:val="0"/>
                <w:w w:val="90"/>
                <w:kern w:val="0"/>
                <w:sz w:val="21"/>
                <w:szCs w:val="21"/>
                <w:highlight w:val="none"/>
              </w:rPr>
              <w:t>AERMOD□</w:t>
            </w:r>
          </w:p>
        </w:tc>
        <w:tc>
          <w:tcPr>
            <w:tcW w:w="439"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w w:val="90"/>
                <w:kern w:val="0"/>
                <w:sz w:val="21"/>
                <w:szCs w:val="21"/>
                <w:highlight w:val="none"/>
              </w:rPr>
            </w:pPr>
            <w:r>
              <w:rPr>
                <w:rFonts w:hint="default" w:ascii="Times New Roman" w:hAnsi="Times New Roman" w:cs="Times New Roman"/>
                <w:snapToGrid w:val="0"/>
                <w:color w:val="auto"/>
                <w:spacing w:val="0"/>
                <w:w w:val="90"/>
                <w:kern w:val="0"/>
                <w:sz w:val="21"/>
                <w:szCs w:val="21"/>
                <w:highlight w:val="none"/>
              </w:rPr>
              <w:t>ADMS□</w:t>
            </w:r>
          </w:p>
        </w:tc>
        <w:tc>
          <w:tcPr>
            <w:tcW w:w="771"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w w:val="90"/>
                <w:kern w:val="0"/>
                <w:sz w:val="21"/>
                <w:szCs w:val="21"/>
                <w:highlight w:val="none"/>
              </w:rPr>
            </w:pPr>
            <w:r>
              <w:rPr>
                <w:rFonts w:hint="default" w:ascii="Times New Roman" w:hAnsi="Times New Roman" w:cs="Times New Roman"/>
                <w:snapToGrid w:val="0"/>
                <w:color w:val="auto"/>
                <w:spacing w:val="0"/>
                <w:w w:val="90"/>
                <w:kern w:val="0"/>
                <w:sz w:val="21"/>
                <w:szCs w:val="21"/>
                <w:highlight w:val="none"/>
              </w:rPr>
              <w:t>AUSTAL2000□</w:t>
            </w:r>
          </w:p>
        </w:tc>
        <w:tc>
          <w:tcPr>
            <w:tcW w:w="749"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w w:val="90"/>
                <w:kern w:val="0"/>
                <w:sz w:val="21"/>
                <w:szCs w:val="21"/>
                <w:highlight w:val="none"/>
              </w:rPr>
            </w:pPr>
            <w:r>
              <w:rPr>
                <w:rFonts w:hint="default" w:ascii="Times New Roman" w:hAnsi="Times New Roman" w:cs="Times New Roman"/>
                <w:snapToGrid w:val="0"/>
                <w:color w:val="auto"/>
                <w:spacing w:val="0"/>
                <w:w w:val="90"/>
                <w:kern w:val="0"/>
                <w:sz w:val="21"/>
                <w:szCs w:val="21"/>
                <w:highlight w:val="none"/>
              </w:rPr>
              <w:t>EDMS/AEDT□</w:t>
            </w:r>
          </w:p>
        </w:tc>
        <w:tc>
          <w:tcPr>
            <w:tcW w:w="602"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w w:val="90"/>
                <w:kern w:val="0"/>
                <w:sz w:val="21"/>
                <w:szCs w:val="21"/>
                <w:highlight w:val="none"/>
              </w:rPr>
            </w:pPr>
            <w:r>
              <w:rPr>
                <w:rFonts w:hint="default" w:ascii="Times New Roman" w:hAnsi="Times New Roman" w:cs="Times New Roman"/>
                <w:snapToGrid w:val="0"/>
                <w:color w:val="auto"/>
                <w:spacing w:val="0"/>
                <w:w w:val="90"/>
                <w:kern w:val="0"/>
                <w:sz w:val="21"/>
                <w:szCs w:val="21"/>
                <w:highlight w:val="none"/>
              </w:rPr>
              <w:t>CALPUFF□</w:t>
            </w:r>
          </w:p>
        </w:tc>
        <w:tc>
          <w:tcPr>
            <w:tcW w:w="354"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w w:val="90"/>
                <w:kern w:val="0"/>
                <w:sz w:val="21"/>
                <w:szCs w:val="21"/>
                <w:highlight w:val="none"/>
                <w:lang w:eastAsia="zh-CN"/>
              </w:rPr>
            </w:pPr>
            <w:r>
              <w:rPr>
                <w:rFonts w:hint="default" w:ascii="Times New Roman" w:hAnsi="Times New Roman" w:cs="Times New Roman"/>
                <w:snapToGrid w:val="0"/>
                <w:color w:val="auto"/>
                <w:spacing w:val="0"/>
                <w:w w:val="90"/>
                <w:kern w:val="0"/>
                <w:sz w:val="21"/>
                <w:szCs w:val="21"/>
                <w:highlight w:val="none"/>
              </w:rPr>
              <w:t>网格模型</w:t>
            </w:r>
            <w:r>
              <w:rPr>
                <w:rFonts w:hint="default" w:ascii="Times New Roman" w:hAnsi="Times New Roman" w:cs="Times New Roman"/>
                <w:snapToGrid w:val="0"/>
                <w:color w:val="auto"/>
                <w:spacing w:val="0"/>
                <w:w w:val="90"/>
                <w:kern w:val="0"/>
                <w:sz w:val="21"/>
                <w:szCs w:val="21"/>
                <w:highlight w:val="none"/>
                <w:lang w:eastAsia="zh-CN"/>
              </w:rPr>
              <w:t>□</w:t>
            </w:r>
          </w:p>
        </w:tc>
        <w:tc>
          <w:tcPr>
            <w:tcW w:w="3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kern w:val="0"/>
                <w:sz w:val="21"/>
                <w:szCs w:val="21"/>
                <w:highlight w:val="none"/>
                <w:lang w:eastAsia="zh-CN"/>
              </w:rPr>
            </w:pPr>
            <w:r>
              <w:rPr>
                <w:rFonts w:hint="default" w:ascii="Times New Roman" w:hAnsi="Times New Roman" w:cs="Times New Roman"/>
                <w:snapToGrid w:val="0"/>
                <w:color w:val="auto"/>
                <w:spacing w:val="0"/>
                <w:kern w:val="0"/>
                <w:sz w:val="21"/>
                <w:szCs w:val="21"/>
                <w:highlight w:val="none"/>
              </w:rPr>
              <w:t>其他</w:t>
            </w:r>
            <w:r>
              <w:rPr>
                <w:rFonts w:hint="default" w:ascii="Times New Roman" w:hAnsi="Times New Roman" w:cs="Times New Roman"/>
                <w:snapToGrid w:val="0"/>
                <w:color w:val="auto"/>
                <w:spacing w:val="0"/>
                <w:kern w:val="0"/>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blHeader/>
          <w:jc w:val="center"/>
        </w:trPr>
        <w:tc>
          <w:tcPr>
            <w:tcW w:w="32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p>
        </w:tc>
        <w:tc>
          <w:tcPr>
            <w:tcW w:w="8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预测范围</w:t>
            </w:r>
          </w:p>
        </w:tc>
        <w:tc>
          <w:tcPr>
            <w:tcW w:w="1304" w:type="pct"/>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边长≥50km□</w:t>
            </w:r>
          </w:p>
        </w:tc>
        <w:tc>
          <w:tcPr>
            <w:tcW w:w="1204" w:type="pct"/>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边长5～50km□</w:t>
            </w:r>
          </w:p>
        </w:tc>
        <w:tc>
          <w:tcPr>
            <w:tcW w:w="1282" w:type="pct"/>
            <w:gridSpan w:val="8"/>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kern w:val="0"/>
                <w:sz w:val="21"/>
                <w:szCs w:val="21"/>
                <w:highlight w:val="none"/>
                <w:lang w:eastAsia="zh-CN"/>
              </w:rPr>
            </w:pPr>
            <w:r>
              <w:rPr>
                <w:rFonts w:hint="default" w:ascii="Times New Roman" w:hAnsi="Times New Roman" w:cs="Times New Roman"/>
                <w:snapToGrid w:val="0"/>
                <w:color w:val="auto"/>
                <w:spacing w:val="0"/>
                <w:kern w:val="0"/>
                <w:sz w:val="21"/>
                <w:szCs w:val="21"/>
                <w:highlight w:val="none"/>
              </w:rPr>
              <w:t>边长=5km</w:t>
            </w:r>
            <w:r>
              <w:rPr>
                <w:rFonts w:hint="default" w:ascii="Times New Roman" w:hAnsi="Times New Roman" w:cs="Times New Roman"/>
                <w:snapToGrid w:val="0"/>
                <w:color w:val="auto"/>
                <w:spacing w:val="0"/>
                <w:kern w:val="0"/>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blHeader/>
          <w:jc w:val="center"/>
        </w:trPr>
        <w:tc>
          <w:tcPr>
            <w:tcW w:w="32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p>
        </w:tc>
        <w:tc>
          <w:tcPr>
            <w:tcW w:w="8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预测因子</w:t>
            </w:r>
          </w:p>
        </w:tc>
        <w:tc>
          <w:tcPr>
            <w:tcW w:w="2238" w:type="pct"/>
            <w:gridSpan w:val="1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预测因子（</w:t>
            </w:r>
            <w:r>
              <w:rPr>
                <w:rFonts w:hint="default" w:ascii="Times New Roman" w:hAnsi="Times New Roman" w:cs="Times New Roman"/>
                <w:color w:val="auto"/>
                <w:sz w:val="21"/>
                <w:szCs w:val="21"/>
                <w:highlight w:val="none"/>
              </w:rPr>
              <w:t>H</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S、NH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TSP</w:t>
            </w:r>
            <w:r>
              <w:rPr>
                <w:rFonts w:hint="default" w:ascii="Times New Roman" w:hAnsi="Times New Roman" w:cs="Times New Roman"/>
                <w:snapToGrid w:val="0"/>
                <w:color w:val="auto"/>
                <w:spacing w:val="0"/>
                <w:kern w:val="0"/>
                <w:sz w:val="21"/>
                <w:szCs w:val="21"/>
                <w:highlight w:val="none"/>
              </w:rPr>
              <w:t>）</w:t>
            </w:r>
          </w:p>
        </w:tc>
        <w:tc>
          <w:tcPr>
            <w:tcW w:w="1552" w:type="pct"/>
            <w:gridSpan w:val="9"/>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eastAsia="宋体" w:cs="Times New Roman"/>
                <w:snapToGrid w:val="0"/>
                <w:color w:val="auto"/>
                <w:spacing w:val="0"/>
                <w:kern w:val="0"/>
                <w:sz w:val="21"/>
                <w:szCs w:val="21"/>
                <w:highlight w:val="none"/>
                <w:lang w:eastAsia="zh-CN"/>
              </w:rPr>
            </w:pPr>
            <w:r>
              <w:rPr>
                <w:rFonts w:hint="default" w:ascii="Times New Roman" w:hAnsi="Times New Roman" w:cs="Times New Roman"/>
                <w:snapToGrid w:val="0"/>
                <w:color w:val="auto"/>
                <w:spacing w:val="0"/>
                <w:kern w:val="0"/>
                <w:sz w:val="21"/>
                <w:szCs w:val="21"/>
                <w:highlight w:val="none"/>
              </w:rPr>
              <w:t>包括二次PM</w:t>
            </w:r>
            <w:r>
              <w:rPr>
                <w:rFonts w:hint="default" w:ascii="Times New Roman" w:hAnsi="Times New Roman" w:cs="Times New Roman"/>
                <w:snapToGrid w:val="0"/>
                <w:color w:val="auto"/>
                <w:spacing w:val="0"/>
                <w:kern w:val="0"/>
                <w:sz w:val="21"/>
                <w:szCs w:val="21"/>
                <w:highlight w:val="none"/>
                <w:vertAlign w:val="subscript"/>
              </w:rPr>
              <w:t>2.5</w:t>
            </w:r>
            <w:r>
              <w:rPr>
                <w:rFonts w:hint="default" w:ascii="Times New Roman" w:hAnsi="Times New Roman" w:cs="Times New Roman"/>
                <w:snapToGrid w:val="0"/>
                <w:color w:val="auto"/>
                <w:spacing w:val="0"/>
                <w:kern w:val="0"/>
                <w:sz w:val="21"/>
                <w:szCs w:val="21"/>
                <w:highlight w:val="none"/>
              </w:rPr>
              <w:t xml:space="preserve">  </w:t>
            </w:r>
            <w:r>
              <w:rPr>
                <w:rFonts w:hint="default" w:ascii="Times New Roman" w:hAnsi="Times New Roman" w:cs="Times New Roman"/>
                <w:snapToGrid w:val="0"/>
                <w:color w:val="auto"/>
                <w:spacing w:val="0"/>
                <w:kern w:val="0"/>
                <w:sz w:val="21"/>
                <w:szCs w:val="21"/>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eastAsia="宋体" w:cs="Times New Roman"/>
                <w:snapToGrid w:val="0"/>
                <w:color w:val="auto"/>
                <w:spacing w:val="0"/>
                <w:kern w:val="0"/>
                <w:sz w:val="21"/>
                <w:szCs w:val="21"/>
                <w:highlight w:val="none"/>
                <w:lang w:eastAsia="zh-CN"/>
              </w:rPr>
            </w:pPr>
            <w:r>
              <w:rPr>
                <w:rFonts w:hint="default" w:ascii="Times New Roman" w:hAnsi="Times New Roman" w:cs="Times New Roman"/>
                <w:snapToGrid w:val="0"/>
                <w:color w:val="auto"/>
                <w:spacing w:val="0"/>
                <w:kern w:val="0"/>
                <w:sz w:val="21"/>
                <w:szCs w:val="21"/>
                <w:highlight w:val="none"/>
              </w:rPr>
              <w:t>不包括二次PM</w:t>
            </w:r>
            <w:r>
              <w:rPr>
                <w:rFonts w:hint="default" w:ascii="Times New Roman" w:hAnsi="Times New Roman" w:cs="Times New Roman"/>
                <w:snapToGrid w:val="0"/>
                <w:color w:val="auto"/>
                <w:spacing w:val="0"/>
                <w:kern w:val="0"/>
                <w:sz w:val="21"/>
                <w:szCs w:val="21"/>
                <w:highlight w:val="none"/>
                <w:vertAlign w:val="subscript"/>
              </w:rPr>
              <w:t>2.5</w:t>
            </w:r>
            <w:r>
              <w:rPr>
                <w:rFonts w:hint="default" w:ascii="Times New Roman" w:hAnsi="Times New Roman" w:cs="Times New Roman"/>
                <w:snapToGrid w:val="0"/>
                <w:color w:val="auto"/>
                <w:spacing w:val="0"/>
                <w:kern w:val="0"/>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blHeader/>
          <w:jc w:val="center"/>
        </w:trPr>
        <w:tc>
          <w:tcPr>
            <w:tcW w:w="32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p>
        </w:tc>
        <w:tc>
          <w:tcPr>
            <w:tcW w:w="8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正常排放短期浓度贡献值</w:t>
            </w:r>
          </w:p>
        </w:tc>
        <w:tc>
          <w:tcPr>
            <w:tcW w:w="2238" w:type="pct"/>
            <w:gridSpan w:val="1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kern w:val="0"/>
                <w:sz w:val="21"/>
                <w:szCs w:val="21"/>
                <w:highlight w:val="none"/>
                <w:lang w:val="en-US" w:eastAsia="zh-CN"/>
              </w:rPr>
            </w:pPr>
            <w:r>
              <w:rPr>
                <w:rFonts w:hint="default" w:ascii="Times New Roman" w:hAnsi="Times New Roman" w:cs="Times New Roman"/>
                <w:snapToGrid w:val="0"/>
                <w:color w:val="auto"/>
                <w:spacing w:val="0"/>
                <w:kern w:val="0"/>
                <w:sz w:val="21"/>
                <w:szCs w:val="21"/>
                <w:highlight w:val="none"/>
              </w:rPr>
              <w:t>C</w:t>
            </w:r>
            <w:r>
              <w:rPr>
                <w:rFonts w:hint="default" w:ascii="Times New Roman" w:hAnsi="Times New Roman" w:cs="Times New Roman"/>
                <w:snapToGrid w:val="0"/>
                <w:color w:val="auto"/>
                <w:spacing w:val="0"/>
                <w:kern w:val="0"/>
                <w:sz w:val="21"/>
                <w:szCs w:val="21"/>
                <w:highlight w:val="none"/>
                <w:vertAlign w:val="subscript"/>
              </w:rPr>
              <w:t>本项目</w:t>
            </w:r>
            <w:r>
              <w:rPr>
                <w:rFonts w:hint="default" w:ascii="Times New Roman" w:hAnsi="Times New Roman" w:cs="Times New Roman"/>
                <w:snapToGrid w:val="0"/>
                <w:color w:val="auto"/>
                <w:spacing w:val="0"/>
                <w:kern w:val="0"/>
                <w:sz w:val="21"/>
                <w:szCs w:val="21"/>
                <w:highlight w:val="none"/>
              </w:rPr>
              <w:t>最大占标率≤100%（）</w:t>
            </w:r>
          </w:p>
        </w:tc>
        <w:tc>
          <w:tcPr>
            <w:tcW w:w="1552" w:type="pct"/>
            <w:gridSpan w:val="9"/>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C</w:t>
            </w:r>
            <w:r>
              <w:rPr>
                <w:rFonts w:hint="default" w:ascii="Times New Roman" w:hAnsi="Times New Roman" w:cs="Times New Roman"/>
                <w:snapToGrid w:val="0"/>
                <w:color w:val="auto"/>
                <w:spacing w:val="0"/>
                <w:kern w:val="0"/>
                <w:sz w:val="21"/>
                <w:szCs w:val="21"/>
                <w:highlight w:val="none"/>
                <w:vertAlign w:val="subscript"/>
              </w:rPr>
              <w:t>本项目</w:t>
            </w:r>
            <w:r>
              <w:rPr>
                <w:rFonts w:hint="default" w:ascii="Times New Roman" w:hAnsi="Times New Roman" w:cs="Times New Roman"/>
                <w:snapToGrid w:val="0"/>
                <w:color w:val="auto"/>
                <w:spacing w:val="0"/>
                <w:kern w:val="0"/>
                <w:sz w:val="21"/>
                <w:szCs w:val="21"/>
                <w:highlight w:val="none"/>
              </w:rPr>
              <w:t>最大占标率&gt;100%□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blHeader/>
          <w:jc w:val="center"/>
        </w:trPr>
        <w:tc>
          <w:tcPr>
            <w:tcW w:w="32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p>
        </w:tc>
        <w:tc>
          <w:tcPr>
            <w:tcW w:w="88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正常排放年均浓度贡献值</w:t>
            </w:r>
          </w:p>
        </w:tc>
        <w:tc>
          <w:tcPr>
            <w:tcW w:w="561"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一类区</w:t>
            </w:r>
          </w:p>
        </w:tc>
        <w:tc>
          <w:tcPr>
            <w:tcW w:w="1676" w:type="pct"/>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C</w:t>
            </w:r>
            <w:r>
              <w:rPr>
                <w:rFonts w:hint="default" w:ascii="Times New Roman" w:hAnsi="Times New Roman" w:cs="Times New Roman"/>
                <w:snapToGrid w:val="0"/>
                <w:color w:val="auto"/>
                <w:spacing w:val="0"/>
                <w:kern w:val="0"/>
                <w:sz w:val="21"/>
                <w:szCs w:val="21"/>
                <w:highlight w:val="none"/>
                <w:vertAlign w:val="subscript"/>
              </w:rPr>
              <w:t>本项目</w:t>
            </w:r>
            <w:r>
              <w:rPr>
                <w:rFonts w:hint="default" w:ascii="Times New Roman" w:hAnsi="Times New Roman" w:cs="Times New Roman"/>
                <w:snapToGrid w:val="0"/>
                <w:color w:val="auto"/>
                <w:spacing w:val="0"/>
                <w:kern w:val="0"/>
                <w:sz w:val="21"/>
                <w:szCs w:val="21"/>
                <w:highlight w:val="none"/>
              </w:rPr>
              <w:t>最大占标率≤10%□</w:t>
            </w:r>
          </w:p>
        </w:tc>
        <w:tc>
          <w:tcPr>
            <w:tcW w:w="1552" w:type="pct"/>
            <w:gridSpan w:val="9"/>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C</w:t>
            </w:r>
            <w:r>
              <w:rPr>
                <w:rFonts w:hint="default" w:ascii="Times New Roman" w:hAnsi="Times New Roman" w:cs="Times New Roman"/>
                <w:snapToGrid w:val="0"/>
                <w:color w:val="auto"/>
                <w:spacing w:val="0"/>
                <w:kern w:val="0"/>
                <w:sz w:val="21"/>
                <w:szCs w:val="21"/>
                <w:highlight w:val="none"/>
                <w:vertAlign w:val="subscript"/>
              </w:rPr>
              <w:t>本项目</w:t>
            </w:r>
            <w:r>
              <w:rPr>
                <w:rFonts w:hint="default" w:ascii="Times New Roman" w:hAnsi="Times New Roman" w:cs="Times New Roman"/>
                <w:snapToGrid w:val="0"/>
                <w:color w:val="auto"/>
                <w:spacing w:val="0"/>
                <w:kern w:val="0"/>
                <w:sz w:val="21"/>
                <w:szCs w:val="21"/>
                <w:highlight w:val="none"/>
              </w:rPr>
              <w:t>最大占标率&gt;10%□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blHeader/>
          <w:jc w:val="center"/>
        </w:trPr>
        <w:tc>
          <w:tcPr>
            <w:tcW w:w="32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p>
        </w:tc>
        <w:tc>
          <w:tcPr>
            <w:tcW w:w="88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p>
        </w:tc>
        <w:tc>
          <w:tcPr>
            <w:tcW w:w="561"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二类区</w:t>
            </w:r>
          </w:p>
        </w:tc>
        <w:tc>
          <w:tcPr>
            <w:tcW w:w="1676" w:type="pct"/>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kern w:val="0"/>
                <w:sz w:val="21"/>
                <w:szCs w:val="21"/>
                <w:highlight w:val="none"/>
                <w:lang w:eastAsia="zh-CN"/>
              </w:rPr>
            </w:pPr>
            <w:r>
              <w:rPr>
                <w:rFonts w:hint="default" w:ascii="Times New Roman" w:hAnsi="Times New Roman" w:cs="Times New Roman"/>
                <w:snapToGrid w:val="0"/>
                <w:color w:val="auto"/>
                <w:spacing w:val="0"/>
                <w:kern w:val="0"/>
                <w:sz w:val="21"/>
                <w:szCs w:val="21"/>
                <w:highlight w:val="none"/>
              </w:rPr>
              <w:t>C</w:t>
            </w:r>
            <w:r>
              <w:rPr>
                <w:rFonts w:hint="default" w:ascii="Times New Roman" w:hAnsi="Times New Roman" w:cs="Times New Roman"/>
                <w:snapToGrid w:val="0"/>
                <w:color w:val="auto"/>
                <w:spacing w:val="0"/>
                <w:kern w:val="0"/>
                <w:sz w:val="21"/>
                <w:szCs w:val="21"/>
                <w:highlight w:val="none"/>
                <w:vertAlign w:val="subscript"/>
              </w:rPr>
              <w:t>本项目</w:t>
            </w:r>
            <w:r>
              <w:rPr>
                <w:rFonts w:hint="default" w:ascii="Times New Roman" w:hAnsi="Times New Roman" w:cs="Times New Roman"/>
                <w:snapToGrid w:val="0"/>
                <w:color w:val="auto"/>
                <w:spacing w:val="0"/>
                <w:kern w:val="0"/>
                <w:sz w:val="21"/>
                <w:szCs w:val="21"/>
                <w:highlight w:val="none"/>
              </w:rPr>
              <w:t>最大占标率≤30%（）</w:t>
            </w:r>
          </w:p>
        </w:tc>
        <w:tc>
          <w:tcPr>
            <w:tcW w:w="1552" w:type="pct"/>
            <w:gridSpan w:val="9"/>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C</w:t>
            </w:r>
            <w:r>
              <w:rPr>
                <w:rFonts w:hint="default" w:ascii="Times New Roman" w:hAnsi="Times New Roman" w:cs="Times New Roman"/>
                <w:snapToGrid w:val="0"/>
                <w:color w:val="auto"/>
                <w:spacing w:val="0"/>
                <w:kern w:val="0"/>
                <w:sz w:val="21"/>
                <w:szCs w:val="21"/>
                <w:highlight w:val="none"/>
                <w:vertAlign w:val="subscript"/>
              </w:rPr>
              <w:t>本项目</w:t>
            </w:r>
            <w:r>
              <w:rPr>
                <w:rFonts w:hint="default" w:ascii="Times New Roman" w:hAnsi="Times New Roman" w:cs="Times New Roman"/>
                <w:snapToGrid w:val="0"/>
                <w:color w:val="auto"/>
                <w:spacing w:val="0"/>
                <w:kern w:val="0"/>
                <w:sz w:val="21"/>
                <w:szCs w:val="21"/>
                <w:highlight w:val="none"/>
              </w:rPr>
              <w:t>最大占标率&gt;30%□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blHeader/>
          <w:jc w:val="center"/>
        </w:trPr>
        <w:tc>
          <w:tcPr>
            <w:tcW w:w="32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p>
        </w:tc>
        <w:tc>
          <w:tcPr>
            <w:tcW w:w="8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非正常排放1h浓度贡献值</w:t>
            </w:r>
          </w:p>
        </w:tc>
        <w:tc>
          <w:tcPr>
            <w:tcW w:w="1304" w:type="pct"/>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非正常持续时长（ ）h</w:t>
            </w:r>
          </w:p>
        </w:tc>
        <w:tc>
          <w:tcPr>
            <w:tcW w:w="1576" w:type="pct"/>
            <w:gridSpan w:val="8"/>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C</w:t>
            </w:r>
            <w:r>
              <w:rPr>
                <w:rFonts w:hint="default" w:ascii="Times New Roman" w:hAnsi="Times New Roman" w:cs="Times New Roman"/>
                <w:snapToGrid w:val="0"/>
                <w:color w:val="auto"/>
                <w:spacing w:val="0"/>
                <w:kern w:val="0"/>
                <w:sz w:val="21"/>
                <w:szCs w:val="21"/>
                <w:highlight w:val="none"/>
                <w:vertAlign w:val="subscript"/>
              </w:rPr>
              <w:t>非正常</w:t>
            </w:r>
            <w:r>
              <w:rPr>
                <w:rFonts w:hint="default" w:ascii="Times New Roman" w:hAnsi="Times New Roman" w:cs="Times New Roman"/>
                <w:snapToGrid w:val="0"/>
                <w:color w:val="auto"/>
                <w:spacing w:val="0"/>
                <w:kern w:val="0"/>
                <w:sz w:val="21"/>
                <w:szCs w:val="21"/>
                <w:highlight w:val="none"/>
              </w:rPr>
              <w:t>占标率≤100%□</w:t>
            </w:r>
          </w:p>
        </w:tc>
        <w:tc>
          <w:tcPr>
            <w:tcW w:w="911" w:type="pct"/>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C</w:t>
            </w:r>
            <w:r>
              <w:rPr>
                <w:rFonts w:hint="default" w:ascii="Times New Roman" w:hAnsi="Times New Roman" w:cs="Times New Roman"/>
                <w:snapToGrid w:val="0"/>
                <w:color w:val="auto"/>
                <w:spacing w:val="0"/>
                <w:kern w:val="0"/>
                <w:sz w:val="21"/>
                <w:szCs w:val="21"/>
                <w:highlight w:val="none"/>
                <w:vertAlign w:val="subscript"/>
              </w:rPr>
              <w:t>非正常</w:t>
            </w:r>
            <w:r>
              <w:rPr>
                <w:rFonts w:hint="default" w:ascii="Times New Roman" w:hAnsi="Times New Roman" w:cs="Times New Roman"/>
                <w:snapToGrid w:val="0"/>
                <w:color w:val="auto"/>
                <w:spacing w:val="0"/>
                <w:kern w:val="0"/>
                <w:sz w:val="21"/>
                <w:szCs w:val="21"/>
                <w:highlight w:val="none"/>
              </w:rPr>
              <w:t>占标率&gt;100%□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blHeader/>
          <w:jc w:val="center"/>
        </w:trPr>
        <w:tc>
          <w:tcPr>
            <w:tcW w:w="32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p>
        </w:tc>
        <w:tc>
          <w:tcPr>
            <w:tcW w:w="8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保证率日平均浓度和年平均浓度叠加值</w:t>
            </w:r>
          </w:p>
        </w:tc>
        <w:tc>
          <w:tcPr>
            <w:tcW w:w="1933" w:type="pct"/>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C</w:t>
            </w:r>
            <w:r>
              <w:rPr>
                <w:rFonts w:hint="default" w:ascii="Times New Roman" w:hAnsi="Times New Roman" w:cs="Times New Roman"/>
                <w:snapToGrid w:val="0"/>
                <w:color w:val="auto"/>
                <w:spacing w:val="0"/>
                <w:kern w:val="0"/>
                <w:sz w:val="21"/>
                <w:szCs w:val="21"/>
                <w:highlight w:val="none"/>
                <w:vertAlign w:val="subscript"/>
              </w:rPr>
              <w:t>叠加</w:t>
            </w:r>
            <w:r>
              <w:rPr>
                <w:rFonts w:hint="default" w:ascii="Times New Roman" w:hAnsi="Times New Roman" w:cs="Times New Roman"/>
                <w:snapToGrid w:val="0"/>
                <w:color w:val="auto"/>
                <w:spacing w:val="0"/>
                <w:kern w:val="0"/>
                <w:sz w:val="21"/>
                <w:szCs w:val="21"/>
                <w:highlight w:val="none"/>
              </w:rPr>
              <w:t>达标□</w:t>
            </w:r>
          </w:p>
        </w:tc>
        <w:tc>
          <w:tcPr>
            <w:tcW w:w="1857" w:type="pct"/>
            <w:gridSpan w:val="11"/>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C</w:t>
            </w:r>
            <w:r>
              <w:rPr>
                <w:rFonts w:hint="default" w:ascii="Times New Roman" w:hAnsi="Times New Roman" w:cs="Times New Roman"/>
                <w:snapToGrid w:val="0"/>
                <w:color w:val="auto"/>
                <w:spacing w:val="0"/>
                <w:kern w:val="0"/>
                <w:sz w:val="21"/>
                <w:szCs w:val="21"/>
                <w:highlight w:val="none"/>
                <w:vertAlign w:val="subscript"/>
              </w:rPr>
              <w:t>叠加</w:t>
            </w:r>
            <w:r>
              <w:rPr>
                <w:rFonts w:hint="default" w:ascii="Times New Roman" w:hAnsi="Times New Roman" w:cs="Times New Roman"/>
                <w:snapToGrid w:val="0"/>
                <w:color w:val="auto"/>
                <w:spacing w:val="0"/>
                <w:kern w:val="0"/>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blHeader/>
          <w:jc w:val="center"/>
        </w:trPr>
        <w:tc>
          <w:tcPr>
            <w:tcW w:w="32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p>
        </w:tc>
        <w:tc>
          <w:tcPr>
            <w:tcW w:w="8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11"/>
                <w:kern w:val="0"/>
                <w:sz w:val="21"/>
                <w:szCs w:val="21"/>
                <w:highlight w:val="none"/>
                <w:lang w:eastAsia="zh-CN"/>
              </w:rPr>
              <w:t>区域环境质量的整体变化情况</w:t>
            </w:r>
          </w:p>
        </w:tc>
        <w:tc>
          <w:tcPr>
            <w:tcW w:w="1933" w:type="pct"/>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K≤50%□</w:t>
            </w:r>
          </w:p>
        </w:tc>
        <w:tc>
          <w:tcPr>
            <w:tcW w:w="1857" w:type="pct"/>
            <w:gridSpan w:val="11"/>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K＞20%□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blHeader/>
          <w:jc w:val="center"/>
        </w:trPr>
        <w:tc>
          <w:tcPr>
            <w:tcW w:w="32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环境监测计划</w:t>
            </w:r>
          </w:p>
        </w:tc>
        <w:tc>
          <w:tcPr>
            <w:tcW w:w="8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污染源监测</w:t>
            </w:r>
          </w:p>
        </w:tc>
        <w:tc>
          <w:tcPr>
            <w:tcW w:w="2238" w:type="pct"/>
            <w:gridSpan w:val="1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监测因子（NH</w:t>
            </w:r>
            <w:r>
              <w:rPr>
                <w:rFonts w:hint="default" w:ascii="Times New Roman" w:hAnsi="Times New Roman" w:cs="Times New Roman"/>
                <w:snapToGrid w:val="0"/>
                <w:color w:val="auto"/>
                <w:spacing w:val="0"/>
                <w:kern w:val="0"/>
                <w:sz w:val="21"/>
                <w:szCs w:val="21"/>
                <w:highlight w:val="none"/>
                <w:vertAlign w:val="subscript"/>
              </w:rPr>
              <w:t>3</w:t>
            </w:r>
            <w:r>
              <w:rPr>
                <w:rFonts w:hint="default" w:ascii="Times New Roman" w:hAnsi="Times New Roman" w:cs="Times New Roman"/>
                <w:snapToGrid w:val="0"/>
                <w:color w:val="auto"/>
                <w:spacing w:val="0"/>
                <w:kern w:val="0"/>
                <w:sz w:val="21"/>
                <w:szCs w:val="21"/>
                <w:highlight w:val="none"/>
              </w:rPr>
              <w:t>、H</w:t>
            </w:r>
            <w:r>
              <w:rPr>
                <w:rFonts w:hint="default" w:ascii="Times New Roman" w:hAnsi="Times New Roman" w:cs="Times New Roman"/>
                <w:snapToGrid w:val="0"/>
                <w:color w:val="auto"/>
                <w:spacing w:val="0"/>
                <w:kern w:val="0"/>
                <w:sz w:val="21"/>
                <w:szCs w:val="21"/>
                <w:highlight w:val="none"/>
                <w:vertAlign w:val="subscript"/>
              </w:rPr>
              <w:t>2</w:t>
            </w:r>
            <w:r>
              <w:rPr>
                <w:rFonts w:hint="default" w:ascii="Times New Roman" w:hAnsi="Times New Roman" w:cs="Times New Roman"/>
                <w:snapToGrid w:val="0"/>
                <w:color w:val="auto"/>
                <w:spacing w:val="0"/>
                <w:kern w:val="0"/>
                <w:sz w:val="21"/>
                <w:szCs w:val="21"/>
                <w:highlight w:val="none"/>
              </w:rPr>
              <w:t>S</w:t>
            </w:r>
            <w:r>
              <w:rPr>
                <w:rFonts w:hint="default" w:ascii="Times New Roman" w:hAnsi="Times New Roman" w:cs="Times New Roman"/>
                <w:snapToGrid w:val="0"/>
                <w:color w:val="auto"/>
                <w:spacing w:val="0"/>
                <w:kern w:val="0"/>
                <w:sz w:val="21"/>
                <w:szCs w:val="21"/>
                <w:highlight w:val="none"/>
                <w:lang w:eastAsia="zh-CN"/>
              </w:rPr>
              <w:t>、</w:t>
            </w:r>
            <w:r>
              <w:rPr>
                <w:rFonts w:hint="default" w:ascii="Times New Roman" w:hAnsi="Times New Roman" w:cs="Times New Roman"/>
                <w:snapToGrid w:val="0"/>
                <w:color w:val="auto"/>
                <w:spacing w:val="0"/>
                <w:kern w:val="0"/>
                <w:sz w:val="21"/>
                <w:szCs w:val="21"/>
                <w:highlight w:val="none"/>
                <w:lang w:val="en-US" w:eastAsia="zh-CN"/>
              </w:rPr>
              <w:t>颗粒物</w:t>
            </w:r>
            <w:r>
              <w:rPr>
                <w:rFonts w:hint="default" w:ascii="Times New Roman" w:hAnsi="Times New Roman" w:cs="Times New Roman"/>
                <w:snapToGrid w:val="0"/>
                <w:color w:val="auto"/>
                <w:spacing w:val="0"/>
                <w:kern w:val="0"/>
                <w:sz w:val="21"/>
                <w:szCs w:val="21"/>
                <w:highlight w:val="none"/>
              </w:rPr>
              <w:t>）</w:t>
            </w:r>
          </w:p>
        </w:tc>
        <w:tc>
          <w:tcPr>
            <w:tcW w:w="1074" w:type="pct"/>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kern w:val="0"/>
                <w:sz w:val="21"/>
                <w:szCs w:val="21"/>
                <w:highlight w:val="none"/>
                <w:lang w:eastAsia="zh-CN"/>
              </w:rPr>
            </w:pPr>
            <w:r>
              <w:rPr>
                <w:rFonts w:hint="default" w:ascii="Times New Roman" w:hAnsi="Times New Roman" w:cs="Times New Roman"/>
                <w:snapToGrid w:val="0"/>
                <w:color w:val="auto"/>
                <w:spacing w:val="0"/>
                <w:kern w:val="0"/>
                <w:sz w:val="21"/>
                <w:szCs w:val="21"/>
                <w:highlight w:val="none"/>
              </w:rPr>
              <w:t>有组织废气监测</w:t>
            </w:r>
            <w:r>
              <w:rPr>
                <w:rFonts w:hint="default" w:ascii="Times New Roman" w:hAnsi="Times New Roman" w:cs="Times New Roman"/>
                <w:snapToGrid w:val="0"/>
                <w:color w:val="auto"/>
                <w:spacing w:val="0"/>
                <w:kern w:val="0"/>
                <w:sz w:val="21"/>
                <w:szCs w:val="21"/>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kern w:val="0"/>
                <w:sz w:val="21"/>
                <w:szCs w:val="21"/>
                <w:highlight w:val="none"/>
                <w:lang w:eastAsia="zh-CN"/>
              </w:rPr>
            </w:pPr>
            <w:r>
              <w:rPr>
                <w:rFonts w:hint="default" w:ascii="Times New Roman" w:hAnsi="Times New Roman" w:cs="Times New Roman"/>
                <w:snapToGrid w:val="0"/>
                <w:color w:val="auto"/>
                <w:spacing w:val="0"/>
                <w:kern w:val="0"/>
                <w:sz w:val="21"/>
                <w:szCs w:val="21"/>
                <w:highlight w:val="none"/>
              </w:rPr>
              <w:t>无组织废气监测</w:t>
            </w:r>
            <w:r>
              <w:rPr>
                <w:rFonts w:hint="default" w:ascii="Times New Roman" w:hAnsi="Times New Roman" w:cs="Times New Roman"/>
                <w:snapToGrid w:val="0"/>
                <w:color w:val="auto"/>
                <w:spacing w:val="0"/>
                <w:kern w:val="0"/>
                <w:sz w:val="21"/>
                <w:szCs w:val="21"/>
                <w:highlight w:val="none"/>
                <w:lang w:eastAsia="zh-CN"/>
              </w:rPr>
              <w:t>☑</w:t>
            </w:r>
          </w:p>
        </w:tc>
        <w:tc>
          <w:tcPr>
            <w:tcW w:w="478"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无监测□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blHeader/>
          <w:jc w:val="center"/>
        </w:trPr>
        <w:tc>
          <w:tcPr>
            <w:tcW w:w="32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p>
        </w:tc>
        <w:tc>
          <w:tcPr>
            <w:tcW w:w="8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环境质量监测</w:t>
            </w:r>
          </w:p>
        </w:tc>
        <w:tc>
          <w:tcPr>
            <w:tcW w:w="2238" w:type="pct"/>
            <w:gridSpan w:val="1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监测因子（</w:t>
            </w:r>
            <w:r>
              <w:rPr>
                <w:rFonts w:hint="default" w:ascii="Times New Roman" w:hAnsi="Times New Roman" w:cs="Times New Roman"/>
                <w:snapToGrid w:val="0"/>
                <w:color w:val="auto"/>
                <w:spacing w:val="0"/>
                <w:kern w:val="0"/>
                <w:sz w:val="21"/>
                <w:szCs w:val="21"/>
                <w:highlight w:val="none"/>
                <w:lang w:val="en-US" w:eastAsia="zh-CN"/>
              </w:rPr>
              <w:t xml:space="preserve"> </w:t>
            </w:r>
            <w:r>
              <w:rPr>
                <w:rFonts w:hint="default" w:ascii="Times New Roman" w:hAnsi="Times New Roman" w:cs="Times New Roman"/>
                <w:snapToGrid w:val="0"/>
                <w:color w:val="auto"/>
                <w:spacing w:val="0"/>
                <w:kern w:val="0"/>
                <w:sz w:val="21"/>
                <w:szCs w:val="21"/>
                <w:highlight w:val="none"/>
              </w:rPr>
              <w:t>）</w:t>
            </w:r>
          </w:p>
        </w:tc>
        <w:tc>
          <w:tcPr>
            <w:tcW w:w="1074" w:type="pct"/>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监测点位数（</w:t>
            </w:r>
            <w:r>
              <w:rPr>
                <w:rFonts w:hint="default" w:ascii="Times New Roman" w:hAnsi="Times New Roman" w:cs="Times New Roman"/>
                <w:snapToGrid w:val="0"/>
                <w:color w:val="auto"/>
                <w:spacing w:val="0"/>
                <w:kern w:val="0"/>
                <w:sz w:val="21"/>
                <w:szCs w:val="21"/>
                <w:highlight w:val="none"/>
                <w:lang w:val="en-US" w:eastAsia="zh-CN"/>
              </w:rPr>
              <w:t xml:space="preserve"> </w:t>
            </w:r>
            <w:r>
              <w:rPr>
                <w:rFonts w:hint="default" w:ascii="Times New Roman" w:hAnsi="Times New Roman" w:cs="Times New Roman"/>
                <w:snapToGrid w:val="0"/>
                <w:color w:val="auto"/>
                <w:spacing w:val="0"/>
                <w:kern w:val="0"/>
                <w:sz w:val="21"/>
                <w:szCs w:val="21"/>
                <w:highlight w:val="none"/>
              </w:rPr>
              <w:t>）</w:t>
            </w:r>
          </w:p>
        </w:tc>
        <w:tc>
          <w:tcPr>
            <w:tcW w:w="478"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kern w:val="0"/>
                <w:sz w:val="21"/>
                <w:szCs w:val="21"/>
                <w:highlight w:val="none"/>
                <w:lang w:eastAsia="zh-CN"/>
              </w:rPr>
            </w:pPr>
            <w:r>
              <w:rPr>
                <w:rFonts w:hint="default" w:ascii="Times New Roman" w:hAnsi="Times New Roman" w:cs="Times New Roman"/>
                <w:snapToGrid w:val="0"/>
                <w:color w:val="auto"/>
                <w:spacing w:val="0"/>
                <w:kern w:val="0"/>
                <w:sz w:val="21"/>
                <w:szCs w:val="21"/>
                <w:highlight w:val="none"/>
              </w:rPr>
              <w:t>无监测</w:t>
            </w:r>
            <w:r>
              <w:rPr>
                <w:rFonts w:hint="default" w:ascii="Times New Roman" w:hAnsi="Times New Roman" w:cs="Times New Roman"/>
                <w:snapToGrid w:val="0"/>
                <w:color w:val="auto"/>
                <w:spacing w:val="0"/>
                <w:kern w:val="0"/>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blHeader/>
          <w:jc w:val="center"/>
        </w:trPr>
        <w:tc>
          <w:tcPr>
            <w:tcW w:w="32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评价结论</w:t>
            </w:r>
          </w:p>
        </w:tc>
        <w:tc>
          <w:tcPr>
            <w:tcW w:w="8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环境影响</w:t>
            </w:r>
          </w:p>
        </w:tc>
        <w:tc>
          <w:tcPr>
            <w:tcW w:w="3791" w:type="pct"/>
            <w:gridSpan w:val="21"/>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kern w:val="0"/>
                <w:sz w:val="21"/>
                <w:szCs w:val="21"/>
                <w:highlight w:val="none"/>
                <w:lang w:eastAsia="zh-CN"/>
              </w:rPr>
            </w:pPr>
            <w:r>
              <w:rPr>
                <w:rFonts w:hint="default" w:ascii="Times New Roman" w:hAnsi="Times New Roman" w:cs="Times New Roman"/>
                <w:snapToGrid w:val="0"/>
                <w:color w:val="auto"/>
                <w:spacing w:val="0"/>
                <w:kern w:val="0"/>
                <w:sz w:val="21"/>
                <w:szCs w:val="21"/>
                <w:highlight w:val="none"/>
              </w:rPr>
              <w:t>可以接受</w:t>
            </w:r>
            <w:r>
              <w:rPr>
                <w:rFonts w:hint="default" w:ascii="Times New Roman" w:hAnsi="Times New Roman" w:cs="Times New Roman"/>
                <w:snapToGrid w:val="0"/>
                <w:color w:val="auto"/>
                <w:spacing w:val="0"/>
                <w:kern w:val="0"/>
                <w:sz w:val="21"/>
                <w:szCs w:val="21"/>
                <w:highlight w:val="none"/>
                <w:lang w:eastAsia="zh-CN"/>
              </w:rPr>
              <w:t>☑</w:t>
            </w:r>
            <w:r>
              <w:rPr>
                <w:rFonts w:hint="default" w:ascii="Times New Roman" w:hAnsi="Times New Roman" w:cs="Times New Roman"/>
                <w:snapToGrid w:val="0"/>
                <w:color w:val="auto"/>
                <w:spacing w:val="0"/>
                <w:kern w:val="0"/>
                <w:sz w:val="21"/>
                <w:szCs w:val="21"/>
                <w:highlight w:val="none"/>
              </w:rPr>
              <w:t xml:space="preserve"> 不可以接受</w:t>
            </w:r>
            <w:r>
              <w:rPr>
                <w:rFonts w:hint="default" w:ascii="Times New Roman" w:hAnsi="Times New Roman" w:cs="Times New Roman"/>
                <w:snapToGrid w:val="0"/>
                <w:color w:val="auto"/>
                <w:spacing w:val="0"/>
                <w:kern w:val="0"/>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blHeader/>
          <w:jc w:val="center"/>
        </w:trPr>
        <w:tc>
          <w:tcPr>
            <w:tcW w:w="32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p>
        </w:tc>
        <w:tc>
          <w:tcPr>
            <w:tcW w:w="8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大气环境防护距离</w:t>
            </w:r>
          </w:p>
        </w:tc>
        <w:tc>
          <w:tcPr>
            <w:tcW w:w="3791" w:type="pct"/>
            <w:gridSpan w:val="21"/>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距（ ）</w:t>
            </w:r>
            <w:r>
              <w:rPr>
                <w:rFonts w:hint="default" w:ascii="Times New Roman" w:hAnsi="Times New Roman" w:cs="Times New Roman"/>
                <w:snapToGrid w:val="0"/>
                <w:color w:val="auto"/>
                <w:spacing w:val="0"/>
                <w:kern w:val="0"/>
                <w:sz w:val="21"/>
                <w:szCs w:val="21"/>
                <w:highlight w:val="none"/>
                <w:lang w:eastAsia="zh-CN"/>
              </w:rPr>
              <w:t>场界</w:t>
            </w:r>
            <w:r>
              <w:rPr>
                <w:rFonts w:hint="default" w:ascii="Times New Roman" w:hAnsi="Times New Roman" w:cs="Times New Roman"/>
                <w:snapToGrid w:val="0"/>
                <w:color w:val="auto"/>
                <w:spacing w:val="0"/>
                <w:kern w:val="0"/>
                <w:sz w:val="21"/>
                <w:szCs w:val="21"/>
                <w:highlight w:val="none"/>
              </w:rPr>
              <w:t>最远（ ）m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blHeader/>
          <w:jc w:val="center"/>
        </w:trPr>
        <w:tc>
          <w:tcPr>
            <w:tcW w:w="32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p>
        </w:tc>
        <w:tc>
          <w:tcPr>
            <w:tcW w:w="8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11"/>
                <w:kern w:val="0"/>
                <w:sz w:val="21"/>
                <w:szCs w:val="21"/>
                <w:highlight w:val="none"/>
                <w:lang w:eastAsia="zh-CN"/>
              </w:rPr>
              <w:t>污染源年排放量</w:t>
            </w:r>
          </w:p>
        </w:tc>
        <w:tc>
          <w:tcPr>
            <w:tcW w:w="858"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SO</w:t>
            </w:r>
            <w:r>
              <w:rPr>
                <w:rFonts w:hint="default" w:ascii="Times New Roman" w:hAnsi="Times New Roman" w:cs="Times New Roman"/>
                <w:snapToGrid w:val="0"/>
                <w:color w:val="auto"/>
                <w:spacing w:val="0"/>
                <w:kern w:val="0"/>
                <w:sz w:val="21"/>
                <w:szCs w:val="21"/>
                <w:highlight w:val="none"/>
                <w:vertAlign w:val="subscript"/>
              </w:rPr>
              <w:t>2</w:t>
            </w:r>
            <w:r>
              <w:rPr>
                <w:rFonts w:hint="default" w:ascii="Times New Roman" w:hAnsi="Times New Roman" w:cs="Times New Roman"/>
                <w:snapToGrid w:val="0"/>
                <w:color w:val="auto"/>
                <w:spacing w:val="0"/>
                <w:kern w:val="0"/>
                <w:sz w:val="21"/>
                <w:szCs w:val="21"/>
                <w:highlight w:val="none"/>
              </w:rPr>
              <w:t xml:space="preserve"> （0） t/a</w:t>
            </w:r>
          </w:p>
        </w:tc>
        <w:tc>
          <w:tcPr>
            <w:tcW w:w="1075" w:type="pct"/>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NOx （0） t/a</w:t>
            </w:r>
          </w:p>
        </w:tc>
        <w:tc>
          <w:tcPr>
            <w:tcW w:w="1172" w:type="pct"/>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 xml:space="preserve">颗粒物 </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w:t>
            </w:r>
            <w:r>
              <w:rPr>
                <w:rFonts w:hint="eastAsia" w:cs="Times New Roman"/>
                <w:color w:val="auto"/>
                <w:sz w:val="21"/>
                <w:szCs w:val="21"/>
                <w:highlight w:val="none"/>
                <w:lang w:val="en-US" w:eastAsia="zh-CN"/>
              </w:rPr>
              <w:t>0.111</w:t>
            </w:r>
            <w:r>
              <w:rPr>
                <w:rFonts w:hint="default" w:ascii="Times New Roman" w:hAnsi="Times New Roman" w:cs="Times New Roman"/>
                <w:snapToGrid w:val="0"/>
                <w:color w:val="auto"/>
                <w:spacing w:val="0"/>
                <w:kern w:val="0"/>
                <w:sz w:val="21"/>
                <w:szCs w:val="21"/>
                <w:highlight w:val="none"/>
              </w:rPr>
              <w:t>） t/a</w:t>
            </w:r>
          </w:p>
        </w:tc>
        <w:tc>
          <w:tcPr>
            <w:tcW w:w="684"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cs="Times New Roman"/>
                <w:snapToGrid w:val="0"/>
                <w:color w:val="auto"/>
                <w:spacing w:val="0"/>
                <w:kern w:val="0"/>
                <w:sz w:val="21"/>
                <w:szCs w:val="21"/>
                <w:highlight w:val="none"/>
              </w:rPr>
              <w:t>VOCs（0）t/a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blHeader/>
          <w:jc w:val="center"/>
        </w:trPr>
        <w:tc>
          <w:tcPr>
            <w:tcW w:w="5000" w:type="pct"/>
            <w:gridSpan w:val="2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snapToGrid w:val="0"/>
                <w:color w:val="auto"/>
                <w:spacing w:val="0"/>
                <w:kern w:val="0"/>
                <w:sz w:val="21"/>
                <w:szCs w:val="21"/>
                <w:highlight w:val="none"/>
              </w:rPr>
            </w:pPr>
            <w:r>
              <w:rPr>
                <w:rFonts w:hint="default" w:ascii="Times New Roman" w:hAnsi="Times New Roman" w:eastAsia="宋体" w:cs="Times New Roman"/>
                <w:snapToGrid w:val="0"/>
                <w:color w:val="auto"/>
                <w:spacing w:val="0"/>
                <w:kern w:val="0"/>
                <w:sz w:val="21"/>
                <w:szCs w:val="21"/>
                <w:highlight w:val="none"/>
              </w:rPr>
              <w:t>注：“□”为勾选项，填“√”；“（）”为内容填写项</w:t>
            </w:r>
          </w:p>
        </w:tc>
      </w:tr>
    </w:tbl>
    <w:p>
      <w:pPr>
        <w:pStyle w:val="5"/>
        <w:keepNext/>
        <w:keepLines/>
        <w:pageBreakBefore w:val="0"/>
        <w:widowControl w:val="0"/>
        <w:kinsoku/>
        <w:wordWrap/>
        <w:overflowPunct/>
        <w:topLinePunct w:val="0"/>
        <w:autoSpaceDE/>
        <w:autoSpaceDN/>
        <w:bidi w:val="0"/>
        <w:adjustRightInd w:val="0"/>
        <w:snapToGrid w:val="0"/>
        <w:spacing w:before="157" w:beforeLines="50"/>
        <w:ind w:left="0" w:leftChars="0" w:right="0" w:rightChars="0" w:firstLine="0" w:firstLineChars="0"/>
        <w:textAlignment w:val="auto"/>
        <w:rPr>
          <w:rFonts w:hint="default" w:ascii="Times New Roman" w:hAnsi="Times New Roman" w:cs="Times New Roman"/>
          <w:color w:val="auto"/>
          <w:highlight w:val="none"/>
        </w:rPr>
      </w:pPr>
      <w:bookmarkStart w:id="243" w:name="_Toc8601"/>
      <w:r>
        <w:rPr>
          <w:rFonts w:hint="default" w:ascii="Times New Roman" w:hAnsi="Times New Roman" w:cs="Times New Roman"/>
          <w:color w:val="auto"/>
          <w:highlight w:val="none"/>
        </w:rPr>
        <w:t>水环境影响预测与评价</w:t>
      </w:r>
      <w:bookmarkEnd w:id="243"/>
    </w:p>
    <w:p>
      <w:pPr>
        <w:pStyle w:val="6"/>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244" w:name="_Toc72235862"/>
      <w:bookmarkStart w:id="245" w:name="_Toc113250659"/>
      <w:r>
        <w:rPr>
          <w:rFonts w:hint="default" w:ascii="Times New Roman" w:hAnsi="Times New Roman" w:cs="Times New Roman"/>
          <w:color w:val="auto"/>
          <w:highlight w:val="none"/>
        </w:rPr>
        <w:t>地表水环境影响分析</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依据《环境影响评价技术导则 地表水环境》（HJ2.3-2018）中“水污染影响型建设项目评价等级判定”，注10中“建设项目生产工艺有废水产生，但作为回水利用，不外排到外环境的，按三级B评价”，确定本项目地表水评价等级为三级B。根据《环境影响评价技术导则 地表水环境》（HJ2.3-2018）“地表水环境影响预测总体要求：水污染影响三级B评价可不进行水环境影响预测”、“水污染影响型三级B主要评价内容：水污染控制和水环境影响减缓措施的有效性评价；污水处理设施的环境可行性评价”。</w:t>
      </w:r>
    </w:p>
    <w:p>
      <w:pPr>
        <w:pageBreakBefore w:val="0"/>
        <w:widowControl/>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本项目废水主要为生活污水与</w:t>
      </w:r>
      <w:r>
        <w:rPr>
          <w:rFonts w:hint="eastAsia" w:cs="Times New Roman"/>
          <w:color w:val="auto"/>
          <w:highlight w:val="none"/>
          <w:lang w:eastAsia="zh-CN"/>
        </w:rPr>
        <w:t>挤奶厅设备和地面清洗废水</w:t>
      </w:r>
      <w:r>
        <w:rPr>
          <w:rFonts w:hint="default" w:ascii="Times New Roman" w:hAnsi="Times New Roman" w:cs="Times New Roman"/>
          <w:color w:val="auto"/>
          <w:highlight w:val="none"/>
        </w:rPr>
        <w:t>，属于可生化降解性高、适合微处理、无毒废水。</w:t>
      </w:r>
      <w:r>
        <w:rPr>
          <w:rFonts w:hint="eastAsia" w:cs="Times New Roman"/>
          <w:color w:val="auto"/>
          <w:kern w:val="0"/>
          <w:sz w:val="24"/>
          <w:szCs w:val="24"/>
          <w:highlight w:val="none"/>
          <w:lang w:val="en-US" w:eastAsia="zh-CN" w:bidi="ar"/>
        </w:rPr>
        <w:t>牛尿进入垫料中，</w:t>
      </w:r>
      <w:r>
        <w:rPr>
          <w:rFonts w:hint="default" w:ascii="Times New Roman" w:hAnsi="Times New Roman" w:eastAsia="宋体" w:cs="Times New Roman"/>
          <w:color w:val="auto"/>
          <w:kern w:val="0"/>
          <w:sz w:val="24"/>
          <w:szCs w:val="24"/>
          <w:highlight w:val="none"/>
          <w:lang w:val="en-US" w:eastAsia="zh-CN" w:bidi="ar"/>
        </w:rPr>
        <w:t>部分自然蒸发，剩余</w:t>
      </w:r>
      <w:r>
        <w:rPr>
          <w:rFonts w:hint="eastAsia" w:cs="Times New Roman"/>
          <w:color w:val="auto"/>
          <w:kern w:val="0"/>
          <w:sz w:val="24"/>
          <w:szCs w:val="24"/>
          <w:highlight w:val="none"/>
          <w:lang w:val="en-US" w:eastAsia="zh-CN" w:bidi="ar"/>
        </w:rPr>
        <w:t>部分与垫料</w:t>
      </w:r>
      <w:r>
        <w:rPr>
          <w:rFonts w:hint="default" w:ascii="Times New Roman" w:hAnsi="Times New Roman" w:eastAsia="宋体" w:cs="Times New Roman"/>
          <w:color w:val="auto"/>
          <w:kern w:val="0"/>
          <w:sz w:val="24"/>
          <w:szCs w:val="24"/>
          <w:highlight w:val="none"/>
          <w:lang w:val="en-US" w:eastAsia="zh-CN" w:bidi="ar"/>
        </w:rPr>
        <w:t>一起进入</w:t>
      </w:r>
      <w:r>
        <w:rPr>
          <w:rFonts w:hint="default" w:ascii="Times New Roman" w:hAnsi="Times New Roman" w:cs="Times New Roman"/>
          <w:color w:val="auto"/>
          <w:kern w:val="0"/>
          <w:sz w:val="24"/>
          <w:szCs w:val="24"/>
          <w:highlight w:val="none"/>
          <w:lang w:val="en-US" w:eastAsia="zh-CN" w:bidi="ar"/>
        </w:rPr>
        <w:t>堆粪场</w:t>
      </w:r>
      <w:r>
        <w:rPr>
          <w:rFonts w:hint="default" w:ascii="Times New Roman" w:hAnsi="Times New Roman" w:eastAsia="宋体" w:cs="Times New Roman"/>
          <w:color w:val="auto"/>
          <w:kern w:val="0"/>
          <w:sz w:val="24"/>
          <w:szCs w:val="24"/>
          <w:highlight w:val="none"/>
          <w:lang w:val="en-US" w:eastAsia="zh-CN" w:bidi="ar"/>
        </w:rPr>
        <w:t>，不外排</w:t>
      </w:r>
      <w:r>
        <w:rPr>
          <w:rFonts w:hint="default" w:ascii="Times New Roman" w:hAnsi="Times New Roman" w:cs="Times New Roman"/>
          <w:color w:val="auto"/>
          <w:highlight w:val="none"/>
          <w:lang w:eastAsia="zh-CN"/>
        </w:rPr>
        <w:t>；</w:t>
      </w:r>
      <w:r>
        <w:rPr>
          <w:rFonts w:hint="eastAsia" w:cs="Times New Roman"/>
          <w:color w:val="auto"/>
          <w:highlight w:val="none"/>
          <w:lang w:eastAsia="zh-CN"/>
        </w:rPr>
        <w:t>挤奶厅设备和地面清洗废水</w:t>
      </w:r>
      <w:r>
        <w:rPr>
          <w:rFonts w:hint="default" w:ascii="Times New Roman" w:hAnsi="Times New Roman" w:cs="Times New Roman"/>
          <w:color w:val="auto"/>
          <w:highlight w:val="none"/>
          <w:lang w:eastAsia="zh-CN"/>
        </w:rPr>
        <w:t>及</w:t>
      </w:r>
      <w:r>
        <w:rPr>
          <w:rFonts w:hint="default" w:ascii="Times New Roman" w:hAnsi="Times New Roman" w:eastAsia="宋体" w:cs="Times New Roman"/>
          <w:color w:val="auto"/>
          <w:highlight w:val="none"/>
          <w:lang w:val="en-US" w:eastAsia="zh-CN"/>
        </w:rPr>
        <w:t>生活污水进入</w:t>
      </w:r>
      <w:r>
        <w:rPr>
          <w:rFonts w:hint="default" w:ascii="Times New Roman" w:hAnsi="Times New Roman" w:cs="Times New Roman"/>
          <w:color w:val="auto"/>
          <w:highlight w:val="none"/>
          <w:lang w:val="en-US" w:eastAsia="zh-CN"/>
        </w:rPr>
        <w:t>集污池收集</w:t>
      </w:r>
      <w:r>
        <w:rPr>
          <w:rFonts w:hint="eastAsia"/>
          <w:color w:val="auto"/>
          <w:lang w:eastAsia="zh-CN"/>
        </w:rPr>
        <w:t>，</w:t>
      </w:r>
      <w:r>
        <w:rPr>
          <w:rFonts w:hint="default" w:ascii="Times New Roman" w:hAnsi="Times New Roman" w:cs="Times New Roman"/>
          <w:color w:val="auto"/>
          <w:highlight w:val="none"/>
          <w:lang w:val="en-US" w:eastAsia="zh-CN"/>
        </w:rPr>
        <w:t>定期</w:t>
      </w:r>
      <w:r>
        <w:rPr>
          <w:rFonts w:hint="eastAsia" w:cs="Times New Roman"/>
          <w:color w:val="auto"/>
          <w:highlight w:val="none"/>
          <w:lang w:val="en-US" w:eastAsia="zh-CN"/>
        </w:rPr>
        <w:t>清掏拉运</w:t>
      </w:r>
      <w:r>
        <w:rPr>
          <w:rFonts w:hint="default" w:ascii="Times New Roman" w:hAnsi="Times New Roman" w:cs="Times New Roman"/>
          <w:color w:val="auto"/>
          <w:highlight w:val="none"/>
        </w:rPr>
        <w:t>。</w:t>
      </w:r>
    </w:p>
    <w:p>
      <w:pPr>
        <w:pStyle w:val="6"/>
        <w:pageBreakBefore w:val="0"/>
        <w:wordWrap/>
        <w:bidi w:val="0"/>
        <w:adjustRightInd w:val="0"/>
        <w:ind w:left="0" w:leftChars="0"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地下水环境影响分析</w:t>
      </w:r>
    </w:p>
    <w:p>
      <w:pPr>
        <w:pStyle w:val="7"/>
        <w:bidi w:val="0"/>
        <w:rPr>
          <w:snapToGrid w:val="0"/>
          <w:color w:val="auto"/>
          <w:kern w:val="0"/>
          <w:sz w:val="24"/>
        </w:rPr>
      </w:pPr>
      <w:r>
        <w:rPr>
          <w:rFonts w:hint="eastAsia"/>
          <w:snapToGrid w:val="0"/>
          <w:color w:val="auto"/>
          <w:kern w:val="0"/>
          <w:sz w:val="24"/>
          <w:lang w:val="en-US" w:eastAsia="zh-CN"/>
        </w:rPr>
        <w:t>项目取水对区域地下水影响分析</w:t>
      </w:r>
    </w:p>
    <w:p>
      <w:pPr>
        <w:adjustRightInd w:val="0"/>
        <w:snapToGrid w:val="0"/>
        <w:spacing w:line="360" w:lineRule="auto"/>
        <w:ind w:firstLine="480" w:firstLineChars="200"/>
        <w:rPr>
          <w:rFonts w:ascii="Times New Roman" w:hAnsi="Times New Roman"/>
          <w:color w:val="auto"/>
          <w:sz w:val="24"/>
          <w:highlight w:val="none"/>
          <w:lang w:val="zh-CN"/>
        </w:rPr>
      </w:pPr>
      <w:r>
        <w:rPr>
          <w:rFonts w:ascii="Times New Roman" w:hAnsi="Times New Roman"/>
          <w:color w:val="auto"/>
          <w:sz w:val="24"/>
          <w:highlight w:val="none"/>
          <w:lang w:val="zh-CN"/>
        </w:rPr>
        <w:t>塔城-额敏盆地地下水类型主要为第四系松散岩类孔隙潜水和承压水。基岩裂隙水主要分布于周边山区，为盆地地下水的补给区。盆地水文地质条件较好，第四系岩层覆盖较厚，地下水比较丰富，地下水含水层主要为砂层、砾石层(碎石层)和卵石层。地下水补给来源主要为大气降水入渗补给，周围山地融化的雪水补给，河流及部分渠道、农田灌溉水的渗漏补给。</w:t>
      </w:r>
    </w:p>
    <w:p>
      <w:pPr>
        <w:rPr>
          <w:snapToGrid w:val="0"/>
          <w:color w:val="auto"/>
          <w:kern w:val="0"/>
          <w:sz w:val="24"/>
          <w:highlight w:val="none"/>
        </w:rPr>
      </w:pPr>
      <w:r>
        <w:rPr>
          <w:rFonts w:hint="eastAsia"/>
          <w:snapToGrid w:val="0"/>
          <w:color w:val="auto"/>
          <w:kern w:val="0"/>
          <w:sz w:val="24"/>
          <w:highlight w:val="none"/>
        </w:rPr>
        <w:t>根据项目水平衡分析，</w:t>
      </w:r>
      <w:r>
        <w:rPr>
          <w:rFonts w:hint="eastAsia"/>
          <w:snapToGrid w:val="0"/>
          <w:color w:val="auto"/>
          <w:kern w:val="0"/>
          <w:sz w:val="24"/>
          <w:highlight w:val="none"/>
          <w:lang w:val="en-US" w:eastAsia="zh-CN"/>
        </w:rPr>
        <w:t>本项目</w:t>
      </w:r>
      <w:r>
        <w:rPr>
          <w:rFonts w:hint="eastAsia"/>
          <w:snapToGrid w:val="0"/>
          <w:color w:val="auto"/>
          <w:kern w:val="0"/>
          <w:sz w:val="24"/>
          <w:highlight w:val="none"/>
        </w:rPr>
        <w:t>年取水量为</w:t>
      </w:r>
      <w:r>
        <w:rPr>
          <w:rFonts w:hint="eastAsia"/>
          <w:snapToGrid w:val="0"/>
          <w:color w:val="auto"/>
          <w:kern w:val="0"/>
          <w:sz w:val="24"/>
          <w:highlight w:val="none"/>
          <w:lang w:val="en-US" w:eastAsia="zh-CN"/>
        </w:rPr>
        <w:t>42924</w:t>
      </w:r>
      <w:r>
        <w:rPr>
          <w:rFonts w:hint="eastAsia"/>
          <w:snapToGrid w:val="0"/>
          <w:color w:val="auto"/>
          <w:kern w:val="0"/>
          <w:sz w:val="24"/>
          <w:highlight w:val="none"/>
        </w:rPr>
        <w:t xml:space="preserve"> m</w:t>
      </w:r>
      <w:r>
        <w:rPr>
          <w:rFonts w:hint="eastAsia"/>
          <w:snapToGrid w:val="0"/>
          <w:color w:val="auto"/>
          <w:kern w:val="0"/>
          <w:sz w:val="24"/>
          <w:highlight w:val="none"/>
          <w:vertAlign w:val="superscript"/>
        </w:rPr>
        <w:t>3</w:t>
      </w:r>
      <w:r>
        <w:rPr>
          <w:rFonts w:hint="eastAsia"/>
          <w:snapToGrid w:val="0"/>
          <w:color w:val="auto"/>
          <w:kern w:val="0"/>
          <w:sz w:val="24"/>
          <w:highlight w:val="none"/>
        </w:rPr>
        <w:t>，全部取用地下水</w:t>
      </w:r>
      <w:r>
        <w:rPr>
          <w:rFonts w:hint="eastAsia"/>
          <w:snapToGrid w:val="0"/>
          <w:color w:val="auto"/>
          <w:kern w:val="0"/>
          <w:sz w:val="24"/>
          <w:highlight w:val="none"/>
          <w:lang w:val="en-US" w:eastAsia="zh-CN"/>
        </w:rPr>
        <w:t>。要求建设单位办理取水证。</w:t>
      </w:r>
      <w:r>
        <w:rPr>
          <w:rFonts w:hint="eastAsia"/>
          <w:snapToGrid w:val="0"/>
          <w:color w:val="auto"/>
          <w:kern w:val="0"/>
          <w:sz w:val="24"/>
          <w:highlight w:val="none"/>
        </w:rPr>
        <w:t>项目实施后取水对地下水取用量增加不大。</w:t>
      </w:r>
    </w:p>
    <w:p>
      <w:pPr>
        <w:pStyle w:val="7"/>
        <w:bidi w:val="0"/>
        <w:rPr>
          <w:rFonts w:hint="eastAsia"/>
          <w:snapToGrid w:val="0"/>
          <w:color w:val="auto"/>
          <w:kern w:val="0"/>
          <w:sz w:val="24"/>
          <w:lang w:val="en-US" w:eastAsia="zh-CN"/>
        </w:rPr>
      </w:pPr>
      <w:r>
        <w:rPr>
          <w:rFonts w:hint="eastAsia"/>
          <w:snapToGrid w:val="0"/>
          <w:color w:val="auto"/>
          <w:kern w:val="0"/>
          <w:sz w:val="24"/>
          <w:lang w:val="en-US" w:eastAsia="zh-CN"/>
        </w:rPr>
        <w:t>项目废水排放对区域地下水影响分析</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szCs w:val="22"/>
          <w:highlight w:val="none"/>
        </w:rPr>
        <w:t>本项目可能对地下水造成污染的途径主要有：</w:t>
      </w:r>
      <w:r>
        <w:rPr>
          <w:rFonts w:hint="default" w:ascii="Times New Roman" w:hAnsi="Times New Roman" w:cs="Times New Roman"/>
          <w:color w:val="auto"/>
          <w:szCs w:val="22"/>
          <w:highlight w:val="none"/>
          <w:lang w:eastAsia="zh-CN"/>
        </w:rPr>
        <w:t>集污池、堆粪场</w:t>
      </w:r>
      <w:r>
        <w:rPr>
          <w:rFonts w:hint="default" w:ascii="Times New Roman" w:hAnsi="Times New Roman" w:cs="Times New Roman"/>
          <w:color w:val="auto"/>
          <w:szCs w:val="22"/>
          <w:highlight w:val="none"/>
        </w:rPr>
        <w:t>等，污染的途径是</w:t>
      </w:r>
      <w:r>
        <w:rPr>
          <w:rFonts w:hint="eastAsia" w:cs="Times New Roman"/>
          <w:color w:val="auto"/>
          <w:szCs w:val="22"/>
          <w:highlight w:val="none"/>
          <w:lang w:val="en-US" w:eastAsia="zh-CN"/>
        </w:rPr>
        <w:t>废水</w:t>
      </w:r>
      <w:r>
        <w:rPr>
          <w:rFonts w:hint="default" w:ascii="Times New Roman" w:hAnsi="Times New Roman" w:cs="Times New Roman"/>
          <w:color w:val="auto"/>
          <w:szCs w:val="22"/>
          <w:highlight w:val="none"/>
        </w:rPr>
        <w:t>渗漏入表层土壤、进而迁移入深层的地下水层，从而可能影响地下水的水质</w:t>
      </w:r>
      <w:r>
        <w:rPr>
          <w:rFonts w:hint="default" w:ascii="Times New Roman" w:hAnsi="Times New Roman" w:cs="Times New Roman"/>
          <w:color w:val="auto"/>
          <w:szCs w:val="22"/>
          <w:highlight w:val="none"/>
          <w:lang w:eastAsia="zh-CN"/>
        </w:rPr>
        <w:t>，</w:t>
      </w:r>
      <w:r>
        <w:rPr>
          <w:rFonts w:hint="default" w:ascii="Times New Roman" w:hAnsi="Times New Roman" w:cs="Times New Roman"/>
          <w:bCs/>
          <w:color w:val="auto"/>
          <w:sz w:val="24"/>
          <w:highlight w:val="none"/>
        </w:rPr>
        <w:t>污染途径主要以入渗型为主</w:t>
      </w:r>
      <w:r>
        <w:rPr>
          <w:rFonts w:hint="default" w:ascii="Times New Roman" w:hAnsi="Times New Roman" w:cs="Times New Roman"/>
          <w:color w:val="auto"/>
          <w:szCs w:val="22"/>
          <w:highlight w:val="none"/>
        </w:rPr>
        <w:t>。</w:t>
      </w:r>
    </w:p>
    <w:p>
      <w:pPr>
        <w:pageBreakBefore w:val="0"/>
        <w:wordWrap/>
        <w:bidi w:val="0"/>
        <w:adjustRightInd w:val="0"/>
        <w:ind w:left="0" w:leftChars="0" w:right="0" w:rightChars="0" w:firstLine="480"/>
        <w:rPr>
          <w:rFonts w:hint="default" w:ascii="Times New Roman" w:hAnsi="Times New Roman" w:cs="Times New Roman"/>
          <w:color w:val="auto"/>
          <w:spacing w:val="-6"/>
          <w:sz w:val="24"/>
          <w:szCs w:val="22"/>
          <w:highlight w:val="none"/>
        </w:rPr>
      </w:pPr>
      <w:r>
        <w:rPr>
          <w:rFonts w:hint="default" w:ascii="Times New Roman" w:hAnsi="Times New Roman" w:cs="Times New Roman"/>
          <w:color w:val="auto"/>
          <w:spacing w:val="-6"/>
          <w:sz w:val="24"/>
          <w:szCs w:val="22"/>
          <w:highlight w:val="none"/>
        </w:rPr>
        <w:t>项目运营时的排水主要为生活污水和</w:t>
      </w:r>
      <w:r>
        <w:rPr>
          <w:rFonts w:hint="default" w:ascii="Times New Roman" w:hAnsi="Times New Roman" w:cs="Times New Roman"/>
          <w:color w:val="auto"/>
          <w:spacing w:val="-6"/>
          <w:sz w:val="24"/>
          <w:szCs w:val="22"/>
          <w:highlight w:val="none"/>
          <w:lang w:eastAsia="zh-CN"/>
        </w:rPr>
        <w:t>生产废水</w:t>
      </w:r>
      <w:r>
        <w:rPr>
          <w:rFonts w:hint="default" w:ascii="Times New Roman" w:hAnsi="Times New Roman" w:cs="Times New Roman"/>
          <w:color w:val="auto"/>
          <w:spacing w:val="-6"/>
          <w:sz w:val="24"/>
          <w:szCs w:val="22"/>
          <w:highlight w:val="none"/>
        </w:rPr>
        <w:t>。</w:t>
      </w:r>
      <w:r>
        <w:rPr>
          <w:rFonts w:hint="eastAsia" w:cs="Times New Roman"/>
          <w:color w:val="auto"/>
          <w:kern w:val="0"/>
          <w:sz w:val="24"/>
          <w:szCs w:val="24"/>
          <w:highlight w:val="none"/>
          <w:lang w:val="en-US" w:eastAsia="zh-CN" w:bidi="ar"/>
        </w:rPr>
        <w:t>牛尿进入垫料中，</w:t>
      </w:r>
      <w:r>
        <w:rPr>
          <w:rFonts w:hint="default" w:ascii="Times New Roman" w:hAnsi="Times New Roman" w:eastAsia="宋体" w:cs="Times New Roman"/>
          <w:color w:val="auto"/>
          <w:kern w:val="0"/>
          <w:sz w:val="24"/>
          <w:szCs w:val="24"/>
          <w:highlight w:val="none"/>
          <w:lang w:val="en-US" w:eastAsia="zh-CN" w:bidi="ar"/>
        </w:rPr>
        <w:t>部分自然蒸发，剩余</w:t>
      </w:r>
      <w:r>
        <w:rPr>
          <w:rFonts w:hint="eastAsia" w:cs="Times New Roman"/>
          <w:color w:val="auto"/>
          <w:kern w:val="0"/>
          <w:sz w:val="24"/>
          <w:szCs w:val="24"/>
          <w:highlight w:val="none"/>
          <w:lang w:val="en-US" w:eastAsia="zh-CN" w:bidi="ar"/>
        </w:rPr>
        <w:t>部分与垫料</w:t>
      </w:r>
      <w:r>
        <w:rPr>
          <w:rFonts w:hint="default" w:ascii="Times New Roman" w:hAnsi="Times New Roman" w:eastAsia="宋体" w:cs="Times New Roman"/>
          <w:color w:val="auto"/>
          <w:kern w:val="0"/>
          <w:sz w:val="24"/>
          <w:szCs w:val="24"/>
          <w:highlight w:val="none"/>
          <w:lang w:val="en-US" w:eastAsia="zh-CN" w:bidi="ar"/>
        </w:rPr>
        <w:t>一起进入</w:t>
      </w:r>
      <w:r>
        <w:rPr>
          <w:rFonts w:hint="default" w:ascii="Times New Roman" w:hAnsi="Times New Roman" w:cs="Times New Roman"/>
          <w:color w:val="auto"/>
          <w:kern w:val="0"/>
          <w:sz w:val="24"/>
          <w:szCs w:val="24"/>
          <w:highlight w:val="none"/>
          <w:lang w:val="en-US" w:eastAsia="zh-CN" w:bidi="ar"/>
        </w:rPr>
        <w:t>堆粪场</w:t>
      </w:r>
      <w:r>
        <w:rPr>
          <w:rFonts w:hint="default" w:ascii="Times New Roman" w:hAnsi="Times New Roman" w:eastAsia="宋体" w:cs="Times New Roman"/>
          <w:color w:val="auto"/>
          <w:kern w:val="0"/>
          <w:sz w:val="24"/>
          <w:szCs w:val="24"/>
          <w:highlight w:val="none"/>
          <w:lang w:val="en-US" w:eastAsia="zh-CN" w:bidi="ar"/>
        </w:rPr>
        <w:t>，不外排</w:t>
      </w:r>
      <w:r>
        <w:rPr>
          <w:rFonts w:hint="default" w:ascii="Times New Roman" w:hAnsi="Times New Roman" w:cs="Times New Roman"/>
          <w:color w:val="auto"/>
          <w:spacing w:val="-6"/>
          <w:sz w:val="24"/>
          <w:highlight w:val="none"/>
        </w:rPr>
        <w:t>。</w:t>
      </w:r>
      <w:r>
        <w:rPr>
          <w:rFonts w:hint="default" w:ascii="Times New Roman" w:hAnsi="Times New Roman" w:cs="Times New Roman"/>
          <w:color w:val="auto"/>
          <w:spacing w:val="-6"/>
          <w:sz w:val="24"/>
          <w:highlight w:val="none"/>
          <w:lang w:eastAsia="zh-CN"/>
        </w:rPr>
        <w:t>生产</w:t>
      </w:r>
      <w:r>
        <w:rPr>
          <w:rFonts w:hint="default" w:ascii="Times New Roman" w:hAnsi="Times New Roman" w:cs="Times New Roman"/>
          <w:color w:val="auto"/>
          <w:spacing w:val="-6"/>
          <w:sz w:val="24"/>
          <w:highlight w:val="none"/>
        </w:rPr>
        <w:t>废水主要为</w:t>
      </w:r>
      <w:r>
        <w:rPr>
          <w:rFonts w:hint="eastAsia" w:cs="Times New Roman"/>
          <w:color w:val="auto"/>
          <w:spacing w:val="-6"/>
          <w:sz w:val="24"/>
          <w:highlight w:val="none"/>
          <w:lang w:eastAsia="zh-CN"/>
        </w:rPr>
        <w:t>挤奶厅设备和地面清洗废水</w:t>
      </w:r>
      <w:r>
        <w:rPr>
          <w:rFonts w:hint="default" w:ascii="Times New Roman" w:hAnsi="Times New Roman" w:eastAsia="宋体" w:cs="Times New Roman"/>
          <w:color w:val="auto"/>
          <w:spacing w:val="0"/>
          <w:kern w:val="21"/>
          <w:position w:val="0"/>
          <w:sz w:val="24"/>
          <w:szCs w:val="24"/>
          <w:highlight w:val="none"/>
        </w:rPr>
        <w:t>全部排入</w:t>
      </w:r>
      <w:r>
        <w:rPr>
          <w:rFonts w:hint="default" w:ascii="Times New Roman" w:hAnsi="Times New Roman" w:cs="Times New Roman"/>
          <w:color w:val="auto"/>
          <w:spacing w:val="0"/>
          <w:kern w:val="21"/>
          <w:position w:val="0"/>
          <w:sz w:val="24"/>
          <w:szCs w:val="24"/>
          <w:highlight w:val="none"/>
          <w:lang w:eastAsia="zh-CN"/>
        </w:rPr>
        <w:t>集污池</w:t>
      </w:r>
      <w:r>
        <w:rPr>
          <w:rFonts w:hint="default" w:ascii="Times New Roman" w:hAnsi="Times New Roman" w:eastAsia="宋体" w:cs="Times New Roman"/>
          <w:color w:val="auto"/>
          <w:spacing w:val="0"/>
          <w:kern w:val="21"/>
          <w:position w:val="0"/>
          <w:sz w:val="24"/>
          <w:szCs w:val="24"/>
          <w:highlight w:val="none"/>
          <w:lang w:eastAsia="zh-CN"/>
        </w:rPr>
        <w:t>后定期清掏</w:t>
      </w:r>
      <w:r>
        <w:rPr>
          <w:rFonts w:hint="default" w:ascii="Times New Roman" w:hAnsi="Times New Roman" w:cs="Times New Roman"/>
          <w:color w:val="auto"/>
          <w:spacing w:val="-6"/>
          <w:sz w:val="24"/>
          <w:highlight w:val="none"/>
        </w:rPr>
        <w:t>；</w:t>
      </w:r>
      <w:r>
        <w:rPr>
          <w:rFonts w:hint="default" w:ascii="Times New Roman" w:hAnsi="Times New Roman" w:eastAsia="宋体" w:cs="Times New Roman"/>
          <w:color w:val="auto"/>
          <w:spacing w:val="-6"/>
          <w:sz w:val="24"/>
          <w:highlight w:val="none"/>
          <w:lang w:val="en-US" w:eastAsia="zh-CN"/>
        </w:rPr>
        <w:t>生活污水进入</w:t>
      </w:r>
      <w:r>
        <w:rPr>
          <w:rFonts w:hint="default" w:ascii="Times New Roman" w:hAnsi="Times New Roman" w:cs="Times New Roman"/>
          <w:color w:val="auto"/>
          <w:spacing w:val="-6"/>
          <w:sz w:val="24"/>
          <w:highlight w:val="none"/>
          <w:lang w:val="en-US" w:eastAsia="zh-CN"/>
        </w:rPr>
        <w:t>集污池收集定期</w:t>
      </w:r>
      <w:r>
        <w:rPr>
          <w:rFonts w:hint="eastAsia" w:cs="Times New Roman"/>
          <w:color w:val="auto"/>
          <w:spacing w:val="-6"/>
          <w:sz w:val="24"/>
          <w:highlight w:val="none"/>
          <w:lang w:val="en-US" w:eastAsia="zh-CN"/>
        </w:rPr>
        <w:t>清掏拉运</w:t>
      </w:r>
      <w:r>
        <w:rPr>
          <w:rFonts w:hint="default" w:ascii="Times New Roman" w:hAnsi="Times New Roman" w:cs="Times New Roman"/>
          <w:color w:val="auto"/>
          <w:spacing w:val="-6"/>
          <w:sz w:val="24"/>
          <w:szCs w:val="22"/>
          <w:highlight w:val="none"/>
        </w:rPr>
        <w:t>。</w:t>
      </w:r>
    </w:p>
    <w:p>
      <w:pPr>
        <w:keepNext w:val="0"/>
        <w:keepLines w:val="0"/>
        <w:pageBreakBefore w:val="0"/>
        <w:widowControl/>
        <w:suppressLineNumbers w:val="0"/>
        <w:wordWrap/>
        <w:bidi w:val="0"/>
        <w:adjustRightInd w:val="0"/>
        <w:ind w:left="0" w:leftChars="0" w:right="0" w:rightChars="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根据《环境影响评价技术导则</w:t>
      </w:r>
      <w:r>
        <w:rPr>
          <w:rFonts w:hint="default" w:ascii="Times New Roman" w:hAnsi="Times New Roman"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地下水环境》（HJ610</w:t>
      </w:r>
      <w:r>
        <w:rPr>
          <w:rFonts w:hint="default" w:ascii="Times New Roman" w:hAnsi="Times New Roman"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2016）要求，本项目地下水评价等级为三级。按照导则要求，地下水</w:t>
      </w:r>
      <w:r>
        <w:rPr>
          <w:rFonts w:hint="eastAsia" w:cs="Times New Roman"/>
          <w:color w:val="auto"/>
          <w:kern w:val="0"/>
          <w:sz w:val="24"/>
          <w:szCs w:val="24"/>
          <w:highlight w:val="none"/>
          <w:lang w:val="en-US" w:eastAsia="zh-CN" w:bidi="ar"/>
        </w:rPr>
        <w:t>影响预</w:t>
      </w:r>
      <w:r>
        <w:rPr>
          <w:rFonts w:hint="eastAsia" w:ascii="Times New Roman" w:hAnsi="Times New Roman" w:eastAsia="宋体" w:cs="Times New Roman"/>
          <w:color w:val="auto"/>
          <w:kern w:val="0"/>
          <w:sz w:val="24"/>
          <w:szCs w:val="24"/>
          <w:highlight w:val="none"/>
          <w:lang w:val="en-US" w:eastAsia="zh-CN" w:bidi="ar"/>
        </w:rPr>
        <w:t>测</w:t>
      </w:r>
      <w:r>
        <w:rPr>
          <w:rFonts w:hint="default" w:ascii="Times New Roman" w:hAnsi="Times New Roman" w:eastAsia="宋体" w:cs="Times New Roman"/>
          <w:color w:val="auto"/>
          <w:kern w:val="0"/>
          <w:sz w:val="24"/>
          <w:szCs w:val="24"/>
          <w:highlight w:val="none"/>
          <w:lang w:val="en-US" w:eastAsia="zh-CN" w:bidi="ar"/>
        </w:rPr>
        <w:t>可采用解析法或</w:t>
      </w:r>
      <w:r>
        <w:rPr>
          <w:rFonts w:hint="eastAsia" w:ascii="Times New Roman" w:hAnsi="Times New Roman" w:eastAsia="宋体" w:cs="Times New Roman"/>
          <w:color w:val="auto"/>
          <w:kern w:val="0"/>
          <w:sz w:val="24"/>
          <w:szCs w:val="24"/>
          <w:highlight w:val="none"/>
          <w:lang w:val="en-US" w:eastAsia="zh-CN" w:bidi="ar"/>
        </w:rPr>
        <w:t>类比分析法</w:t>
      </w:r>
      <w:r>
        <w:rPr>
          <w:rFonts w:hint="default" w:ascii="Times New Roman" w:hAnsi="Times New Roman" w:eastAsia="宋体" w:cs="Times New Roman"/>
          <w:color w:val="auto"/>
          <w:kern w:val="0"/>
          <w:sz w:val="24"/>
          <w:szCs w:val="24"/>
          <w:highlight w:val="none"/>
          <w:lang w:val="en-US" w:eastAsia="zh-CN" w:bidi="ar"/>
        </w:rPr>
        <w:t xml:space="preserve">，本次地下水环境影响预测评价采用解析法。通过模拟典型污染因子在地下水中的迁移过程，进一步分析污染物影响范围和超标范围。 </w:t>
      </w:r>
    </w:p>
    <w:p>
      <w:pPr>
        <w:keepNext w:val="0"/>
        <w:keepLines w:val="0"/>
        <w:pageBreakBefore w:val="0"/>
        <w:widowControl/>
        <w:suppressLineNumbers w:val="0"/>
        <w:wordWrap/>
        <w:bidi w:val="0"/>
        <w:adjustRightInd w:val="0"/>
        <w:ind w:left="0" w:leftChars="0" w:right="0" w:rightChars="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按地下水导则，本项目按照</w:t>
      </w:r>
      <w:r>
        <w:rPr>
          <w:rFonts w:hint="eastAsia" w:cs="Times New Roman"/>
          <w:color w:val="auto"/>
          <w:kern w:val="0"/>
          <w:sz w:val="24"/>
          <w:szCs w:val="24"/>
          <w:highlight w:val="none"/>
          <w:lang w:val="en-US" w:eastAsia="zh-CN" w:bidi="ar"/>
        </w:rPr>
        <w:t>要求</w:t>
      </w:r>
      <w:r>
        <w:rPr>
          <w:rFonts w:hint="default" w:ascii="Times New Roman" w:hAnsi="Times New Roman" w:eastAsia="宋体" w:cs="Times New Roman"/>
          <w:color w:val="auto"/>
          <w:kern w:val="0"/>
          <w:sz w:val="24"/>
          <w:szCs w:val="24"/>
          <w:highlight w:val="none"/>
          <w:lang w:val="en-US" w:eastAsia="zh-CN" w:bidi="ar"/>
        </w:rPr>
        <w:t xml:space="preserve">进行防渗后，可不预测正常情况下污水下渗影响，仅预测非正常（废水发生渗漏而不知情）情况下地下水影响。 </w:t>
      </w:r>
    </w:p>
    <w:p>
      <w:pPr>
        <w:pStyle w:val="20"/>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lang w:val="en-US" w:eastAsia="zh-CN"/>
        </w:rPr>
        <w:t>（1）</w:t>
      </w:r>
      <w:r>
        <w:rPr>
          <w:rFonts w:hint="default" w:ascii="Times New Roman" w:hAnsi="Times New Roman" w:cs="Times New Roman"/>
          <w:bCs/>
          <w:color w:val="auto"/>
          <w:sz w:val="24"/>
          <w:highlight w:val="none"/>
        </w:rPr>
        <w:t>污染源</w:t>
      </w:r>
    </w:p>
    <w:p>
      <w:pPr>
        <w:keepNext w:val="0"/>
        <w:keepLines w:val="0"/>
        <w:pageBreakBefore w:val="0"/>
        <w:widowControl/>
        <w:suppressLineNumbers w:val="0"/>
        <w:wordWrap/>
        <w:bidi w:val="0"/>
        <w:adjustRightInd w:val="0"/>
        <w:ind w:left="0" w:leftChars="0" w:right="0" w:rightChars="0"/>
        <w:jc w:val="left"/>
        <w:rPr>
          <w:rFonts w:hint="default" w:ascii="Times New Roman" w:hAnsi="Times New Roman" w:eastAsia="宋体" w:cs="Times New Roman"/>
          <w:color w:val="auto"/>
          <w:kern w:val="0"/>
          <w:sz w:val="24"/>
          <w:szCs w:val="24"/>
          <w:highlight w:val="yellow"/>
          <w:lang w:val="en-US" w:eastAsia="zh-CN" w:bidi="ar"/>
        </w:rPr>
      </w:pPr>
      <w:r>
        <w:rPr>
          <w:rFonts w:hint="default" w:ascii="Times New Roman" w:hAnsi="Times New Roman" w:eastAsia="宋体" w:cs="Times New Roman"/>
          <w:color w:val="auto"/>
          <w:kern w:val="0"/>
          <w:sz w:val="24"/>
          <w:szCs w:val="24"/>
          <w:highlight w:val="none"/>
          <w:lang w:val="en-US" w:eastAsia="zh-CN" w:bidi="ar"/>
        </w:rPr>
        <w:t>正常工况下，由于废水达标排放，工程排污不会对地下水环境产生影响，因此该工程对区域水环境的影响主要考虑非正常状况下，项目对区域水环境造成的影响。非正常工况主要指</w:t>
      </w:r>
      <w:r>
        <w:rPr>
          <w:rFonts w:hint="default" w:ascii="Times New Roman" w:hAnsi="Times New Roman" w:cs="Times New Roman"/>
          <w:color w:val="auto"/>
          <w:kern w:val="0"/>
          <w:sz w:val="24"/>
          <w:szCs w:val="24"/>
          <w:highlight w:val="none"/>
          <w:lang w:val="en-US" w:eastAsia="zh-CN" w:bidi="ar"/>
        </w:rPr>
        <w:t>堆粪场</w:t>
      </w:r>
      <w:r>
        <w:rPr>
          <w:rFonts w:hint="default" w:ascii="Times New Roman" w:hAnsi="Times New Roman" w:cs="Times New Roman"/>
          <w:color w:val="auto"/>
          <w:highlight w:val="none"/>
          <w:lang w:eastAsia="zh-CN"/>
        </w:rPr>
        <w:t>、</w:t>
      </w:r>
      <w:r>
        <w:rPr>
          <w:rFonts w:hint="eastAsia" w:cs="Times New Roman"/>
          <w:color w:val="auto"/>
          <w:highlight w:val="none"/>
          <w:lang w:val="en-US" w:eastAsia="zh-CN"/>
        </w:rPr>
        <w:t>集污池</w:t>
      </w:r>
      <w:r>
        <w:rPr>
          <w:rFonts w:hint="default" w:ascii="Times New Roman" w:hAnsi="Times New Roman" w:eastAsia="宋体" w:cs="Times New Roman"/>
          <w:color w:val="auto"/>
          <w:kern w:val="0"/>
          <w:sz w:val="24"/>
          <w:szCs w:val="24"/>
          <w:highlight w:val="none"/>
          <w:lang w:val="en-US" w:eastAsia="zh-CN" w:bidi="ar"/>
        </w:rPr>
        <w:t>等人工防渗材料破损出现渗漏等情景。根据企业的实际情况分析，项目</w:t>
      </w:r>
      <w:r>
        <w:rPr>
          <w:rFonts w:hint="default" w:ascii="Times New Roman" w:hAnsi="Times New Roman" w:cs="Times New Roman"/>
          <w:color w:val="auto"/>
          <w:kern w:val="0"/>
          <w:sz w:val="24"/>
          <w:szCs w:val="24"/>
          <w:highlight w:val="none"/>
          <w:lang w:val="en-US" w:eastAsia="zh-CN" w:bidi="ar"/>
        </w:rPr>
        <w:t>堆粪场</w:t>
      </w:r>
      <w:r>
        <w:rPr>
          <w:rFonts w:hint="default" w:ascii="Times New Roman" w:hAnsi="Times New Roman" w:cs="Times New Roman"/>
          <w:color w:val="auto"/>
          <w:highlight w:val="none"/>
          <w:lang w:eastAsia="zh-CN"/>
        </w:rPr>
        <w:t>、</w:t>
      </w:r>
      <w:r>
        <w:rPr>
          <w:rFonts w:hint="eastAsia" w:cs="Times New Roman"/>
          <w:color w:val="auto"/>
          <w:highlight w:val="none"/>
          <w:lang w:val="en-US" w:eastAsia="zh-CN"/>
        </w:rPr>
        <w:t>集污池</w:t>
      </w:r>
      <w:r>
        <w:rPr>
          <w:rFonts w:hint="default" w:ascii="Times New Roman" w:hAnsi="Times New Roman" w:eastAsia="宋体" w:cs="Times New Roman"/>
          <w:color w:val="auto"/>
          <w:kern w:val="0"/>
          <w:sz w:val="24"/>
          <w:szCs w:val="24"/>
          <w:highlight w:val="none"/>
          <w:lang w:val="en-US" w:eastAsia="zh-CN" w:bidi="ar"/>
        </w:rPr>
        <w:t>均进行了防渗处理，采用干清粪养殖工艺，粪便日产日清，圈舍对地下水的影响较小。根据项目实际情况，</w:t>
      </w:r>
      <w:r>
        <w:rPr>
          <w:rFonts w:hint="default" w:ascii="Times New Roman" w:hAnsi="Times New Roman" w:cs="Times New Roman"/>
          <w:color w:val="auto"/>
          <w:kern w:val="0"/>
          <w:sz w:val="24"/>
          <w:szCs w:val="24"/>
          <w:highlight w:val="none"/>
          <w:lang w:val="en-US" w:eastAsia="zh-CN" w:bidi="ar"/>
        </w:rPr>
        <w:t>主要</w:t>
      </w:r>
      <w:r>
        <w:rPr>
          <w:rFonts w:hint="default" w:ascii="Times New Roman" w:hAnsi="Times New Roman" w:eastAsia="宋体" w:cs="Times New Roman"/>
          <w:color w:val="auto"/>
          <w:kern w:val="0"/>
          <w:sz w:val="24"/>
          <w:szCs w:val="24"/>
          <w:highlight w:val="none"/>
          <w:lang w:val="en-US" w:eastAsia="zh-CN" w:bidi="ar"/>
        </w:rPr>
        <w:t>考虑</w:t>
      </w:r>
      <w:r>
        <w:rPr>
          <w:rFonts w:hint="default" w:ascii="Times New Roman" w:hAnsi="Times New Roman" w:cs="Times New Roman"/>
          <w:color w:val="auto"/>
          <w:kern w:val="0"/>
          <w:sz w:val="24"/>
          <w:szCs w:val="24"/>
          <w:highlight w:val="none"/>
          <w:lang w:val="en-US" w:eastAsia="zh-CN" w:bidi="ar"/>
        </w:rPr>
        <w:t>堆粪场</w:t>
      </w:r>
      <w:r>
        <w:rPr>
          <w:rFonts w:hint="default" w:ascii="Times New Roman" w:hAnsi="Times New Roman" w:eastAsia="宋体" w:cs="Times New Roman"/>
          <w:color w:val="auto"/>
          <w:kern w:val="0"/>
          <w:sz w:val="24"/>
          <w:szCs w:val="24"/>
          <w:highlight w:val="none"/>
          <w:lang w:val="en-US" w:eastAsia="zh-CN" w:bidi="ar"/>
        </w:rPr>
        <w:t>防渗</w:t>
      </w:r>
      <w:r>
        <w:rPr>
          <w:rFonts w:hint="eastAsia" w:cs="Times New Roman"/>
          <w:color w:val="auto"/>
          <w:kern w:val="0"/>
          <w:sz w:val="24"/>
          <w:szCs w:val="24"/>
          <w:highlight w:val="none"/>
          <w:lang w:val="en-US" w:eastAsia="zh-CN" w:bidi="ar"/>
        </w:rPr>
        <w:t>层</w:t>
      </w:r>
      <w:r>
        <w:rPr>
          <w:rFonts w:hint="default" w:ascii="Times New Roman" w:hAnsi="Times New Roman" w:eastAsia="宋体" w:cs="Times New Roman"/>
          <w:color w:val="auto"/>
          <w:kern w:val="0"/>
          <w:sz w:val="24"/>
          <w:szCs w:val="24"/>
          <w:highlight w:val="none"/>
          <w:lang w:val="en-US" w:eastAsia="zh-CN" w:bidi="ar"/>
        </w:rPr>
        <w:t>破损在非正常工况下的影响</w:t>
      </w:r>
      <w:r>
        <w:rPr>
          <w:rFonts w:hint="default" w:ascii="Times New Roman" w:hAnsi="Times New Roman" w:cs="Times New Roman"/>
          <w:color w:val="auto"/>
          <w:kern w:val="0"/>
          <w:sz w:val="24"/>
          <w:szCs w:val="24"/>
          <w:highlight w:val="none"/>
          <w:lang w:val="en-US" w:eastAsia="zh-CN" w:bidi="ar"/>
        </w:rPr>
        <w:t>。本项目建设3000m</w:t>
      </w:r>
      <w:r>
        <w:rPr>
          <w:rFonts w:hint="default" w:ascii="Times New Roman" w:hAnsi="Times New Roman" w:cs="Times New Roman"/>
          <w:color w:val="auto"/>
          <w:kern w:val="0"/>
          <w:sz w:val="24"/>
          <w:szCs w:val="24"/>
          <w:highlight w:val="none"/>
          <w:vertAlign w:val="superscript"/>
          <w:lang w:val="en-US" w:eastAsia="zh-CN" w:bidi="ar"/>
        </w:rPr>
        <w:t>2</w:t>
      </w:r>
      <w:r>
        <w:rPr>
          <w:rFonts w:hint="default" w:ascii="Times New Roman" w:hAnsi="Times New Roman" w:cs="Times New Roman"/>
          <w:color w:val="auto"/>
          <w:kern w:val="0"/>
          <w:sz w:val="24"/>
          <w:szCs w:val="24"/>
          <w:highlight w:val="none"/>
          <w:lang w:val="en-US" w:eastAsia="zh-CN" w:bidi="ar"/>
        </w:rPr>
        <w:t>混凝土结构堆粪场，</w:t>
      </w:r>
      <w:r>
        <w:rPr>
          <w:rFonts w:hint="eastAsia"/>
          <w:color w:val="auto"/>
        </w:rPr>
        <w:t>非正常工况下</w:t>
      </w:r>
      <w:r>
        <w:rPr>
          <w:rFonts w:hint="default" w:ascii="Times New Roman" w:hAnsi="Times New Roman" w:cs="Times New Roman"/>
          <w:color w:val="auto"/>
          <w:kern w:val="0"/>
          <w:sz w:val="24"/>
          <w:szCs w:val="24"/>
          <w:highlight w:val="none"/>
          <w:lang w:val="en-US" w:eastAsia="zh-CN" w:bidi="ar"/>
        </w:rPr>
        <w:t>堆粪场</w:t>
      </w:r>
      <w:r>
        <w:rPr>
          <w:rFonts w:hint="default" w:ascii="Times New Roman" w:hAnsi="Times New Roman" w:eastAsia="宋体" w:cs="Times New Roman"/>
          <w:color w:val="auto"/>
          <w:kern w:val="0"/>
          <w:sz w:val="24"/>
          <w:szCs w:val="24"/>
          <w:highlight w:val="none"/>
          <w:lang w:val="en-US" w:eastAsia="zh-CN" w:bidi="ar"/>
        </w:rPr>
        <w:t>渗漏面积</w:t>
      </w:r>
      <w:r>
        <w:rPr>
          <w:rFonts w:hint="eastAsia" w:cs="Times New Roman"/>
          <w:color w:val="auto"/>
          <w:kern w:val="0"/>
          <w:sz w:val="24"/>
          <w:szCs w:val="24"/>
          <w:highlight w:val="none"/>
          <w:lang w:val="en-US" w:eastAsia="zh-CN" w:bidi="ar"/>
        </w:rPr>
        <w:t>按照堆粪场</w:t>
      </w:r>
      <w:r>
        <w:rPr>
          <w:rFonts w:hint="default" w:ascii="Times New Roman" w:hAnsi="Times New Roman" w:eastAsia="宋体" w:cs="Times New Roman"/>
          <w:color w:val="auto"/>
          <w:kern w:val="0"/>
          <w:sz w:val="24"/>
          <w:szCs w:val="24"/>
          <w:highlight w:val="none"/>
          <w:lang w:val="en-US" w:eastAsia="zh-CN" w:bidi="ar"/>
        </w:rPr>
        <w:t>面积的0.1%</w:t>
      </w:r>
      <w:r>
        <w:rPr>
          <w:rFonts w:hint="eastAsia" w:cs="Times New Roman"/>
          <w:color w:val="auto"/>
          <w:kern w:val="0"/>
          <w:sz w:val="24"/>
          <w:szCs w:val="24"/>
          <w:highlight w:val="none"/>
          <w:lang w:val="en-US" w:eastAsia="zh-CN" w:bidi="ar"/>
        </w:rPr>
        <w:t>计</w:t>
      </w:r>
      <w:r>
        <w:rPr>
          <w:rFonts w:hint="default" w:ascii="Times New Roman" w:hAnsi="Times New Roman" w:eastAsia="宋体" w:cs="Times New Roman"/>
          <w:color w:val="auto"/>
          <w:kern w:val="0"/>
          <w:sz w:val="24"/>
          <w:szCs w:val="24"/>
          <w:highlight w:val="none"/>
          <w:lang w:val="en-US" w:eastAsia="zh-CN" w:bidi="ar"/>
        </w:rPr>
        <w:t>，则防渗层</w:t>
      </w:r>
      <w:r>
        <w:rPr>
          <w:rFonts w:hint="eastAsia" w:cs="Times New Roman"/>
          <w:color w:val="auto"/>
          <w:kern w:val="0"/>
          <w:sz w:val="24"/>
          <w:szCs w:val="24"/>
          <w:highlight w:val="none"/>
          <w:lang w:val="en-US" w:eastAsia="zh-CN" w:bidi="ar"/>
        </w:rPr>
        <w:t>渗漏</w:t>
      </w:r>
      <w:r>
        <w:rPr>
          <w:rFonts w:hint="default" w:ascii="Times New Roman" w:hAnsi="Times New Roman" w:eastAsia="宋体" w:cs="Times New Roman"/>
          <w:color w:val="auto"/>
          <w:kern w:val="0"/>
          <w:sz w:val="24"/>
          <w:szCs w:val="24"/>
          <w:highlight w:val="none"/>
          <w:lang w:val="en-US" w:eastAsia="zh-CN" w:bidi="ar"/>
        </w:rPr>
        <w:t>面积约</w:t>
      </w:r>
      <w:r>
        <w:rPr>
          <w:rFonts w:hint="default" w:ascii="Times New Roman" w:hAnsi="Times New Roman" w:cs="Times New Roman"/>
          <w:color w:val="auto"/>
          <w:kern w:val="0"/>
          <w:sz w:val="24"/>
          <w:szCs w:val="24"/>
          <w:highlight w:val="none"/>
          <w:lang w:val="en-US" w:eastAsia="zh-CN" w:bidi="ar"/>
        </w:rPr>
        <w:t>3</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eastAsia" w:cs="Times New Roman"/>
          <w:color w:val="auto"/>
          <w:kern w:val="0"/>
          <w:sz w:val="24"/>
          <w:szCs w:val="24"/>
          <w:highlight w:val="none"/>
          <w:lang w:val="en-US" w:eastAsia="zh-CN" w:bidi="ar"/>
        </w:rPr>
        <w:t>。</w:t>
      </w:r>
    </w:p>
    <w:p>
      <w:pPr>
        <w:keepNext w:val="0"/>
        <w:keepLines w:val="0"/>
        <w:pageBreakBefore w:val="0"/>
        <w:widowControl/>
        <w:suppressLineNumbers w:val="0"/>
        <w:wordWrap/>
        <w:bidi w:val="0"/>
        <w:adjustRightInd w:val="0"/>
        <w:ind w:left="0" w:leftChars="0" w:right="0" w:rightChars="0"/>
        <w:jc w:val="left"/>
        <w:rPr>
          <w:rFonts w:hint="default" w:ascii="Times New Roman" w:hAnsi="Times New Roman" w:cs="Times New Roman"/>
          <w:color w:val="auto"/>
          <w:highlight w:val="none"/>
        </w:rPr>
      </w:pPr>
      <w:r>
        <w:rPr>
          <w:rFonts w:hint="default" w:ascii="Times New Roman" w:hAnsi="Times New Roman" w:cs="Times New Roman"/>
          <w:color w:val="auto"/>
          <w:szCs w:val="22"/>
          <w:highlight w:val="none"/>
          <w:lang w:val="en-US" w:eastAsia="zh-CN"/>
        </w:rPr>
        <w:t>（2）</w:t>
      </w:r>
      <w:r>
        <w:rPr>
          <w:rFonts w:hint="default" w:ascii="Times New Roman" w:hAnsi="Times New Roman" w:eastAsia="宋体" w:cs="Times New Roman"/>
          <w:color w:val="auto"/>
          <w:kern w:val="0"/>
          <w:sz w:val="24"/>
          <w:szCs w:val="24"/>
          <w:highlight w:val="none"/>
          <w:lang w:val="en-US" w:eastAsia="zh-CN" w:bidi="ar"/>
        </w:rPr>
        <w:t xml:space="preserve">预测时段 </w:t>
      </w:r>
    </w:p>
    <w:p>
      <w:pPr>
        <w:keepNext w:val="0"/>
        <w:keepLines w:val="0"/>
        <w:pageBreakBefore w:val="0"/>
        <w:widowControl/>
        <w:suppressLineNumbers w:val="0"/>
        <w:wordWrap/>
        <w:bidi w:val="0"/>
        <w:adjustRightInd w:val="0"/>
        <w:ind w:left="0" w:leftChars="0" w:right="0" w:rightChars="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根据《环境影响评价技术导则</w:t>
      </w:r>
      <w:r>
        <w:rPr>
          <w:rFonts w:hint="eastAsia"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地下水环境》（HJ610</w:t>
      </w:r>
      <w:r>
        <w:rPr>
          <w:rFonts w:hint="default" w:ascii="Times New Roman" w:hAnsi="Times New Roman"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2016）规定，预测时段应包括项目建设、生产运行期。由于施工期间施工生产废水等量较少，并及时的进行集中收集，项目在施工期间对地下水环境造成影响甚微。因此本次影响预测重点对生产运行期进行预测。</w:t>
      </w:r>
      <w:r>
        <w:rPr>
          <w:rFonts w:hint="default" w:ascii="Times New Roman" w:hAnsi="Times New Roman" w:cs="Times New Roman"/>
          <w:bCs/>
          <w:color w:val="auto"/>
          <w:sz w:val="24"/>
          <w:highlight w:val="none"/>
        </w:rPr>
        <w:t>计算第100天</w:t>
      </w: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rPr>
        <w:t>第1000天</w:t>
      </w:r>
      <w:r>
        <w:rPr>
          <w:rFonts w:hint="default" w:ascii="Times New Roman" w:hAnsi="Times New Roman" w:cs="Times New Roman"/>
          <w:bCs/>
          <w:color w:val="auto"/>
          <w:sz w:val="24"/>
          <w:highlight w:val="none"/>
          <w:lang w:val="en-US" w:eastAsia="zh-CN"/>
        </w:rPr>
        <w:t>和</w:t>
      </w:r>
      <w:r>
        <w:rPr>
          <w:rFonts w:hint="default" w:ascii="Times New Roman" w:hAnsi="Times New Roman" w:cs="Times New Roman"/>
          <w:bCs/>
          <w:color w:val="auto"/>
          <w:sz w:val="24"/>
          <w:highlight w:val="none"/>
        </w:rPr>
        <w:t>第</w:t>
      </w:r>
      <w:r>
        <w:rPr>
          <w:rFonts w:hint="default" w:ascii="Times New Roman" w:hAnsi="Times New Roman" w:cs="Times New Roman"/>
          <w:bCs/>
          <w:color w:val="auto"/>
          <w:sz w:val="24"/>
          <w:highlight w:val="none"/>
          <w:lang w:val="en-US" w:eastAsia="zh-CN"/>
        </w:rPr>
        <w:t>7300</w:t>
      </w:r>
      <w:r>
        <w:rPr>
          <w:rFonts w:hint="default" w:ascii="Times New Roman" w:hAnsi="Times New Roman" w:cs="Times New Roman"/>
          <w:bCs/>
          <w:color w:val="auto"/>
          <w:sz w:val="24"/>
          <w:highlight w:val="none"/>
        </w:rPr>
        <w:t>天的模拟结果</w:t>
      </w: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rPr>
        <w:t>从而得到污染物浓度时空变化过程与规律，为评价本项目建成后对地下水环境可能造成的直接影响和间接危害提供依据。</w:t>
      </w:r>
    </w:p>
    <w:p>
      <w:pPr>
        <w:pStyle w:val="47"/>
        <w:pageBreakBefore w:val="0"/>
        <w:wordWrap/>
        <w:bidi w:val="0"/>
        <w:adjustRightInd w:val="0"/>
        <w:ind w:left="0" w:leftChars="0" w:right="0" w:rightChars="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（4）预测因子</w:t>
      </w:r>
    </w:p>
    <w:p>
      <w:pPr>
        <w:pStyle w:val="125"/>
        <w:ind w:firstLine="480"/>
        <w:rPr>
          <w:rFonts w:cs="Times New Roman"/>
          <w:color w:val="auto"/>
          <w:lang w:val="zh-CN"/>
        </w:rPr>
      </w:pPr>
      <w:r>
        <w:rPr>
          <w:rFonts w:hint="default" w:ascii="Times New Roman" w:hAnsi="Times New Roman" w:eastAsia="宋体" w:cs="Times New Roman"/>
          <w:bCs/>
          <w:color w:val="auto"/>
          <w:sz w:val="24"/>
          <w:highlight w:val="none"/>
        </w:rPr>
        <w:t>根据工程分析，本项目对地下水影响主要污染源因子为非持久性污染物，根据地下水导则，本次评价选择NH</w:t>
      </w:r>
      <w:r>
        <w:rPr>
          <w:rFonts w:hint="default" w:ascii="Times New Roman" w:hAnsi="Times New Roman" w:eastAsia="宋体" w:cs="Times New Roman"/>
          <w:bCs/>
          <w:color w:val="auto"/>
          <w:sz w:val="24"/>
          <w:highlight w:val="none"/>
          <w:vertAlign w:val="subscript"/>
        </w:rPr>
        <w:t>3</w:t>
      </w:r>
      <w:r>
        <w:rPr>
          <w:rFonts w:hint="default" w:ascii="Times New Roman" w:hAnsi="Times New Roman" w:eastAsia="宋体" w:cs="Times New Roman"/>
          <w:bCs/>
          <w:color w:val="auto"/>
          <w:sz w:val="24"/>
          <w:highlight w:val="none"/>
        </w:rPr>
        <w:t>-N作为预测因子</w:t>
      </w:r>
      <w:r>
        <w:rPr>
          <w:rFonts w:hint="default" w:ascii="Times New Roman" w:hAnsi="Times New Roman" w:cs="Times New Roman"/>
          <w:bCs/>
          <w:color w:val="auto"/>
          <w:sz w:val="24"/>
          <w:highlight w:val="none"/>
          <w:lang w:eastAsia="zh-CN"/>
        </w:rPr>
        <w:t>，</w:t>
      </w:r>
      <w:r>
        <w:rPr>
          <w:rFonts w:hint="default" w:ascii="Times New Roman" w:hAnsi="Times New Roman" w:cs="Times New Roman"/>
          <w:color w:val="auto"/>
          <w:kern w:val="0"/>
          <w:sz w:val="24"/>
          <w:szCs w:val="24"/>
          <w:highlight w:val="none"/>
          <w:lang w:val="en-US" w:eastAsia="zh-CN" w:bidi="ar"/>
        </w:rPr>
        <w:t>堆粪场</w:t>
      </w:r>
      <w:r>
        <w:rPr>
          <w:rFonts w:hint="default" w:ascii="Times New Roman" w:hAnsi="Times New Roman" w:eastAsia="宋体" w:cs="Times New Roman"/>
          <w:color w:val="auto"/>
          <w:kern w:val="0"/>
          <w:sz w:val="24"/>
          <w:szCs w:val="24"/>
          <w:highlight w:val="none"/>
          <w:lang w:val="en-US" w:eastAsia="zh-CN" w:bidi="ar"/>
        </w:rPr>
        <w:t>渗漏</w:t>
      </w:r>
      <w:r>
        <w:rPr>
          <w:rFonts w:hint="eastAsia" w:ascii="Times New Roman" w:cs="Times New Roman"/>
          <w:bCs/>
          <w:color w:val="auto"/>
          <w:sz w:val="24"/>
          <w:highlight w:val="none"/>
          <w:lang w:val="en-US" w:eastAsia="zh-CN"/>
        </w:rPr>
        <w:t>废水</w:t>
      </w:r>
      <w:r>
        <w:rPr>
          <w:rFonts w:hint="default" w:ascii="Times New Roman" w:hAnsi="Times New Roman" w:cs="Times New Roman"/>
          <w:bCs/>
          <w:color w:val="auto"/>
          <w:sz w:val="24"/>
          <w:highlight w:val="none"/>
          <w:lang w:val="en-US" w:eastAsia="zh-CN"/>
        </w:rPr>
        <w:t>中</w:t>
      </w:r>
      <w:r>
        <w:rPr>
          <w:rFonts w:hint="default" w:ascii="Times New Roman" w:hAnsi="Times New Roman" w:eastAsia="宋体" w:cs="Times New Roman"/>
          <w:bCs/>
          <w:color w:val="auto"/>
          <w:sz w:val="24"/>
          <w:highlight w:val="none"/>
        </w:rPr>
        <w:t>NH</w:t>
      </w:r>
      <w:r>
        <w:rPr>
          <w:rFonts w:hint="default" w:ascii="Times New Roman" w:hAnsi="Times New Roman" w:eastAsia="宋体" w:cs="Times New Roman"/>
          <w:bCs/>
          <w:color w:val="auto"/>
          <w:sz w:val="24"/>
          <w:highlight w:val="none"/>
          <w:vertAlign w:val="subscript"/>
        </w:rPr>
        <w:t>3</w:t>
      </w:r>
      <w:r>
        <w:rPr>
          <w:rFonts w:hint="default" w:ascii="Times New Roman" w:hAnsi="Times New Roman" w:eastAsia="宋体" w:cs="Times New Roman"/>
          <w:bCs/>
          <w:color w:val="auto"/>
          <w:sz w:val="24"/>
          <w:highlight w:val="none"/>
        </w:rPr>
        <w:t>-N</w:t>
      </w:r>
      <w:r>
        <w:rPr>
          <w:rFonts w:hint="default" w:ascii="Times New Roman" w:hAnsi="Times New Roman" w:eastAsia="宋体" w:cs="Times New Roman"/>
          <w:bCs/>
          <w:color w:val="auto"/>
          <w:sz w:val="24"/>
          <w:highlight w:val="none"/>
          <w:lang w:val="en-US" w:eastAsia="zh-CN"/>
        </w:rPr>
        <w:t>最大浓度为</w:t>
      </w:r>
      <w:r>
        <w:rPr>
          <w:rFonts w:hint="eastAsia" w:cs="Times New Roman"/>
          <w:bCs/>
          <w:color w:val="auto"/>
          <w:sz w:val="24"/>
          <w:highlight w:val="none"/>
          <w:lang w:val="en-US" w:eastAsia="zh-CN"/>
        </w:rPr>
        <w:t>298</w:t>
      </w:r>
      <w:r>
        <w:rPr>
          <w:rFonts w:hint="default" w:ascii="Times New Roman" w:hAnsi="Times New Roman" w:eastAsia="宋体" w:cs="Times New Roman"/>
          <w:bCs/>
          <w:color w:val="auto"/>
          <w:sz w:val="24"/>
          <w:highlight w:val="none"/>
          <w:lang w:val="en-US" w:eastAsia="zh-CN"/>
        </w:rPr>
        <w:t>mg/L</w:t>
      </w:r>
      <w:r>
        <w:rPr>
          <w:rFonts w:hint="default" w:ascii="Times New Roman" w:hAnsi="Times New Roman" w:eastAsia="宋体" w:cs="Times New Roman"/>
          <w:bCs/>
          <w:color w:val="auto"/>
          <w:sz w:val="24"/>
          <w:highlight w:val="none"/>
        </w:rPr>
        <w:t>。</w:t>
      </w:r>
    </w:p>
    <w:p>
      <w:pPr>
        <w:pStyle w:val="125"/>
        <w:ind w:firstLine="480"/>
        <w:rPr>
          <w:rFonts w:ascii="Times New Roman" w:hAnsi="Times New Roman" w:cs="Times New Roman"/>
          <w:color w:val="auto"/>
          <w:lang w:val="zh-CN"/>
        </w:rPr>
      </w:pPr>
      <w:r>
        <w:rPr>
          <w:color w:val="auto"/>
          <w:lang w:val="zh-CN"/>
        </w:rPr>
        <w:t>污染物对地下水污染程度以检出范围、超标范围、最大检出距离和最大超标距离来衡量。地下水环境影响预测结果中，污染物浓度高出检出限的范围称为检出范围，对应的下游最远影响距离称为最大检出距离；污染物浓度高出标准限值的范围称为超标范围，对应的下游最远污染距</w:t>
      </w:r>
      <w:r>
        <w:rPr>
          <w:rFonts w:ascii="Times New Roman" w:hAnsi="Times New Roman" w:cs="Times New Roman"/>
          <w:color w:val="auto"/>
          <w:lang w:val="zh-CN"/>
        </w:rPr>
        <w:t>离称为最大超标距离。</w:t>
      </w:r>
    </w:p>
    <w:p>
      <w:pPr>
        <w:pStyle w:val="125"/>
        <w:ind w:firstLine="480"/>
        <w:rPr>
          <w:rFonts w:cs="Times New Roman"/>
          <w:color w:val="auto"/>
          <w:highlight w:val="yellow"/>
          <w:lang w:val="zh-CN"/>
        </w:rPr>
      </w:pPr>
      <w:r>
        <w:rPr>
          <w:rFonts w:ascii="Times New Roman" w:hAnsi="Times New Roman" w:cs="Times New Roman"/>
          <w:color w:val="auto"/>
          <w:lang w:val="zh-CN"/>
        </w:rPr>
        <w:t>检出限值根据污染物检测方法的要求确定，</w:t>
      </w:r>
      <w:r>
        <w:rPr>
          <w:rFonts w:hint="default" w:ascii="Times New Roman" w:hAnsi="Times New Roman" w:cs="Times New Roman"/>
          <w:color w:val="auto"/>
          <w:lang w:val="zh-CN"/>
        </w:rPr>
        <w:t>地下水预测因子</w:t>
      </w:r>
      <w:r>
        <w:rPr>
          <w:rFonts w:ascii="Times New Roman" w:hAnsi="Times New Roman" w:cs="Times New Roman"/>
          <w:color w:val="auto"/>
          <w:lang w:val="zh-CN"/>
        </w:rPr>
        <w:t>的标准</w:t>
      </w:r>
      <w:r>
        <w:rPr>
          <w:rFonts w:cs="Times New Roman"/>
          <w:color w:val="auto"/>
          <w:lang w:val="zh-CN"/>
        </w:rPr>
        <w:t>限值和检出限</w:t>
      </w:r>
      <w:r>
        <w:rPr>
          <w:rFonts w:hint="eastAsia" w:cs="Times New Roman"/>
          <w:color w:val="auto"/>
          <w:lang w:val="zh-CN"/>
        </w:rPr>
        <w:t>见</w:t>
      </w:r>
      <w:r>
        <w:rPr>
          <w:rFonts w:cs="Times New Roman"/>
          <w:color w:val="auto"/>
          <w:lang w:val="zh-CN"/>
        </w:rPr>
        <w:fldChar w:fldCharType="begin"/>
      </w:r>
      <w:r>
        <w:rPr>
          <w:rFonts w:cs="Times New Roman"/>
          <w:color w:val="auto"/>
          <w:lang w:val="zh-CN"/>
        </w:rPr>
        <w:instrText xml:space="preserve"> REF _Ref107821658 \h  \* MERGEFORMAT </w:instrText>
      </w:r>
      <w:r>
        <w:rPr>
          <w:rFonts w:cs="Times New Roman"/>
          <w:color w:val="auto"/>
          <w:lang w:val="zh-CN"/>
        </w:rPr>
        <w:fldChar w:fldCharType="separate"/>
      </w:r>
      <w:r>
        <w:rPr>
          <w:rFonts w:cs="Times New Roman"/>
          <w:color w:val="auto"/>
        </w:rPr>
        <w:t>表5.</w:t>
      </w:r>
      <w:r>
        <w:rPr>
          <w:rFonts w:hint="eastAsia" w:cs="Times New Roman"/>
          <w:color w:val="auto"/>
          <w:lang w:val="en-US" w:eastAsia="zh-CN"/>
        </w:rPr>
        <w:t>2</w:t>
      </w:r>
      <w:r>
        <w:rPr>
          <w:rFonts w:cs="Times New Roman"/>
          <w:color w:val="auto"/>
          <w:lang w:val="zh-CN"/>
        </w:rPr>
        <w:fldChar w:fldCharType="end"/>
      </w:r>
      <w:r>
        <w:rPr>
          <w:rFonts w:hint="eastAsia" w:cs="Times New Roman"/>
          <w:color w:val="auto"/>
          <w:lang w:val="en-US" w:eastAsia="zh-CN"/>
        </w:rPr>
        <w:t>-15</w:t>
      </w:r>
      <w:r>
        <w:rPr>
          <w:rFonts w:cs="Times New Roman"/>
          <w:color w:val="auto"/>
          <w:lang w:val="zh-CN"/>
        </w:rPr>
        <w:t>。</w:t>
      </w:r>
    </w:p>
    <w:p>
      <w:pPr>
        <w:pStyle w:val="50"/>
        <w:keepNext w:val="0"/>
        <w:keepLines w:val="0"/>
        <w:pageBreakBefore w:val="0"/>
        <w:widowControl w:val="0"/>
        <w:kinsoku/>
        <w:wordWrap/>
        <w:overflowPunct/>
        <w:topLinePunct w:val="0"/>
        <w:autoSpaceDE/>
        <w:autoSpaceDN/>
        <w:bidi w:val="0"/>
        <w:adjustRightInd w:val="0"/>
        <w:snapToGrid w:val="0"/>
        <w:spacing w:afterLines="0"/>
        <w:ind w:left="0" w:leftChars="0" w:right="0" w:rightChars="0"/>
        <w:textAlignment w:val="auto"/>
        <w:rPr>
          <w:rFonts w:hint="default" w:ascii="Times New Roman" w:hAnsi="Times New Roman" w:cs="Times New Roman"/>
          <w:color w:val="auto"/>
          <w:sz w:val="21"/>
          <w:szCs w:val="21"/>
          <w:highlight w:val="none"/>
        </w:rPr>
      </w:pPr>
      <w:bookmarkStart w:id="246" w:name="_Ref107821658"/>
      <w:r>
        <w:rPr>
          <w:rFonts w:hint="default" w:ascii="Times New Roman" w:hAnsi="Times New Roman" w:cs="Times New Roman"/>
          <w:color w:val="auto"/>
          <w:sz w:val="21"/>
          <w:szCs w:val="21"/>
          <w:highlight w:val="none"/>
        </w:rPr>
        <w:t>表</w:t>
      </w:r>
      <w:bookmarkEnd w:id="246"/>
      <w:r>
        <w:rPr>
          <w:rFonts w:hint="eastAsia" w:ascii="Times New Roman" w:hAnsi="Times New Roman" w:cs="Times New Roman"/>
          <w:color w:val="auto"/>
          <w:sz w:val="21"/>
          <w:szCs w:val="21"/>
          <w:highlight w:val="none"/>
          <w:lang w:val="en-US" w:eastAsia="zh-CN"/>
        </w:rPr>
        <w:t>5.2-15</w:t>
      </w:r>
      <w:r>
        <w:rPr>
          <w:rFonts w:hint="default" w:ascii="Times New Roman" w:hAnsi="Times New Roman" w:cs="Times New Roman"/>
          <w:color w:val="auto"/>
          <w:sz w:val="21"/>
          <w:szCs w:val="21"/>
          <w:highlight w:val="none"/>
        </w:rPr>
        <w:t xml:space="preserve">                    地下水预测因子环境质量标准</w:t>
      </w:r>
    </w:p>
    <w:tbl>
      <w:tblPr>
        <w:tblStyle w:val="39"/>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52"/>
        <w:gridCol w:w="1774"/>
        <w:gridCol w:w="1965"/>
        <w:gridCol w:w="350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污染物</w:t>
            </w:r>
          </w:p>
        </w:tc>
        <w:tc>
          <w:tcPr>
            <w:tcW w:w="100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检出限值（mg/L）</w:t>
            </w:r>
          </w:p>
        </w:tc>
        <w:tc>
          <w:tcPr>
            <w:tcW w:w="111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标准限值（mg/L）</w:t>
            </w:r>
          </w:p>
        </w:tc>
        <w:tc>
          <w:tcPr>
            <w:tcW w:w="199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标准来源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bCs/>
                <w:color w:val="auto"/>
                <w:sz w:val="21"/>
                <w:szCs w:val="21"/>
                <w:highlight w:val="none"/>
              </w:rPr>
              <w:t>NH</w:t>
            </w:r>
            <w:r>
              <w:rPr>
                <w:rFonts w:hint="default" w:ascii="Times New Roman" w:hAnsi="Times New Roman" w:eastAsia="宋体" w:cs="Times New Roman"/>
                <w:bCs/>
                <w:color w:val="auto"/>
                <w:sz w:val="21"/>
                <w:szCs w:val="21"/>
                <w:highlight w:val="none"/>
                <w:vertAlign w:val="subscript"/>
              </w:rPr>
              <w:t>3</w:t>
            </w:r>
            <w:r>
              <w:rPr>
                <w:rFonts w:hint="default" w:ascii="Times New Roman" w:hAnsi="Times New Roman" w:eastAsia="宋体" w:cs="Times New Roman"/>
                <w:bCs/>
                <w:color w:val="auto"/>
                <w:sz w:val="21"/>
                <w:szCs w:val="21"/>
                <w:highlight w:val="none"/>
              </w:rPr>
              <w:t>-N</w:t>
            </w:r>
          </w:p>
        </w:tc>
        <w:tc>
          <w:tcPr>
            <w:tcW w:w="100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0.</w:t>
            </w:r>
            <w:r>
              <w:rPr>
                <w:rFonts w:hint="eastAsia" w:cs="Times New Roman"/>
                <w:color w:val="auto"/>
                <w:kern w:val="2"/>
                <w:sz w:val="21"/>
                <w:szCs w:val="21"/>
                <w:highlight w:val="none"/>
                <w:lang w:val="en-US" w:eastAsia="zh-CN"/>
              </w:rPr>
              <w:t>025</w:t>
            </w:r>
          </w:p>
        </w:tc>
        <w:tc>
          <w:tcPr>
            <w:tcW w:w="111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0.5</w:t>
            </w:r>
          </w:p>
        </w:tc>
        <w:tc>
          <w:tcPr>
            <w:tcW w:w="199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lang w:val="zh-CN"/>
              </w:rPr>
              <w:t>《地下水质量标准》（GB/T14848-2017）</w:t>
            </w:r>
            <w:r>
              <w:rPr>
                <w:rFonts w:hint="default" w:ascii="Times New Roman" w:hAnsi="Times New Roman" w:eastAsia="宋体" w:cs="Times New Roman"/>
                <w:color w:val="auto"/>
                <w:kern w:val="2"/>
                <w:sz w:val="21"/>
                <w:szCs w:val="21"/>
                <w:highlight w:val="none"/>
              </w:rPr>
              <w:t>中的III类标准</w:t>
            </w:r>
          </w:p>
        </w:tc>
      </w:tr>
    </w:tbl>
    <w:p>
      <w:pPr>
        <w:keepNext w:val="0"/>
        <w:keepLines w:val="0"/>
        <w:pageBreakBefore w:val="0"/>
        <w:widowControl/>
        <w:suppressLineNumbers w:val="0"/>
        <w:kinsoku/>
        <w:wordWrap/>
        <w:overflowPunct/>
        <w:topLinePunct w:val="0"/>
        <w:autoSpaceDE/>
        <w:autoSpaceDN/>
        <w:bidi w:val="0"/>
        <w:adjustRightInd w:val="0"/>
        <w:snapToGrid w:val="0"/>
        <w:spacing w:before="157" w:beforeLines="50"/>
        <w:ind w:left="0" w:leftChars="0" w:right="0" w:rightChars="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 xml:space="preserve">（5）模型选择及预测 </w:t>
      </w:r>
    </w:p>
    <w:p>
      <w:pPr>
        <w:keepNext w:val="0"/>
        <w:keepLines w:val="0"/>
        <w:pageBreakBefore w:val="0"/>
        <w:widowControl/>
        <w:suppressLineNumbers w:val="0"/>
        <w:wordWrap/>
        <w:bidi w:val="0"/>
        <w:adjustRightInd w:val="0"/>
        <w:ind w:left="0" w:leftChars="0" w:right="0" w:rightChars="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 xml:space="preserve">本次预测考虑泄漏为短期行为，其泄漏废水不会造成地下水流场变化，项目评价区含水层基本参数渗透系数、有效孔隙度等不会较大变化。因此，本次预测选用解析法预测。根据评价范围内水文特征，地下水的流动可以概化为一维稳定流动模型，不考虑沿线补给，溶质运移过程不考虑污染物在运移过程中的降解作用，采用一维弥散模型。因此本次对于污染物的预测采用一维稳定流动一维水动力弥散模型。 </w:t>
      </w:r>
    </w:p>
    <w:p>
      <w:pPr>
        <w:keepNext w:val="0"/>
        <w:keepLines w:val="0"/>
        <w:pageBreakBefore w:val="0"/>
        <w:widowControl/>
        <w:suppressLineNumbers w:val="0"/>
        <w:wordWrap/>
        <w:bidi w:val="0"/>
        <w:adjustRightInd w:val="0"/>
        <w:ind w:left="0" w:leftChars="0" w:right="0" w:rightChars="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 xml:space="preserve">一维稳定流动一维水动力弥散模型预测公式如下： </w:t>
      </w:r>
    </w:p>
    <w:p>
      <w:pPr>
        <w:keepNext w:val="0"/>
        <w:keepLines w:val="0"/>
        <w:pageBreakBefore w:val="0"/>
        <w:widowControl/>
        <w:suppressLineNumbers w:val="0"/>
        <w:wordWrap/>
        <w:bidi w:val="0"/>
        <w:adjustRightInd w:val="0"/>
        <w:ind w:left="0" w:leftChars="0" w:right="0" w:rightChars="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position w:val="-28"/>
          <w:highlight w:val="none"/>
          <w:lang w:val="en-US" w:eastAsia="zh-CN"/>
        </w:rPr>
        <w:object>
          <v:shape id="_x0000_i1028" o:spt="75" type="#_x0000_t75" style="height:37pt;width:130pt;" o:ole="t" filled="f" o:preferrelative="t" stroked="f" coordsize="21600,21600">
            <v:path/>
            <v:fill on="f" focussize="0,0"/>
            <v:stroke on="f"/>
            <v:imagedata r:id="rId56" o:title=""/>
            <o:lock v:ext="edit" aspectratio="t"/>
            <w10:wrap type="none"/>
            <w10:anchorlock/>
          </v:shape>
          <o:OLEObject Type="Embed" ProgID="Equation.KSEE3" ShapeID="_x0000_i1028" DrawAspect="Content" ObjectID="_1468075728" r:id="rId55">
            <o:LockedField>false</o:LockedField>
          </o:OLEObject>
        </w:object>
      </w:r>
    </w:p>
    <w:p>
      <w:pPr>
        <w:keepNext w:val="0"/>
        <w:keepLines w:val="0"/>
        <w:pageBreakBefore w:val="0"/>
        <w:widowControl/>
        <w:suppressLineNumbers w:val="0"/>
        <w:wordWrap/>
        <w:bidi w:val="0"/>
        <w:adjustRightInd w:val="0"/>
        <w:ind w:left="0" w:leftChars="0" w:right="0" w:rightChars="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 xml:space="preserve">式中：x—距注入点的距离，m；即预测点到污染源的距离，m； </w:t>
      </w:r>
    </w:p>
    <w:p>
      <w:pPr>
        <w:keepNext w:val="0"/>
        <w:keepLines w:val="0"/>
        <w:pageBreakBefore w:val="0"/>
        <w:widowControl/>
        <w:suppressLineNumbers w:val="0"/>
        <w:wordWrap/>
        <w:bidi w:val="0"/>
        <w:adjustRightInd w:val="0"/>
        <w:ind w:left="0" w:leftChars="0" w:right="0" w:rightChars="0" w:firstLine="1200" w:firstLineChars="50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t—时间，d；即泄漏发生时间</w:t>
      </w:r>
      <w:r>
        <w:rPr>
          <w:rFonts w:hint="eastAsia" w:cs="Times New Roman"/>
          <w:color w:val="auto"/>
          <w:kern w:val="0"/>
          <w:sz w:val="24"/>
          <w:szCs w:val="24"/>
          <w:highlight w:val="none"/>
          <w:lang w:val="en-US" w:eastAsia="zh-CN" w:bidi="ar"/>
        </w:rPr>
        <w:t>，取1d</w:t>
      </w:r>
      <w:r>
        <w:rPr>
          <w:rFonts w:hint="default" w:ascii="Times New Roman" w:hAnsi="Times New Roman" w:eastAsia="宋体" w:cs="Times New Roman"/>
          <w:color w:val="auto"/>
          <w:kern w:val="0"/>
          <w:sz w:val="24"/>
          <w:szCs w:val="24"/>
          <w:highlight w:val="none"/>
          <w:lang w:val="en-US" w:eastAsia="zh-CN" w:bidi="ar"/>
        </w:rPr>
        <w:t xml:space="preserve">； </w:t>
      </w:r>
    </w:p>
    <w:p>
      <w:pPr>
        <w:keepNext w:val="0"/>
        <w:keepLines w:val="0"/>
        <w:pageBreakBefore w:val="0"/>
        <w:widowControl/>
        <w:suppressLineNumbers w:val="0"/>
        <w:wordWrap/>
        <w:bidi w:val="0"/>
        <w:adjustRightInd w:val="0"/>
        <w:ind w:left="0" w:leftChars="0" w:right="0" w:rightChars="0" w:firstLine="1200" w:firstLineChars="50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 xml:space="preserve">C（x，t）—t 时刻 x 处的示踪剂浓度，g/L； </w:t>
      </w:r>
    </w:p>
    <w:p>
      <w:pPr>
        <w:keepNext w:val="0"/>
        <w:keepLines w:val="0"/>
        <w:pageBreakBefore w:val="0"/>
        <w:widowControl/>
        <w:suppressLineNumbers w:val="0"/>
        <w:wordWrap/>
        <w:bidi w:val="0"/>
        <w:adjustRightInd w:val="0"/>
        <w:ind w:left="0" w:leftChars="0" w:right="0" w:rightChars="0" w:firstLine="1200" w:firstLineChars="50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 xml:space="preserve">m—注入的示踪剂质量，kg； </w:t>
      </w:r>
    </w:p>
    <w:p>
      <w:pPr>
        <w:keepNext w:val="0"/>
        <w:keepLines w:val="0"/>
        <w:pageBreakBefore w:val="0"/>
        <w:widowControl/>
        <w:suppressLineNumbers w:val="0"/>
        <w:wordWrap/>
        <w:bidi w:val="0"/>
        <w:adjustRightInd w:val="0"/>
        <w:ind w:left="0" w:leftChars="0" w:right="0" w:rightChars="0" w:firstLine="1200" w:firstLineChars="50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w—横截面面积，m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 xml:space="preserve">。 </w:t>
      </w:r>
    </w:p>
    <w:p>
      <w:pPr>
        <w:keepNext w:val="0"/>
        <w:keepLines w:val="0"/>
        <w:pageBreakBefore w:val="0"/>
        <w:widowControl/>
        <w:suppressLineNumbers w:val="0"/>
        <w:wordWrap/>
        <w:bidi w:val="0"/>
        <w:adjustRightInd w:val="0"/>
        <w:ind w:left="0" w:leftChars="0" w:right="0" w:rightChars="0" w:firstLine="1200" w:firstLineChars="500"/>
        <w:jc w:val="both"/>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u—水流速度，m/d；根据土壤理化性质表</w:t>
      </w:r>
      <w:r>
        <w:rPr>
          <w:rFonts w:hint="eastAsia"/>
          <w:color w:val="auto"/>
          <w:lang w:val="en-US" w:eastAsia="zh-CN"/>
        </w:rPr>
        <w:t>中渗透率的平均值</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计算出</w:t>
      </w:r>
      <w:r>
        <w:rPr>
          <w:rFonts w:hint="default" w:ascii="Times New Roman" w:hAnsi="Times New Roman" w:eastAsia="宋体" w:cs="Times New Roman"/>
          <w:color w:val="auto"/>
          <w:kern w:val="0"/>
          <w:sz w:val="24"/>
          <w:szCs w:val="24"/>
          <w:highlight w:val="none"/>
          <w:lang w:val="en-US" w:eastAsia="zh-CN" w:bidi="ar"/>
        </w:rPr>
        <w:t>渗透系数为</w:t>
      </w:r>
      <w:r>
        <w:rPr>
          <w:rFonts w:hint="eastAsia" w:cs="Times New Roman"/>
          <w:bCs/>
          <w:color w:val="auto"/>
          <w:sz w:val="24"/>
          <w:highlight w:val="none"/>
          <w:lang w:val="en-US" w:eastAsia="zh-CN"/>
        </w:rPr>
        <w:t>0.88</w:t>
      </w:r>
      <w:r>
        <w:rPr>
          <w:rFonts w:hint="default" w:ascii="Times New Roman" w:hAnsi="Times New Roman" w:eastAsia="宋体" w:cs="Times New Roman"/>
          <w:bCs/>
          <w:color w:val="auto"/>
          <w:sz w:val="24"/>
          <w:highlight w:val="none"/>
          <w:lang w:val="en-US" w:eastAsia="zh-CN"/>
        </w:rPr>
        <w:t>m/d</w:t>
      </w:r>
      <w:r>
        <w:rPr>
          <w:rFonts w:hint="default" w:ascii="Times New Roman" w:hAnsi="Times New Roman" w:eastAsia="宋体" w:cs="Times New Roman"/>
          <w:color w:val="auto"/>
          <w:kern w:val="0"/>
          <w:sz w:val="24"/>
          <w:szCs w:val="24"/>
          <w:highlight w:val="none"/>
          <w:lang w:val="en-US" w:eastAsia="zh-CN" w:bidi="ar"/>
        </w:rPr>
        <w:t>，水力坡度I=</w:t>
      </w:r>
      <w:r>
        <w:rPr>
          <w:rFonts w:hint="eastAsia" w:cs="Times New Roman"/>
          <w:color w:val="auto"/>
          <w:kern w:val="0"/>
          <w:sz w:val="24"/>
          <w:szCs w:val="24"/>
          <w:highlight w:val="none"/>
          <w:lang w:val="en-US" w:eastAsia="zh-CN" w:bidi="ar"/>
        </w:rPr>
        <w:t>0.004</w:t>
      </w:r>
      <w:r>
        <w:rPr>
          <w:rFonts w:hint="default" w:ascii="Times New Roman" w:hAnsi="Times New Roman" w:eastAsia="宋体" w:cs="Times New Roman"/>
          <w:color w:val="auto"/>
          <w:kern w:val="0"/>
          <w:sz w:val="24"/>
          <w:szCs w:val="24"/>
          <w:highlight w:val="none"/>
          <w:lang w:val="en-US" w:eastAsia="zh-CN" w:bidi="ar"/>
        </w:rPr>
        <w:t>，因此地下水的渗透流速：V=KI=</w:t>
      </w:r>
      <w:r>
        <w:rPr>
          <w:rFonts w:hint="eastAsia" w:cs="Times New Roman"/>
          <w:color w:val="auto"/>
          <w:kern w:val="0"/>
          <w:sz w:val="24"/>
          <w:szCs w:val="24"/>
          <w:highlight w:val="none"/>
          <w:lang w:val="en-US" w:eastAsia="zh-CN" w:bidi="ar"/>
        </w:rPr>
        <w:t>0.88</w:t>
      </w:r>
      <w:r>
        <w:rPr>
          <w:rFonts w:hint="default" w:ascii="Times New Roman" w:hAnsi="Times New Roman" w:eastAsia="宋体" w:cs="Times New Roman"/>
          <w:color w:val="auto"/>
          <w:kern w:val="0"/>
          <w:sz w:val="24"/>
          <w:szCs w:val="24"/>
          <w:highlight w:val="none"/>
          <w:lang w:val="en-US" w:eastAsia="zh-CN" w:bidi="ar"/>
        </w:rPr>
        <w:t>m/d×</w:t>
      </w:r>
      <w:r>
        <w:rPr>
          <w:rFonts w:hint="eastAsia" w:cs="Times New Roman"/>
          <w:color w:val="auto"/>
          <w:kern w:val="0"/>
          <w:sz w:val="24"/>
          <w:szCs w:val="24"/>
          <w:highlight w:val="none"/>
          <w:lang w:val="en-US" w:eastAsia="zh-CN" w:bidi="ar"/>
        </w:rPr>
        <w:t>0.004</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0.00352</w:t>
      </w:r>
      <w:r>
        <w:rPr>
          <w:rFonts w:hint="default" w:ascii="Times New Roman" w:hAnsi="Times New Roman" w:eastAsia="宋体" w:cs="Times New Roman"/>
          <w:color w:val="auto"/>
          <w:kern w:val="0"/>
          <w:sz w:val="24"/>
          <w:szCs w:val="24"/>
          <w:highlight w:val="none"/>
          <w:lang w:val="en-US" w:eastAsia="zh-CN" w:bidi="ar"/>
        </w:rPr>
        <w:t>m/d；平均实际流速 u=V/n=</w:t>
      </w:r>
      <w:r>
        <w:rPr>
          <w:rFonts w:hint="eastAsia" w:cs="Times New Roman"/>
          <w:color w:val="auto"/>
          <w:kern w:val="0"/>
          <w:sz w:val="24"/>
          <w:szCs w:val="24"/>
          <w:highlight w:val="none"/>
          <w:lang w:val="en-US" w:eastAsia="zh-CN" w:bidi="ar"/>
        </w:rPr>
        <w:t>0.0104</w:t>
      </w:r>
      <w:r>
        <w:rPr>
          <w:rFonts w:hint="default" w:ascii="Times New Roman" w:hAnsi="Times New Roman" w:eastAsia="宋体" w:cs="Times New Roman"/>
          <w:color w:val="auto"/>
          <w:kern w:val="0"/>
          <w:sz w:val="24"/>
          <w:szCs w:val="24"/>
          <w:highlight w:val="none"/>
          <w:lang w:val="en-US" w:eastAsia="zh-CN" w:bidi="ar"/>
        </w:rPr>
        <w:t xml:space="preserve">m/d。 </w:t>
      </w:r>
    </w:p>
    <w:p>
      <w:pPr>
        <w:keepNext w:val="0"/>
        <w:keepLines w:val="0"/>
        <w:pageBreakBefore w:val="0"/>
        <w:widowControl/>
        <w:suppressLineNumbers w:val="0"/>
        <w:wordWrap/>
        <w:bidi w:val="0"/>
        <w:adjustRightInd w:val="0"/>
        <w:ind w:left="0" w:leftChars="0" w:right="0" w:rightChars="0" w:firstLine="1200" w:firstLineChars="50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n—有效孔隙度，无量纲，取</w:t>
      </w:r>
      <w:r>
        <w:rPr>
          <w:rFonts w:hint="eastAsia" w:cs="Times New Roman"/>
          <w:color w:val="auto"/>
          <w:kern w:val="0"/>
          <w:sz w:val="24"/>
          <w:szCs w:val="24"/>
          <w:highlight w:val="none"/>
          <w:lang w:val="en-US" w:eastAsia="zh-CN" w:bidi="ar"/>
        </w:rPr>
        <w:t>0.34</w:t>
      </w:r>
      <w:r>
        <w:rPr>
          <w:rFonts w:hint="default" w:ascii="Times New Roman" w:hAnsi="Times New Roman" w:eastAsia="宋体" w:cs="Times New Roman"/>
          <w:color w:val="auto"/>
          <w:kern w:val="0"/>
          <w:sz w:val="24"/>
          <w:szCs w:val="24"/>
          <w:highlight w:val="none"/>
          <w:lang w:val="en-US" w:eastAsia="zh-CN" w:bidi="ar"/>
        </w:rPr>
        <w:t xml:space="preserve">。 </w:t>
      </w:r>
    </w:p>
    <w:p>
      <w:pPr>
        <w:keepNext w:val="0"/>
        <w:keepLines w:val="0"/>
        <w:pageBreakBefore w:val="0"/>
        <w:widowControl/>
        <w:suppressLineNumbers w:val="0"/>
        <w:wordWrap/>
        <w:bidi w:val="0"/>
        <w:adjustRightInd w:val="0"/>
        <w:ind w:left="0" w:leftChars="0" w:right="0" w:rightChars="0" w:firstLine="1200" w:firstLineChars="50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D</w:t>
      </w:r>
      <w:r>
        <w:rPr>
          <w:rFonts w:hint="default" w:ascii="Times New Roman" w:hAnsi="Times New Roman" w:eastAsia="宋体" w:cs="Times New Roman"/>
          <w:color w:val="auto"/>
          <w:kern w:val="0"/>
          <w:sz w:val="24"/>
          <w:szCs w:val="24"/>
          <w:highlight w:val="none"/>
          <w:vertAlign w:val="subscript"/>
          <w:lang w:val="en-US" w:eastAsia="zh-CN" w:bidi="ar"/>
        </w:rPr>
        <w:t>L</w:t>
      </w:r>
      <w:r>
        <w:rPr>
          <w:rFonts w:hint="default" w:ascii="Times New Roman" w:hAnsi="Times New Roman" w:eastAsia="宋体" w:cs="Times New Roman"/>
          <w:color w:val="auto"/>
          <w:kern w:val="0"/>
          <w:sz w:val="24"/>
          <w:szCs w:val="24"/>
          <w:highlight w:val="none"/>
          <w:lang w:val="en-US" w:eastAsia="zh-CN" w:bidi="ar"/>
        </w:rPr>
        <w:t>—纵向弥散系数，m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/d，D</w:t>
      </w:r>
      <w:r>
        <w:rPr>
          <w:rFonts w:hint="default" w:ascii="Times New Roman" w:hAnsi="Times New Roman" w:eastAsia="宋体" w:cs="Times New Roman"/>
          <w:color w:val="auto"/>
          <w:kern w:val="0"/>
          <w:sz w:val="24"/>
          <w:szCs w:val="24"/>
          <w:highlight w:val="none"/>
          <w:vertAlign w:val="subscript"/>
          <w:lang w:val="en-US" w:eastAsia="zh-CN" w:bidi="ar"/>
        </w:rPr>
        <w:t>L</w:t>
      </w:r>
      <w:r>
        <w:rPr>
          <w:rFonts w:hint="default" w:ascii="Times New Roman" w:hAnsi="Times New Roman" w:eastAsia="宋体" w:cs="Times New Roman"/>
          <w:color w:val="auto"/>
          <w:kern w:val="0"/>
          <w:sz w:val="24"/>
          <w:szCs w:val="24"/>
          <w:highlight w:val="none"/>
          <w:lang w:val="en-US" w:eastAsia="zh-CN" w:bidi="ar"/>
        </w:rPr>
        <w:t>=a</w:t>
      </w:r>
      <w:r>
        <w:rPr>
          <w:rFonts w:hint="default" w:ascii="Times New Roman" w:hAnsi="Times New Roman" w:eastAsia="宋体" w:cs="Times New Roman"/>
          <w:color w:val="auto"/>
          <w:kern w:val="0"/>
          <w:sz w:val="24"/>
          <w:szCs w:val="24"/>
          <w:highlight w:val="none"/>
          <w:vertAlign w:val="subscript"/>
          <w:lang w:val="en-US" w:eastAsia="zh-CN" w:bidi="ar"/>
        </w:rPr>
        <w:t>L</w:t>
      </w:r>
      <w:r>
        <w:rPr>
          <w:rFonts w:hint="default" w:ascii="Times New Roman" w:hAnsi="Times New Roman" w:eastAsia="宋体" w:cs="Times New Roman"/>
          <w:color w:val="auto"/>
          <w:kern w:val="0"/>
          <w:sz w:val="24"/>
          <w:szCs w:val="24"/>
          <w:highlight w:val="none"/>
          <w:lang w:val="en-US" w:eastAsia="zh-CN" w:bidi="ar"/>
        </w:rPr>
        <w:t>u，a</w:t>
      </w:r>
      <w:r>
        <w:rPr>
          <w:rFonts w:hint="default" w:ascii="Times New Roman" w:hAnsi="Times New Roman" w:eastAsia="宋体" w:cs="Times New Roman"/>
          <w:color w:val="auto"/>
          <w:kern w:val="0"/>
          <w:sz w:val="24"/>
          <w:szCs w:val="24"/>
          <w:highlight w:val="none"/>
          <w:vertAlign w:val="subscript"/>
          <w:lang w:val="en-US" w:eastAsia="zh-CN" w:bidi="ar"/>
        </w:rPr>
        <w:t>L</w:t>
      </w:r>
      <w:r>
        <w:rPr>
          <w:rFonts w:hint="default" w:ascii="Times New Roman" w:hAnsi="Times New Roman" w:eastAsia="宋体" w:cs="Times New Roman"/>
          <w:color w:val="auto"/>
          <w:kern w:val="0"/>
          <w:sz w:val="24"/>
          <w:szCs w:val="24"/>
          <w:highlight w:val="none"/>
          <w:lang w:val="en-US" w:eastAsia="zh-CN" w:bidi="ar"/>
        </w:rPr>
        <w:t>为纵向弥散度，取值为5</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D</w:t>
      </w:r>
      <w:r>
        <w:rPr>
          <w:rFonts w:hint="default" w:ascii="Times New Roman" w:hAnsi="Times New Roman" w:eastAsia="宋体" w:cs="Times New Roman"/>
          <w:color w:val="auto"/>
          <w:kern w:val="0"/>
          <w:sz w:val="24"/>
          <w:szCs w:val="24"/>
          <w:highlight w:val="none"/>
          <w:vertAlign w:val="subscript"/>
          <w:lang w:val="en-US" w:eastAsia="zh-CN" w:bidi="ar"/>
        </w:rPr>
        <w:t>L</w:t>
      </w:r>
      <w:r>
        <w:rPr>
          <w:rFonts w:hint="eastAsia" w:ascii="Times New Roman" w:hAnsi="Times New Roman" w:eastAsia="宋体" w:cs="Times New Roman"/>
          <w:color w:val="auto"/>
          <w:kern w:val="0"/>
          <w:sz w:val="24"/>
          <w:szCs w:val="24"/>
          <w:highlight w:val="none"/>
          <w:vertAlign w:val="baseline"/>
          <w:lang w:val="en-US" w:eastAsia="zh-CN" w:bidi="ar"/>
        </w:rPr>
        <w:t>值为</w:t>
      </w:r>
      <w:r>
        <w:rPr>
          <w:rFonts w:hint="eastAsia" w:cs="Times New Roman"/>
          <w:color w:val="auto"/>
          <w:kern w:val="0"/>
          <w:sz w:val="24"/>
          <w:szCs w:val="24"/>
          <w:highlight w:val="none"/>
          <w:lang w:val="en-US" w:eastAsia="zh-CN" w:bidi="ar"/>
        </w:rPr>
        <w:t>0.052</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 xml:space="preserve">/d； </w:t>
      </w:r>
    </w:p>
    <w:p>
      <w:pPr>
        <w:keepNext w:val="0"/>
        <w:keepLines w:val="0"/>
        <w:pageBreakBefore w:val="0"/>
        <w:widowControl/>
        <w:suppressLineNumbers w:val="0"/>
        <w:wordWrap/>
        <w:bidi w:val="0"/>
        <w:adjustRightInd w:val="0"/>
        <w:ind w:left="0" w:leftChars="0" w:right="0" w:rightChars="0" w:firstLine="1200" w:firstLineChars="50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π—圆周率。</w:t>
      </w:r>
    </w:p>
    <w:p>
      <w:pPr>
        <w:pStyle w:val="47"/>
        <w:pageBreakBefore w:val="0"/>
        <w:numPr>
          <w:ilvl w:val="0"/>
          <w:numId w:val="16"/>
        </w:numPr>
        <w:wordWrap/>
        <w:bidi w:val="0"/>
        <w:adjustRightInd w:val="0"/>
        <w:ind w:left="0" w:leftChars="0" w:right="0" w:rightChars="0"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预测结果与分析</w:t>
      </w:r>
    </w:p>
    <w:p>
      <w:pPr>
        <w:pStyle w:val="47"/>
        <w:pageBreakBefore w:val="0"/>
        <w:wordWrap/>
        <w:bidi w:val="0"/>
        <w:adjustRightInd w:val="0"/>
        <w:ind w:left="0" w:leftChars="0" w:right="0" w:right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将确定的参数带入模型，污染物在含水层中迁移100d、1000d、7300d的污染物运移情况见图5.2-6~图5.2-8。</w:t>
      </w:r>
    </w:p>
    <w:p>
      <w:pPr>
        <w:keepNext w:val="0"/>
        <w:keepLines w:val="0"/>
        <w:pageBreakBefore w:val="0"/>
        <w:widowControl/>
        <w:suppressLineNumbers w:val="0"/>
        <w:wordWrap/>
        <w:bidi w:val="0"/>
        <w:adjustRightInd w:val="0"/>
        <w:ind w:left="0" w:leftChars="0" w:right="0" w:rightChars="0" w:firstLine="0" w:firstLineChars="0"/>
        <w:jc w:val="left"/>
        <w:rPr>
          <w:rFonts w:hint="default" w:ascii="Times New Roman" w:hAnsi="Times New Roman" w:cs="Times New Roman"/>
          <w:color w:val="auto"/>
          <w:sz w:val="24"/>
          <w:szCs w:val="24"/>
          <w:highlight w:val="none"/>
        </w:rPr>
      </w:pPr>
      <w:r>
        <w:rPr>
          <w:color w:val="auto"/>
          <w:highlight w:val="none"/>
        </w:rPr>
        <w:drawing>
          <wp:inline distT="0" distB="0" distL="114300" distR="114300">
            <wp:extent cx="5447030" cy="3393440"/>
            <wp:effectExtent l="0" t="0" r="1270" b="16510"/>
            <wp:docPr id="9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6"/>
                    <pic:cNvPicPr>
                      <a:picLocks noChangeAspect="1"/>
                    </pic:cNvPicPr>
                  </pic:nvPicPr>
                  <pic:blipFill>
                    <a:blip r:embed="rId57"/>
                    <a:stretch>
                      <a:fillRect/>
                    </a:stretch>
                  </pic:blipFill>
                  <pic:spPr>
                    <a:xfrm>
                      <a:off x="0" y="0"/>
                      <a:ext cx="5447030" cy="3393440"/>
                    </a:xfrm>
                    <a:prstGeom prst="rect">
                      <a:avLst/>
                    </a:prstGeom>
                    <a:noFill/>
                    <a:ln>
                      <a:noFill/>
                    </a:ln>
                  </pic:spPr>
                </pic:pic>
              </a:graphicData>
            </a:graphic>
          </wp:inline>
        </w:drawing>
      </w:r>
    </w:p>
    <w:p>
      <w:pPr>
        <w:pStyle w:val="50"/>
        <w:pageBreakBefore w:val="0"/>
        <w:wordWrap/>
        <w:bidi w:val="0"/>
        <w:adjustRightInd w:val="0"/>
        <w:ind w:left="0" w:leftChars="0" w:right="0" w:rightChar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 xml:space="preserve">图 5.2-6   </w:t>
      </w:r>
      <w:r>
        <w:rPr>
          <w:rFonts w:hint="default" w:ascii="Times New Roman" w:hAnsi="Times New Roman" w:eastAsia="宋体" w:cs="Times New Roman"/>
          <w:color w:val="auto"/>
          <w:sz w:val="24"/>
          <w:szCs w:val="24"/>
          <w:highlight w:val="none"/>
          <w:lang w:val="en-US" w:eastAsia="zh-CN"/>
        </w:rPr>
        <w:t>事故</w:t>
      </w:r>
      <w:r>
        <w:rPr>
          <w:rFonts w:hint="default" w:ascii="Times New Roman" w:hAnsi="Times New Roman" w:cs="Times New Roman"/>
          <w:color w:val="auto"/>
          <w:sz w:val="24"/>
          <w:szCs w:val="24"/>
          <w:highlight w:val="none"/>
          <w:lang w:val="en-US" w:eastAsia="zh-CN"/>
        </w:rPr>
        <w:t>泄漏</w:t>
      </w:r>
      <w:r>
        <w:rPr>
          <w:rFonts w:hint="default" w:ascii="Times New Roman" w:hAnsi="Times New Roman" w:eastAsia="宋体" w:cs="Times New Roman"/>
          <w:color w:val="auto"/>
          <w:sz w:val="24"/>
          <w:szCs w:val="24"/>
          <w:highlight w:val="none"/>
          <w:lang w:val="en-US" w:eastAsia="zh-CN"/>
        </w:rPr>
        <w:t>后100d</w:t>
      </w:r>
      <w:r>
        <w:rPr>
          <w:rFonts w:hint="default" w:ascii="Times New Roman" w:hAnsi="Times New Roman" w:cs="Times New Roman"/>
          <w:bCs/>
          <w:color w:val="auto"/>
          <w:sz w:val="24"/>
          <w:szCs w:val="24"/>
          <w:highlight w:val="none"/>
          <w:lang w:val="en-US" w:eastAsia="zh-CN"/>
        </w:rPr>
        <w:t>NH</w:t>
      </w:r>
      <w:r>
        <w:rPr>
          <w:rFonts w:hint="default" w:ascii="Times New Roman" w:hAnsi="Times New Roman" w:cs="Times New Roman"/>
          <w:bCs/>
          <w:color w:val="auto"/>
          <w:sz w:val="24"/>
          <w:szCs w:val="24"/>
          <w:highlight w:val="none"/>
          <w:vertAlign w:val="subscript"/>
          <w:lang w:val="en-US" w:eastAsia="zh-CN"/>
        </w:rPr>
        <w:t>3</w:t>
      </w:r>
      <w:r>
        <w:rPr>
          <w:rFonts w:hint="default" w:ascii="Times New Roman" w:hAnsi="Times New Roman" w:cs="Times New Roman"/>
          <w:bCs/>
          <w:color w:val="auto"/>
          <w:sz w:val="24"/>
          <w:szCs w:val="24"/>
          <w:highlight w:val="none"/>
          <w:lang w:val="en-US" w:eastAsia="zh-CN"/>
        </w:rPr>
        <w:t>-N</w:t>
      </w:r>
      <w:r>
        <w:rPr>
          <w:rFonts w:hint="default" w:ascii="Times New Roman" w:hAnsi="Times New Roman" w:eastAsia="宋体" w:cs="Times New Roman"/>
          <w:color w:val="auto"/>
          <w:sz w:val="24"/>
          <w:szCs w:val="24"/>
          <w:highlight w:val="none"/>
          <w:lang w:val="en-US" w:eastAsia="zh-CN"/>
        </w:rPr>
        <w:t>运移图</w:t>
      </w:r>
    </w:p>
    <w:p>
      <w:pPr>
        <w:pageBreakBefore w:val="0"/>
        <w:wordWrap/>
        <w:bidi w:val="0"/>
        <w:adjustRightInd w:val="0"/>
        <w:ind w:left="0" w:leftChars="0" w:right="0" w:rightChars="0" w:firstLine="0" w:firstLineChars="0"/>
        <w:rPr>
          <w:rFonts w:hint="default" w:ascii="Times New Roman" w:hAnsi="Times New Roman" w:cs="Times New Roman"/>
          <w:color w:val="auto"/>
          <w:sz w:val="24"/>
          <w:szCs w:val="24"/>
          <w:highlight w:val="yellow"/>
        </w:rPr>
      </w:pPr>
      <w:r>
        <w:rPr>
          <w:color w:val="auto"/>
        </w:rPr>
        <w:drawing>
          <wp:inline distT="0" distB="0" distL="114300" distR="114300">
            <wp:extent cx="5443855" cy="3361055"/>
            <wp:effectExtent l="0" t="0" r="4445" b="10795"/>
            <wp:docPr id="9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7"/>
                    <pic:cNvPicPr>
                      <a:picLocks noChangeAspect="1"/>
                    </pic:cNvPicPr>
                  </pic:nvPicPr>
                  <pic:blipFill>
                    <a:blip r:embed="rId58"/>
                    <a:stretch>
                      <a:fillRect/>
                    </a:stretch>
                  </pic:blipFill>
                  <pic:spPr>
                    <a:xfrm>
                      <a:off x="0" y="0"/>
                      <a:ext cx="5443855" cy="3361055"/>
                    </a:xfrm>
                    <a:prstGeom prst="rect">
                      <a:avLst/>
                    </a:prstGeom>
                    <a:noFill/>
                    <a:ln>
                      <a:noFill/>
                    </a:ln>
                  </pic:spPr>
                </pic:pic>
              </a:graphicData>
            </a:graphic>
          </wp:inline>
        </w:drawing>
      </w:r>
    </w:p>
    <w:p>
      <w:pPr>
        <w:pStyle w:val="50"/>
        <w:pageBreakBefore w:val="0"/>
        <w:wordWrap/>
        <w:bidi w:val="0"/>
        <w:adjustRightInd w:val="0"/>
        <w:ind w:left="0" w:leftChars="0" w:right="0" w:rightChar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 xml:space="preserve">图 5.2-7   </w:t>
      </w:r>
      <w:r>
        <w:rPr>
          <w:rFonts w:hint="default" w:ascii="Times New Roman" w:hAnsi="Times New Roman" w:eastAsia="宋体" w:cs="Times New Roman"/>
          <w:color w:val="auto"/>
          <w:sz w:val="24"/>
          <w:szCs w:val="24"/>
          <w:highlight w:val="none"/>
          <w:lang w:val="en-US" w:eastAsia="zh-CN"/>
        </w:rPr>
        <w:t>事故</w:t>
      </w:r>
      <w:r>
        <w:rPr>
          <w:rFonts w:hint="default" w:ascii="Times New Roman" w:hAnsi="Times New Roman" w:cs="Times New Roman"/>
          <w:color w:val="auto"/>
          <w:sz w:val="24"/>
          <w:szCs w:val="24"/>
          <w:highlight w:val="none"/>
          <w:lang w:val="en-US" w:eastAsia="zh-CN"/>
        </w:rPr>
        <w:t>泄漏</w:t>
      </w:r>
      <w:r>
        <w:rPr>
          <w:rFonts w:hint="default" w:ascii="Times New Roman" w:hAnsi="Times New Roman" w:eastAsia="宋体" w:cs="Times New Roman"/>
          <w:color w:val="auto"/>
          <w:sz w:val="24"/>
          <w:szCs w:val="24"/>
          <w:highlight w:val="none"/>
          <w:lang w:val="en-US" w:eastAsia="zh-CN"/>
        </w:rPr>
        <w:t>后1000d</w:t>
      </w:r>
      <w:r>
        <w:rPr>
          <w:rFonts w:hint="default" w:ascii="Times New Roman" w:hAnsi="Times New Roman" w:cs="Times New Roman"/>
          <w:bCs/>
          <w:color w:val="auto"/>
          <w:sz w:val="24"/>
          <w:szCs w:val="24"/>
          <w:highlight w:val="none"/>
          <w:lang w:val="en-US" w:eastAsia="zh-CN"/>
        </w:rPr>
        <w:t>NH</w:t>
      </w:r>
      <w:r>
        <w:rPr>
          <w:rFonts w:hint="default" w:ascii="Times New Roman" w:hAnsi="Times New Roman" w:cs="Times New Roman"/>
          <w:bCs/>
          <w:color w:val="auto"/>
          <w:sz w:val="24"/>
          <w:szCs w:val="24"/>
          <w:highlight w:val="none"/>
          <w:vertAlign w:val="subscript"/>
          <w:lang w:val="en-US" w:eastAsia="zh-CN"/>
        </w:rPr>
        <w:t>3</w:t>
      </w:r>
      <w:r>
        <w:rPr>
          <w:rFonts w:hint="default" w:ascii="Times New Roman" w:hAnsi="Times New Roman" w:cs="Times New Roman"/>
          <w:bCs/>
          <w:color w:val="auto"/>
          <w:sz w:val="24"/>
          <w:szCs w:val="24"/>
          <w:highlight w:val="none"/>
          <w:lang w:val="en-US" w:eastAsia="zh-CN"/>
        </w:rPr>
        <w:t>-N</w:t>
      </w:r>
      <w:r>
        <w:rPr>
          <w:rFonts w:hint="default" w:ascii="Times New Roman" w:hAnsi="Times New Roman" w:eastAsia="宋体" w:cs="Times New Roman"/>
          <w:color w:val="auto"/>
          <w:sz w:val="24"/>
          <w:szCs w:val="24"/>
          <w:highlight w:val="none"/>
          <w:lang w:val="en-US" w:eastAsia="zh-CN"/>
        </w:rPr>
        <w:t>运移图</w:t>
      </w:r>
    </w:p>
    <w:p>
      <w:pPr>
        <w:pStyle w:val="50"/>
        <w:pageBreakBefore w:val="0"/>
        <w:wordWrap/>
        <w:bidi w:val="0"/>
        <w:adjustRightInd w:val="0"/>
        <w:ind w:left="0" w:leftChars="0" w:right="0" w:rightChars="0"/>
        <w:rPr>
          <w:rFonts w:hint="default" w:ascii="Times New Roman" w:hAnsi="Times New Roman" w:eastAsia="宋体" w:cs="Times New Roman"/>
          <w:color w:val="auto"/>
          <w:sz w:val="24"/>
          <w:szCs w:val="24"/>
          <w:highlight w:val="yellow"/>
          <w:lang w:val="en-US" w:eastAsia="zh-CN"/>
        </w:rPr>
      </w:pPr>
      <w:r>
        <w:rPr>
          <w:color w:val="auto"/>
        </w:rPr>
        <w:drawing>
          <wp:inline distT="0" distB="0" distL="114300" distR="114300">
            <wp:extent cx="5442585" cy="3330575"/>
            <wp:effectExtent l="0" t="0" r="5715" b="3175"/>
            <wp:docPr id="10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8"/>
                    <pic:cNvPicPr>
                      <a:picLocks noChangeAspect="1"/>
                    </pic:cNvPicPr>
                  </pic:nvPicPr>
                  <pic:blipFill>
                    <a:blip r:embed="rId59"/>
                    <a:stretch>
                      <a:fillRect/>
                    </a:stretch>
                  </pic:blipFill>
                  <pic:spPr>
                    <a:xfrm>
                      <a:off x="0" y="0"/>
                      <a:ext cx="5442585" cy="3330575"/>
                    </a:xfrm>
                    <a:prstGeom prst="rect">
                      <a:avLst/>
                    </a:prstGeom>
                    <a:noFill/>
                    <a:ln>
                      <a:noFill/>
                    </a:ln>
                  </pic:spPr>
                </pic:pic>
              </a:graphicData>
            </a:graphic>
          </wp:inline>
        </w:drawing>
      </w:r>
      <w:r>
        <w:rPr>
          <w:rFonts w:hint="default" w:ascii="Times New Roman" w:hAnsi="Times New Roman" w:cs="Times New Roman"/>
          <w:color w:val="auto"/>
          <w:sz w:val="24"/>
          <w:szCs w:val="24"/>
          <w:highlight w:val="none"/>
          <w:lang w:val="en-US" w:eastAsia="zh-CN"/>
        </w:rPr>
        <w:t xml:space="preserve">图 5.2-8   </w:t>
      </w:r>
      <w:r>
        <w:rPr>
          <w:rFonts w:hint="default" w:ascii="Times New Roman" w:hAnsi="Times New Roman" w:eastAsia="宋体" w:cs="Times New Roman"/>
          <w:color w:val="auto"/>
          <w:sz w:val="24"/>
          <w:szCs w:val="24"/>
          <w:highlight w:val="none"/>
          <w:lang w:val="en-US" w:eastAsia="zh-CN"/>
        </w:rPr>
        <w:t>事故</w:t>
      </w:r>
      <w:r>
        <w:rPr>
          <w:rFonts w:hint="default" w:ascii="Times New Roman" w:hAnsi="Times New Roman" w:cs="Times New Roman"/>
          <w:color w:val="auto"/>
          <w:sz w:val="24"/>
          <w:szCs w:val="24"/>
          <w:highlight w:val="none"/>
          <w:lang w:val="en-US" w:eastAsia="zh-CN"/>
        </w:rPr>
        <w:t>泄漏</w:t>
      </w:r>
      <w:r>
        <w:rPr>
          <w:rFonts w:hint="default" w:ascii="Times New Roman" w:hAnsi="Times New Roman" w:eastAsia="宋体" w:cs="Times New Roman"/>
          <w:color w:val="auto"/>
          <w:sz w:val="24"/>
          <w:szCs w:val="24"/>
          <w:highlight w:val="none"/>
          <w:lang w:val="en-US" w:eastAsia="zh-CN"/>
        </w:rPr>
        <w:t>后7300d</w:t>
      </w:r>
      <w:r>
        <w:rPr>
          <w:rFonts w:hint="default" w:ascii="Times New Roman" w:hAnsi="Times New Roman" w:cs="Times New Roman"/>
          <w:bCs/>
          <w:color w:val="auto"/>
          <w:sz w:val="24"/>
          <w:szCs w:val="24"/>
          <w:highlight w:val="none"/>
          <w:lang w:val="en-US" w:eastAsia="zh-CN"/>
        </w:rPr>
        <w:t>NH</w:t>
      </w:r>
      <w:r>
        <w:rPr>
          <w:rFonts w:hint="default" w:ascii="Times New Roman" w:hAnsi="Times New Roman" w:cs="Times New Roman"/>
          <w:bCs/>
          <w:color w:val="auto"/>
          <w:sz w:val="24"/>
          <w:szCs w:val="24"/>
          <w:highlight w:val="none"/>
          <w:vertAlign w:val="subscript"/>
          <w:lang w:val="en-US" w:eastAsia="zh-CN"/>
        </w:rPr>
        <w:t>3</w:t>
      </w:r>
      <w:r>
        <w:rPr>
          <w:rFonts w:hint="default" w:ascii="Times New Roman" w:hAnsi="Times New Roman" w:cs="Times New Roman"/>
          <w:bCs/>
          <w:color w:val="auto"/>
          <w:sz w:val="24"/>
          <w:szCs w:val="24"/>
          <w:highlight w:val="none"/>
          <w:lang w:val="en-US" w:eastAsia="zh-CN"/>
        </w:rPr>
        <w:t>-N</w:t>
      </w:r>
      <w:r>
        <w:rPr>
          <w:rFonts w:hint="default" w:ascii="Times New Roman" w:hAnsi="Times New Roman" w:eastAsia="宋体" w:cs="Times New Roman"/>
          <w:color w:val="auto"/>
          <w:sz w:val="24"/>
          <w:szCs w:val="24"/>
          <w:highlight w:val="none"/>
          <w:lang w:val="en-US" w:eastAsia="zh-CN"/>
        </w:rPr>
        <w:t>运移图</w:t>
      </w:r>
    </w:p>
    <w:p>
      <w:pPr>
        <w:pageBreakBefore w:val="0"/>
        <w:wordWrap/>
        <w:bidi w:val="0"/>
        <w:adjustRightInd w:val="0"/>
        <w:spacing w:before="156" w:beforeLines="50" w:afterLines="0"/>
        <w:ind w:left="0" w:leftChars="0" w:right="0" w:rightChars="0"/>
        <w:rPr>
          <w:rFonts w:hint="default" w:ascii="Times New Roman" w:hAnsi="Times New Roman" w:eastAsia="宋体" w:cs="Times New Roman"/>
          <w:color w:val="auto"/>
          <w:kern w:val="2"/>
          <w:sz w:val="24"/>
          <w:highlight w:val="none"/>
        </w:rPr>
      </w:pPr>
      <w:r>
        <w:rPr>
          <w:rFonts w:hint="default" w:ascii="Times New Roman" w:hAnsi="Times New Roman" w:eastAsia="宋体" w:cs="Times New Roman"/>
          <w:color w:val="auto"/>
          <w:kern w:val="2"/>
          <w:sz w:val="24"/>
          <w:highlight w:val="none"/>
        </w:rPr>
        <w:t>根据预测可知，本项目</w:t>
      </w:r>
      <w:r>
        <w:rPr>
          <w:rFonts w:hint="default" w:ascii="Times New Roman" w:hAnsi="Times New Roman" w:cs="Times New Roman"/>
          <w:bCs/>
          <w:color w:val="auto"/>
          <w:sz w:val="24"/>
          <w:szCs w:val="24"/>
          <w:highlight w:val="none"/>
          <w:lang w:val="en-US" w:eastAsia="zh-CN"/>
        </w:rPr>
        <w:t>NH</w:t>
      </w:r>
      <w:r>
        <w:rPr>
          <w:rFonts w:hint="default" w:ascii="Times New Roman" w:hAnsi="Times New Roman" w:cs="Times New Roman"/>
          <w:bCs/>
          <w:color w:val="auto"/>
          <w:sz w:val="24"/>
          <w:szCs w:val="24"/>
          <w:highlight w:val="none"/>
          <w:vertAlign w:val="subscript"/>
          <w:lang w:val="en-US" w:eastAsia="zh-CN"/>
        </w:rPr>
        <w:t>3</w:t>
      </w:r>
      <w:r>
        <w:rPr>
          <w:rFonts w:hint="default" w:ascii="Times New Roman" w:hAnsi="Times New Roman" w:cs="Times New Roman"/>
          <w:bCs/>
          <w:color w:val="auto"/>
          <w:sz w:val="24"/>
          <w:szCs w:val="24"/>
          <w:highlight w:val="none"/>
          <w:lang w:val="en-US" w:eastAsia="zh-CN"/>
        </w:rPr>
        <w:t>-N</w:t>
      </w:r>
      <w:r>
        <w:rPr>
          <w:rFonts w:hint="default" w:ascii="Times New Roman" w:hAnsi="Times New Roman" w:eastAsia="宋体" w:cs="Times New Roman"/>
          <w:color w:val="auto"/>
          <w:kern w:val="2"/>
          <w:sz w:val="24"/>
          <w:highlight w:val="none"/>
        </w:rPr>
        <w:t>对含水层的影响统计见表</w:t>
      </w:r>
      <w:r>
        <w:rPr>
          <w:rFonts w:hint="default" w:ascii="Times New Roman" w:hAnsi="Times New Roman" w:eastAsia="宋体" w:cs="Times New Roman"/>
          <w:color w:val="auto"/>
          <w:kern w:val="2"/>
          <w:sz w:val="24"/>
          <w:highlight w:val="none"/>
          <w:lang w:val="en-US" w:eastAsia="zh-CN"/>
        </w:rPr>
        <w:t>5.2-1</w:t>
      </w:r>
      <w:r>
        <w:rPr>
          <w:rFonts w:hint="eastAsia" w:cs="Times New Roman"/>
          <w:color w:val="auto"/>
          <w:kern w:val="2"/>
          <w:sz w:val="24"/>
          <w:highlight w:val="none"/>
          <w:lang w:val="en-US" w:eastAsia="zh-CN"/>
        </w:rPr>
        <w:t>6</w:t>
      </w:r>
      <w:r>
        <w:rPr>
          <w:rFonts w:hint="default" w:ascii="Times New Roman" w:hAnsi="Times New Roman" w:eastAsia="宋体" w:cs="Times New Roman"/>
          <w:color w:val="auto"/>
          <w:kern w:val="2"/>
          <w:sz w:val="24"/>
          <w:highlight w:val="none"/>
        </w:rPr>
        <w:t>。</w:t>
      </w:r>
    </w:p>
    <w:p>
      <w:pPr>
        <w:pStyle w:val="50"/>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表5.2-1</w:t>
      </w:r>
      <w:r>
        <w:rPr>
          <w:rFonts w:hint="eastAsia" w:ascii="Times New Roman" w:hAnsi="Times New Roman"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cs="Times New Roman"/>
          <w:bCs/>
          <w:color w:val="auto"/>
          <w:sz w:val="21"/>
          <w:szCs w:val="21"/>
          <w:highlight w:val="none"/>
          <w:lang w:val="en-US" w:eastAsia="zh-CN"/>
        </w:rPr>
        <w:t>NH</w:t>
      </w:r>
      <w:r>
        <w:rPr>
          <w:rFonts w:hint="default" w:ascii="Times New Roman" w:hAnsi="Times New Roman" w:cs="Times New Roman"/>
          <w:bCs/>
          <w:color w:val="auto"/>
          <w:sz w:val="21"/>
          <w:szCs w:val="21"/>
          <w:highlight w:val="none"/>
          <w:vertAlign w:val="subscript"/>
          <w:lang w:val="en-US" w:eastAsia="zh-CN"/>
        </w:rPr>
        <w:t>3</w:t>
      </w:r>
      <w:r>
        <w:rPr>
          <w:rFonts w:hint="default" w:ascii="Times New Roman" w:hAnsi="Times New Roman" w:cs="Times New Roman"/>
          <w:bCs/>
          <w:color w:val="auto"/>
          <w:sz w:val="21"/>
          <w:szCs w:val="21"/>
          <w:highlight w:val="none"/>
          <w:lang w:val="en-US" w:eastAsia="zh-CN"/>
        </w:rPr>
        <w:t>-N</w:t>
      </w:r>
      <w:r>
        <w:rPr>
          <w:rFonts w:hint="default" w:ascii="Times New Roman" w:hAnsi="Times New Roman" w:eastAsia="宋体" w:cs="Times New Roman"/>
          <w:color w:val="auto"/>
          <w:sz w:val="21"/>
          <w:szCs w:val="21"/>
          <w:highlight w:val="none"/>
          <w:lang w:val="en-US" w:eastAsia="zh-CN"/>
        </w:rPr>
        <w:t>对含水层的影响范围</w:t>
      </w:r>
    </w:p>
    <w:tbl>
      <w:tblPr>
        <w:tblStyle w:val="3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11"/>
        <w:gridCol w:w="2193"/>
        <w:gridCol w:w="2193"/>
        <w:gridCol w:w="21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预测期</w:t>
            </w:r>
          </w:p>
        </w:tc>
        <w:tc>
          <w:tcPr>
            <w:tcW w:w="12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最大浓度值（</w:t>
            </w:r>
            <w:r>
              <w:rPr>
                <w:rFonts w:hint="default" w:ascii="Times New Roman" w:hAnsi="Times New Roman" w:eastAsia="宋体" w:cs="Times New Roman"/>
                <w:color w:val="auto"/>
                <w:sz w:val="21"/>
                <w:szCs w:val="21"/>
                <w:highlight w:val="none"/>
              </w:rPr>
              <w:t>mg/</w:t>
            </w:r>
            <w:r>
              <w:rPr>
                <w:rFonts w:hint="default" w:ascii="Times New Roman" w:hAnsi="Times New Roman" w:eastAsia="宋体" w:cs="Times New Roman"/>
                <w:color w:val="auto"/>
                <w:sz w:val="21"/>
                <w:szCs w:val="21"/>
                <w:highlight w:val="none"/>
                <w:lang w:val="en-US" w:eastAsia="zh-CN"/>
              </w:rPr>
              <w:t>L</w:t>
            </w:r>
            <w:r>
              <w:rPr>
                <w:rFonts w:hint="default" w:ascii="Times New Roman" w:hAnsi="Times New Roman" w:eastAsia="宋体" w:cs="Times New Roman"/>
                <w:color w:val="auto"/>
                <w:kern w:val="2"/>
                <w:sz w:val="21"/>
                <w:szCs w:val="21"/>
                <w:highlight w:val="none"/>
              </w:rPr>
              <w:t>）</w:t>
            </w:r>
          </w:p>
        </w:tc>
        <w:tc>
          <w:tcPr>
            <w:tcW w:w="12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最大超标距离（m）</w:t>
            </w:r>
          </w:p>
        </w:tc>
        <w:tc>
          <w:tcPr>
            <w:tcW w:w="12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最大</w:t>
            </w:r>
            <w:r>
              <w:rPr>
                <w:rFonts w:hint="default" w:ascii="Times New Roman" w:hAnsi="Times New Roman" w:eastAsia="宋体" w:cs="Times New Roman"/>
                <w:color w:val="auto"/>
                <w:kern w:val="2"/>
                <w:sz w:val="21"/>
                <w:szCs w:val="21"/>
                <w:highlight w:val="none"/>
                <w:lang w:val="zh-CN"/>
              </w:rPr>
              <w:t>检出</w:t>
            </w:r>
            <w:r>
              <w:rPr>
                <w:rFonts w:hint="default" w:ascii="Times New Roman" w:hAnsi="Times New Roman" w:eastAsia="宋体" w:cs="Times New Roman"/>
                <w:color w:val="auto"/>
                <w:kern w:val="2"/>
                <w:sz w:val="21"/>
                <w:szCs w:val="21"/>
                <w:highlight w:val="none"/>
              </w:rPr>
              <w:t>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100d</w:t>
            </w:r>
          </w:p>
        </w:tc>
        <w:tc>
          <w:tcPr>
            <w:tcW w:w="12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0.63</w:t>
            </w:r>
          </w:p>
        </w:tc>
        <w:tc>
          <w:tcPr>
            <w:tcW w:w="12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5</w:t>
            </w:r>
          </w:p>
        </w:tc>
        <w:tc>
          <w:tcPr>
            <w:tcW w:w="12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10.5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1000d</w:t>
            </w:r>
          </w:p>
        </w:tc>
        <w:tc>
          <w:tcPr>
            <w:tcW w:w="12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0.13</w:t>
            </w:r>
          </w:p>
        </w:tc>
        <w:tc>
          <w:tcPr>
            <w:tcW w:w="12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w:t>
            </w:r>
          </w:p>
        </w:tc>
        <w:tc>
          <w:tcPr>
            <w:tcW w:w="12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7300d</w:t>
            </w:r>
          </w:p>
        </w:tc>
        <w:tc>
          <w:tcPr>
            <w:tcW w:w="12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0.046</w:t>
            </w:r>
          </w:p>
        </w:tc>
        <w:tc>
          <w:tcPr>
            <w:tcW w:w="12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w:t>
            </w:r>
          </w:p>
        </w:tc>
        <w:tc>
          <w:tcPr>
            <w:tcW w:w="12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110</w:t>
            </w:r>
          </w:p>
        </w:tc>
      </w:tr>
    </w:tbl>
    <w:p>
      <w:pPr>
        <w:keepNext w:val="0"/>
        <w:keepLines w:val="0"/>
        <w:pageBreakBefore w:val="0"/>
        <w:widowControl w:val="0"/>
        <w:kinsoku/>
        <w:wordWrap/>
        <w:overflowPunct/>
        <w:topLinePunct w:val="0"/>
        <w:autoSpaceDE/>
        <w:autoSpaceDN/>
        <w:bidi w:val="0"/>
        <w:adjustRightInd w:val="0"/>
        <w:snapToGrid w:val="0"/>
        <w:ind w:left="0" w:leftChars="0" w:right="0" w:rightChars="0" w:firstLine="480"/>
        <w:textAlignment w:val="auto"/>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本项目废水若发生泄漏，将会对地下水环境造成一定的影响，针对</w:t>
      </w:r>
      <w:r>
        <w:rPr>
          <w:rFonts w:hint="default" w:ascii="Times New Roman" w:hAnsi="Times New Roman" w:cs="Times New Roman"/>
          <w:color w:val="auto"/>
          <w:szCs w:val="22"/>
          <w:highlight w:val="none"/>
          <w:lang w:eastAsia="zh-CN"/>
        </w:rPr>
        <w:t>堆粪场</w:t>
      </w:r>
      <w:r>
        <w:rPr>
          <w:rFonts w:hint="default" w:ascii="Times New Roman" w:hAnsi="Times New Roman" w:cs="Times New Roman"/>
          <w:color w:val="auto"/>
          <w:szCs w:val="22"/>
          <w:highlight w:val="none"/>
        </w:rPr>
        <w:t>等可能对地下水产生影响的建构筑物按照相关规范要求采取防渗措施后，从环境保护角度讲，该项目建设对地下水环境影响可以接受。</w:t>
      </w:r>
    </w:p>
    <w:p>
      <w:pPr>
        <w:pageBreakBefore w:val="0"/>
        <w:widowControl w:val="0"/>
        <w:tabs>
          <w:tab w:val="left" w:pos="2865"/>
        </w:tabs>
        <w:kinsoku/>
        <w:wordWrap/>
        <w:overflowPunct/>
        <w:topLinePunct w:val="0"/>
        <w:autoSpaceDE/>
        <w:autoSpaceDN/>
        <w:bidi w:val="0"/>
        <w:adjustRightInd w:val="0"/>
        <w:snapToGrid w:val="0"/>
        <w:ind w:left="0" w:leftChars="0" w:right="0" w:rightChars="0"/>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7</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地下水</w:t>
      </w:r>
      <w:r>
        <w:rPr>
          <w:rFonts w:hint="default" w:ascii="Times New Roman" w:hAnsi="Times New Roman" w:cs="Times New Roman"/>
          <w:color w:val="auto"/>
          <w:highlight w:val="none"/>
        </w:rPr>
        <w:t>环境保护措施</w:t>
      </w:r>
    </w:p>
    <w:p>
      <w:pPr>
        <w:pageBreakBefore w:val="0"/>
        <w:widowControl w:val="0"/>
        <w:tabs>
          <w:tab w:val="left" w:pos="2865"/>
        </w:tabs>
        <w:kinsoku/>
        <w:wordWrap/>
        <w:overflowPunct/>
        <w:topLinePunct w:val="0"/>
        <w:autoSpaceDE/>
        <w:autoSpaceDN/>
        <w:bidi w:val="0"/>
        <w:adjustRightInd w:val="0"/>
        <w:snapToGrid w:val="0"/>
        <w:ind w:left="0" w:leftChars="0" w:right="0" w:rightChars="0" w:firstLine="480"/>
        <w:textAlignment w:val="auto"/>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项目场地地下水污染防治措施按照“源头控制、分区防治、污染</w:t>
      </w:r>
      <w:r>
        <w:rPr>
          <w:rFonts w:hint="eastAsia" w:cs="Times New Roman"/>
          <w:color w:val="auto"/>
          <w:szCs w:val="22"/>
          <w:highlight w:val="none"/>
          <w:lang w:val="en-US" w:eastAsia="zh-CN"/>
        </w:rPr>
        <w:t>防控</w:t>
      </w:r>
      <w:r>
        <w:rPr>
          <w:rFonts w:hint="default" w:ascii="Times New Roman" w:hAnsi="Times New Roman" w:cs="Times New Roman"/>
          <w:color w:val="auto"/>
          <w:szCs w:val="22"/>
          <w:highlight w:val="none"/>
        </w:rPr>
        <w:t xml:space="preserve">”相结合的原则，从污染物的产生、入渗、扩散进行控制。 </w:t>
      </w:r>
    </w:p>
    <w:p>
      <w:pPr>
        <w:pageBreakBefore w:val="0"/>
        <w:widowControl w:val="0"/>
        <w:tabs>
          <w:tab w:val="left" w:pos="2865"/>
        </w:tabs>
        <w:kinsoku/>
        <w:wordWrap/>
        <w:overflowPunct/>
        <w:topLinePunct w:val="0"/>
        <w:autoSpaceDE/>
        <w:autoSpaceDN/>
        <w:bidi w:val="0"/>
        <w:adjustRightInd w:val="0"/>
        <w:snapToGrid w:val="0"/>
        <w:ind w:left="0" w:leftChars="0" w:right="0" w:rightChars="0" w:firstLine="480"/>
        <w:textAlignment w:val="auto"/>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 xml:space="preserve">①源头控制 </w:t>
      </w:r>
    </w:p>
    <w:p>
      <w:pPr>
        <w:pageBreakBefore w:val="0"/>
        <w:widowControl w:val="0"/>
        <w:tabs>
          <w:tab w:val="left" w:pos="2865"/>
        </w:tabs>
        <w:kinsoku/>
        <w:wordWrap/>
        <w:overflowPunct/>
        <w:topLinePunct w:val="0"/>
        <w:autoSpaceDE/>
        <w:autoSpaceDN/>
        <w:bidi w:val="0"/>
        <w:adjustRightInd w:val="0"/>
        <w:snapToGrid w:val="0"/>
        <w:ind w:left="0" w:leftChars="0" w:right="0" w:rightChars="0" w:firstLine="480"/>
        <w:textAlignment w:val="auto"/>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 xml:space="preserve">以先进工艺、管道、设备尽可能从源头上减少可能污染物产生；严格按照国家相关规范要求，对工艺、管道、设备、污废水储存及处理构筑物采取相应的措施，以防止和降低污染物的跑、冒、滴、漏，将废水泄漏的环境风险事故降低到最低程度；管线铺设尽量采用“可视化”原则，即管道尽可能地上铺设，做到污染物“早发现、早处理”，以减少由于埋地管道泄漏而可能造成的地下水污染。 </w:t>
      </w:r>
    </w:p>
    <w:p>
      <w:pPr>
        <w:pageBreakBefore w:val="0"/>
        <w:widowControl w:val="0"/>
        <w:tabs>
          <w:tab w:val="left" w:pos="2865"/>
        </w:tabs>
        <w:kinsoku/>
        <w:wordWrap/>
        <w:overflowPunct/>
        <w:topLinePunct w:val="0"/>
        <w:autoSpaceDE/>
        <w:autoSpaceDN/>
        <w:bidi w:val="0"/>
        <w:adjustRightInd w:val="0"/>
        <w:snapToGrid w:val="0"/>
        <w:ind w:left="0" w:leftChars="0" w:right="0" w:rightChars="0" w:firstLine="480"/>
        <w:textAlignment w:val="auto"/>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 xml:space="preserve">②分区防治 </w:t>
      </w:r>
    </w:p>
    <w:p>
      <w:pPr>
        <w:pageBreakBefore w:val="0"/>
        <w:widowControl w:val="0"/>
        <w:kinsoku/>
        <w:wordWrap/>
        <w:overflowPunct/>
        <w:topLinePunct w:val="0"/>
        <w:autoSpaceDE/>
        <w:autoSpaceDN/>
        <w:bidi w:val="0"/>
        <w:adjustRightInd w:val="0"/>
        <w:snapToGrid w:val="0"/>
        <w:ind w:left="0" w:leftChars="0" w:right="0" w:rightChars="0" w:firstLine="480"/>
        <w:textAlignment w:val="auto"/>
        <w:rPr>
          <w:rFonts w:hint="default" w:ascii="Times New Roman" w:hAnsi="Times New Roman" w:eastAsia="宋体" w:cs="Times New Roman"/>
          <w:color w:val="auto"/>
          <w:szCs w:val="22"/>
          <w:highlight w:val="none"/>
          <w:lang w:eastAsia="zh-CN"/>
        </w:rPr>
      </w:pPr>
      <w:r>
        <w:rPr>
          <w:rFonts w:hint="default" w:ascii="Times New Roman" w:hAnsi="Times New Roman" w:cs="Times New Roman"/>
          <w:color w:val="auto"/>
          <w:szCs w:val="22"/>
          <w:highlight w:val="none"/>
        </w:rPr>
        <w:t>对项目场地可能泄漏污染物的地面进行防渗处理，可有效防治污染物渗入地下，并及时地将泄漏、渗漏的污染物收集并进行集中处理。按照《环境影响评价技术导则 地下水环境》（HJ 610-2016）要求，根据场区各生产、生活功能单元可能产生的污染，划分为一般防渗区</w:t>
      </w:r>
      <w:r>
        <w:rPr>
          <w:rFonts w:hint="default" w:ascii="Times New Roman" w:hAnsi="Times New Roman" w:cs="Times New Roman"/>
          <w:color w:val="auto"/>
          <w:szCs w:val="22"/>
          <w:highlight w:val="none"/>
          <w:lang w:val="en-US" w:eastAsia="zh-CN"/>
        </w:rPr>
        <w:t>和简单</w:t>
      </w:r>
      <w:r>
        <w:rPr>
          <w:rFonts w:hint="default" w:ascii="Times New Roman" w:hAnsi="Times New Roman" w:cs="Times New Roman"/>
          <w:color w:val="auto"/>
          <w:szCs w:val="22"/>
          <w:highlight w:val="none"/>
        </w:rPr>
        <w:t>防渗区。医疗废物暂存间</w:t>
      </w:r>
      <w:r>
        <w:rPr>
          <w:rFonts w:hint="eastAsia" w:ascii="Times New Roman" w:hAnsi="Times New Roman" w:eastAsia="宋体" w:cs="Times New Roman"/>
          <w:color w:val="auto"/>
          <w:sz w:val="24"/>
          <w:szCs w:val="24"/>
          <w:lang w:val="en-US" w:eastAsia="zh-CN"/>
        </w:rPr>
        <w:t>根据</w:t>
      </w:r>
      <w:r>
        <w:rPr>
          <w:rFonts w:hint="default" w:ascii="Times New Roman" w:hAnsi="Times New Roman" w:eastAsia="宋体" w:cs="Times New Roman"/>
          <w:color w:val="auto"/>
          <w:sz w:val="24"/>
          <w:szCs w:val="24"/>
          <w:lang w:eastAsia="zh-CN"/>
        </w:rPr>
        <w:t>《危险废物</w:t>
      </w:r>
      <w:r>
        <w:rPr>
          <w:rFonts w:hint="default" w:ascii="Times New Roman" w:hAnsi="Times New Roman" w:eastAsia="宋体" w:cs="Times New Roman"/>
          <w:color w:val="auto"/>
          <w:sz w:val="24"/>
          <w:szCs w:val="24"/>
          <w:lang w:val="en-US" w:eastAsia="zh-CN"/>
        </w:rPr>
        <w:t>贮存</w:t>
      </w:r>
      <w:r>
        <w:rPr>
          <w:rFonts w:hint="default" w:ascii="Times New Roman" w:hAnsi="Times New Roman" w:eastAsia="宋体" w:cs="Times New Roman"/>
          <w:color w:val="auto"/>
          <w:sz w:val="24"/>
          <w:szCs w:val="24"/>
          <w:lang w:eastAsia="zh-CN"/>
        </w:rPr>
        <w:t>污染控制标准》（</w:t>
      </w:r>
      <w:r>
        <w:rPr>
          <w:rFonts w:hint="eastAsia" w:ascii="Times New Roman" w:hAnsi="Times New Roman" w:eastAsia="宋体" w:cs="Times New Roman"/>
          <w:color w:val="auto"/>
          <w:sz w:val="24"/>
          <w:szCs w:val="24"/>
          <w:lang w:eastAsia="zh-CN"/>
        </w:rPr>
        <w:t>GB18597-2023</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要求，采用抗渗混凝土或高密度聚乙烯膜防渗。</w:t>
      </w:r>
      <w:r>
        <w:rPr>
          <w:rFonts w:hint="default" w:ascii="Times New Roman" w:hAnsi="Times New Roman" w:cs="Times New Roman"/>
          <w:color w:val="auto"/>
          <w:szCs w:val="22"/>
          <w:highlight w:val="none"/>
        </w:rPr>
        <w:t>一般防渗区：</w:t>
      </w:r>
      <w:r>
        <w:rPr>
          <w:rFonts w:hint="default" w:ascii="Times New Roman" w:hAnsi="Times New Roman" w:cs="Times New Roman"/>
          <w:color w:val="auto"/>
          <w:szCs w:val="22"/>
          <w:highlight w:val="none"/>
          <w:lang w:eastAsia="zh-CN"/>
        </w:rPr>
        <w:t>堆粪场、</w:t>
      </w:r>
      <w:r>
        <w:rPr>
          <w:rFonts w:hint="default" w:ascii="Times New Roman" w:hAnsi="Times New Roman" w:cs="Times New Roman"/>
          <w:color w:val="auto"/>
          <w:szCs w:val="22"/>
          <w:highlight w:val="none"/>
          <w:lang w:val="en-US" w:eastAsia="zh-CN"/>
        </w:rPr>
        <w:t>集污池</w:t>
      </w:r>
      <w:r>
        <w:rPr>
          <w:rFonts w:hint="eastAsia" w:cs="Times New Roman"/>
          <w:color w:val="auto"/>
          <w:szCs w:val="22"/>
          <w:highlight w:val="none"/>
          <w:lang w:eastAsia="zh-CN"/>
        </w:rPr>
        <w:t>、</w:t>
      </w:r>
      <w:r>
        <w:rPr>
          <w:rFonts w:hint="default" w:ascii="Times New Roman" w:hAnsi="Times New Roman" w:cs="Times New Roman"/>
          <w:color w:val="auto"/>
          <w:highlight w:val="none"/>
          <w:lang w:val="en-US" w:eastAsia="zh-CN"/>
        </w:rPr>
        <w:t>安全填埋井</w:t>
      </w:r>
      <w:r>
        <w:rPr>
          <w:rFonts w:hint="eastAsia" w:cs="Times New Roman"/>
          <w:color w:val="auto"/>
          <w:highlight w:val="none"/>
          <w:lang w:val="en-US" w:eastAsia="zh-CN"/>
        </w:rPr>
        <w:t>、</w:t>
      </w:r>
      <w:r>
        <w:rPr>
          <w:rFonts w:hint="default" w:ascii="Times New Roman" w:hAnsi="Times New Roman" w:eastAsia="宋体" w:cs="Times New Roman"/>
          <w:color w:val="auto"/>
          <w:szCs w:val="22"/>
          <w:highlight w:val="none"/>
          <w:lang w:val="en-US" w:eastAsia="zh-CN"/>
        </w:rPr>
        <w:t>青贮窖、牛舍</w:t>
      </w:r>
      <w:r>
        <w:rPr>
          <w:rFonts w:hint="default" w:ascii="Times New Roman" w:hAnsi="Times New Roman" w:cs="Times New Roman"/>
          <w:color w:val="auto"/>
          <w:szCs w:val="22"/>
          <w:highlight w:val="none"/>
        </w:rPr>
        <w:t>等。简单防渗区</w:t>
      </w:r>
      <w:r>
        <w:rPr>
          <w:rFonts w:hint="default" w:ascii="Times New Roman" w:hAnsi="Times New Roman" w:cs="Times New Roman"/>
          <w:color w:val="auto"/>
          <w:szCs w:val="22"/>
          <w:highlight w:val="none"/>
          <w:lang w:eastAsia="zh-CN"/>
        </w:rPr>
        <w:t>：</w:t>
      </w:r>
      <w:r>
        <w:rPr>
          <w:rFonts w:hint="default" w:ascii="Times New Roman" w:hAnsi="Times New Roman" w:cs="Times New Roman"/>
          <w:color w:val="auto"/>
          <w:szCs w:val="22"/>
          <w:highlight w:val="none"/>
          <w:lang w:val="en-US" w:eastAsia="zh-CN"/>
        </w:rPr>
        <w:t>饲料库房</w:t>
      </w:r>
      <w:r>
        <w:rPr>
          <w:rFonts w:hint="default" w:ascii="Times New Roman" w:hAnsi="Times New Roman" w:cs="Times New Roman"/>
          <w:color w:val="auto"/>
          <w:szCs w:val="22"/>
          <w:highlight w:val="none"/>
        </w:rPr>
        <w:t>、</w:t>
      </w:r>
      <w:r>
        <w:rPr>
          <w:rFonts w:hint="default" w:ascii="Times New Roman" w:hAnsi="Times New Roman" w:cs="Times New Roman"/>
          <w:color w:val="auto"/>
          <w:szCs w:val="22"/>
          <w:highlight w:val="none"/>
          <w:lang w:val="en-US" w:eastAsia="zh-CN"/>
        </w:rPr>
        <w:t>干草棚、</w:t>
      </w:r>
      <w:r>
        <w:rPr>
          <w:rFonts w:hint="default" w:ascii="Times New Roman" w:hAnsi="Times New Roman" w:cs="Times New Roman"/>
          <w:color w:val="auto"/>
          <w:szCs w:val="22"/>
          <w:highlight w:val="none"/>
        </w:rPr>
        <w:t>办公区等</w:t>
      </w:r>
      <w:r>
        <w:rPr>
          <w:rFonts w:hint="eastAsia" w:ascii="Times New Roman" w:hAnsi="Times New Roman" w:cs="Times New Roman"/>
          <w:color w:val="auto"/>
          <w:szCs w:val="22"/>
          <w:highlight w:val="none"/>
          <w:lang w:eastAsia="zh-CN"/>
        </w:rPr>
        <w:t>。</w:t>
      </w:r>
      <w:r>
        <w:rPr>
          <w:rFonts w:hint="default" w:ascii="Times New Roman" w:hAnsi="Times New Roman" w:cs="Times New Roman"/>
          <w:color w:val="auto"/>
          <w:szCs w:val="22"/>
          <w:highlight w:val="none"/>
        </w:rPr>
        <w:t>建议防渗方案如下</w:t>
      </w:r>
      <w:r>
        <w:rPr>
          <w:rFonts w:hint="default" w:ascii="Times New Roman" w:hAnsi="Times New Roman" w:cs="Times New Roman"/>
          <w:color w:val="auto"/>
          <w:szCs w:val="22"/>
          <w:highlight w:val="none"/>
          <w:lang w:eastAsia="zh-CN"/>
        </w:rPr>
        <w:t>：</w:t>
      </w:r>
    </w:p>
    <w:p>
      <w:pPr>
        <w:pageBreakBefore w:val="0"/>
        <w:widowControl w:val="0"/>
        <w:kinsoku/>
        <w:wordWrap/>
        <w:overflowPunct/>
        <w:topLinePunct w:val="0"/>
        <w:autoSpaceDE/>
        <w:autoSpaceDN/>
        <w:bidi w:val="0"/>
        <w:adjustRightInd w:val="0"/>
        <w:snapToGrid w:val="0"/>
        <w:ind w:left="0" w:leftChars="0" w:right="0" w:rightChars="0" w:firstLine="480"/>
        <w:textAlignment w:val="auto"/>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一般防渗区</w:t>
      </w:r>
      <w:r>
        <w:rPr>
          <w:rFonts w:hint="default" w:ascii="Times New Roman" w:hAnsi="Times New Roman" w:cs="Times New Roman"/>
          <w:color w:val="auto"/>
          <w:szCs w:val="22"/>
          <w:highlight w:val="none"/>
          <w:lang w:eastAsia="zh-CN"/>
        </w:rPr>
        <w:t>：</w:t>
      </w:r>
      <w:r>
        <w:rPr>
          <w:rFonts w:hint="default" w:ascii="Times New Roman" w:hAnsi="Times New Roman" w:cs="Times New Roman"/>
          <w:color w:val="auto"/>
          <w:szCs w:val="22"/>
          <w:highlight w:val="none"/>
        </w:rPr>
        <w:t>渗层厚度应相当于渗透系数为1.0×10</w:t>
      </w:r>
      <w:r>
        <w:rPr>
          <w:rFonts w:hint="default" w:ascii="Times New Roman" w:hAnsi="Times New Roman" w:cs="Times New Roman"/>
          <w:color w:val="auto"/>
          <w:szCs w:val="22"/>
          <w:highlight w:val="none"/>
          <w:vertAlign w:val="superscript"/>
        </w:rPr>
        <w:t>-</w:t>
      </w:r>
      <w:r>
        <w:rPr>
          <w:rFonts w:hint="default" w:ascii="Times New Roman" w:hAnsi="Times New Roman" w:cs="Times New Roman"/>
          <w:color w:val="auto"/>
          <w:szCs w:val="22"/>
          <w:highlight w:val="none"/>
          <w:vertAlign w:val="superscript"/>
          <w:lang w:val="en-US" w:eastAsia="zh-CN"/>
        </w:rPr>
        <w:t>7</w:t>
      </w:r>
      <w:r>
        <w:rPr>
          <w:rFonts w:hint="default" w:ascii="Times New Roman" w:hAnsi="Times New Roman" w:cs="Times New Roman"/>
          <w:color w:val="auto"/>
          <w:szCs w:val="22"/>
          <w:highlight w:val="none"/>
        </w:rPr>
        <w:t>cm/s和厚度为1.5m的黏土层的防渗性能。</w:t>
      </w:r>
    </w:p>
    <w:p>
      <w:pPr>
        <w:pageBreakBefore w:val="0"/>
        <w:widowControl w:val="0"/>
        <w:kinsoku/>
        <w:wordWrap/>
        <w:overflowPunct/>
        <w:topLinePunct w:val="0"/>
        <w:autoSpaceDE/>
        <w:autoSpaceDN/>
        <w:bidi w:val="0"/>
        <w:adjustRightInd w:val="0"/>
        <w:snapToGrid w:val="0"/>
        <w:ind w:left="0" w:leftChars="0" w:right="0" w:rightChars="0" w:firstLine="480"/>
        <w:textAlignment w:val="auto"/>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简单防渗区</w:t>
      </w:r>
      <w:r>
        <w:rPr>
          <w:rFonts w:hint="default" w:ascii="Times New Roman" w:hAnsi="Times New Roman" w:cs="Times New Roman"/>
          <w:color w:val="auto"/>
          <w:szCs w:val="22"/>
          <w:highlight w:val="none"/>
          <w:lang w:eastAsia="zh-CN"/>
        </w:rPr>
        <w:t>：</w:t>
      </w:r>
      <w:r>
        <w:rPr>
          <w:rFonts w:hint="default" w:ascii="Times New Roman" w:hAnsi="Times New Roman" w:cs="Times New Roman"/>
          <w:color w:val="auto"/>
          <w:szCs w:val="22"/>
          <w:highlight w:val="none"/>
          <w:lang w:val="en-US" w:eastAsia="zh-CN"/>
        </w:rPr>
        <w:t>饲料库房</w:t>
      </w:r>
      <w:r>
        <w:rPr>
          <w:rFonts w:hint="default" w:ascii="Times New Roman" w:hAnsi="Times New Roman" w:cs="Times New Roman"/>
          <w:color w:val="auto"/>
          <w:szCs w:val="22"/>
          <w:highlight w:val="none"/>
        </w:rPr>
        <w:t>、</w:t>
      </w:r>
      <w:r>
        <w:rPr>
          <w:rFonts w:hint="default" w:ascii="Times New Roman" w:hAnsi="Times New Roman" w:cs="Times New Roman"/>
          <w:color w:val="auto"/>
          <w:szCs w:val="22"/>
          <w:highlight w:val="none"/>
          <w:lang w:val="en-US" w:eastAsia="zh-CN"/>
        </w:rPr>
        <w:t>干草棚、</w:t>
      </w:r>
      <w:r>
        <w:rPr>
          <w:rFonts w:hint="default" w:ascii="Times New Roman" w:hAnsi="Times New Roman" w:cs="Times New Roman"/>
          <w:color w:val="auto"/>
          <w:szCs w:val="22"/>
          <w:highlight w:val="none"/>
        </w:rPr>
        <w:t>办公区等釆取地面硬化措施。</w:t>
      </w:r>
    </w:p>
    <w:p>
      <w:pPr>
        <w:pageBreakBefore w:val="0"/>
        <w:widowControl w:val="0"/>
        <w:tabs>
          <w:tab w:val="left" w:pos="2865"/>
        </w:tabs>
        <w:kinsoku/>
        <w:wordWrap/>
        <w:overflowPunct/>
        <w:topLinePunct w:val="0"/>
        <w:autoSpaceDE/>
        <w:autoSpaceDN/>
        <w:bidi w:val="0"/>
        <w:adjustRightInd w:val="0"/>
        <w:snapToGrid w:val="0"/>
        <w:ind w:left="0" w:leftChars="0" w:right="0" w:rightChars="0" w:firstLine="480"/>
        <w:textAlignment w:val="auto"/>
        <w:rPr>
          <w:rFonts w:hint="eastAsia" w:ascii="Times New Roman" w:hAnsi="Times New Roman" w:eastAsia="宋体" w:cs="Times New Roman"/>
          <w:color w:val="auto"/>
          <w:szCs w:val="22"/>
          <w:highlight w:val="none"/>
          <w:lang w:val="en-US" w:eastAsia="zh-CN"/>
        </w:rPr>
      </w:pPr>
      <w:r>
        <w:rPr>
          <w:rFonts w:hint="default" w:ascii="Times New Roman" w:hAnsi="Times New Roman" w:eastAsia="宋体" w:cs="Times New Roman"/>
          <w:color w:val="auto"/>
          <w:szCs w:val="22"/>
          <w:highlight w:val="none"/>
        </w:rPr>
        <w:t>③污染</w:t>
      </w:r>
      <w:r>
        <w:rPr>
          <w:rFonts w:hint="eastAsia" w:ascii="Times New Roman" w:hAnsi="Times New Roman" w:eastAsia="宋体" w:cs="Times New Roman"/>
          <w:color w:val="auto"/>
          <w:szCs w:val="22"/>
          <w:highlight w:val="none"/>
          <w:lang w:val="en-US" w:eastAsia="zh-CN"/>
        </w:rPr>
        <w:t>防控</w:t>
      </w:r>
    </w:p>
    <w:p>
      <w:pPr>
        <w:pageBreakBefore w:val="0"/>
        <w:widowControl w:val="0"/>
        <w:tabs>
          <w:tab w:val="left" w:pos="2865"/>
        </w:tabs>
        <w:kinsoku/>
        <w:wordWrap/>
        <w:overflowPunct/>
        <w:topLinePunct w:val="0"/>
        <w:autoSpaceDE/>
        <w:autoSpaceDN/>
        <w:bidi w:val="0"/>
        <w:adjustRightInd w:val="0"/>
        <w:snapToGrid w:val="0"/>
        <w:ind w:left="0" w:leftChars="0" w:right="0" w:rightChars="0" w:firstLine="480"/>
        <w:textAlignment w:val="auto"/>
        <w:rPr>
          <w:rFonts w:hint="default" w:eastAsia="宋体"/>
          <w:color w:val="auto"/>
          <w:lang w:val="en-US" w:eastAsia="zh-CN"/>
        </w:rPr>
      </w:pPr>
      <w:r>
        <w:rPr>
          <w:rFonts w:hint="eastAsia"/>
          <w:color w:val="auto"/>
          <w:lang w:val="en-US" w:eastAsia="zh-CN"/>
        </w:rPr>
        <w:t>定期对</w:t>
      </w:r>
      <w:r>
        <w:rPr>
          <w:rFonts w:hint="default" w:ascii="Times New Roman" w:hAnsi="Times New Roman" w:cs="Times New Roman"/>
          <w:color w:val="auto"/>
          <w:szCs w:val="22"/>
          <w:highlight w:val="none"/>
          <w:lang w:eastAsia="zh-CN"/>
        </w:rPr>
        <w:t>堆粪场</w:t>
      </w:r>
      <w:r>
        <w:rPr>
          <w:rFonts w:hint="eastAsia" w:ascii="Times New Roman" w:hAnsi="Times New Roman" w:cs="Times New Roman"/>
          <w:color w:val="auto"/>
          <w:szCs w:val="22"/>
          <w:highlight w:val="none"/>
          <w:lang w:val="en-US" w:eastAsia="zh-CN"/>
        </w:rPr>
        <w:t>地面</w:t>
      </w:r>
      <w:r>
        <w:rPr>
          <w:rFonts w:hint="default" w:ascii="Times New Roman" w:hAnsi="Times New Roman" w:cs="Times New Roman"/>
          <w:color w:val="auto"/>
          <w:szCs w:val="22"/>
          <w:highlight w:val="none"/>
        </w:rPr>
        <w:t>、</w:t>
      </w:r>
      <w:r>
        <w:rPr>
          <w:rFonts w:hint="eastAsia" w:ascii="Times New Roman" w:hAnsi="Times New Roman" w:cs="Times New Roman"/>
          <w:color w:val="auto"/>
          <w:szCs w:val="22"/>
          <w:highlight w:val="none"/>
          <w:lang w:val="en-US" w:eastAsia="zh-CN"/>
        </w:rPr>
        <w:t>污水</w:t>
      </w:r>
      <w:r>
        <w:rPr>
          <w:rFonts w:hint="default" w:ascii="Times New Roman" w:hAnsi="Times New Roman" w:cs="Times New Roman"/>
          <w:color w:val="auto"/>
          <w:szCs w:val="22"/>
          <w:highlight w:val="none"/>
        </w:rPr>
        <w:t>管道</w:t>
      </w:r>
      <w:r>
        <w:rPr>
          <w:rFonts w:hint="eastAsia" w:ascii="Times New Roman" w:hAnsi="Times New Roman" w:cs="Times New Roman"/>
          <w:color w:val="auto"/>
          <w:szCs w:val="22"/>
          <w:highlight w:val="none"/>
          <w:lang w:val="en-US" w:eastAsia="zh-CN"/>
        </w:rPr>
        <w:t>等进行检查，</w:t>
      </w:r>
      <w:r>
        <w:rPr>
          <w:rFonts w:hint="default" w:ascii="Times New Roman" w:hAnsi="Times New Roman" w:cs="Times New Roman"/>
          <w:color w:val="auto"/>
          <w:szCs w:val="22"/>
          <w:highlight w:val="none"/>
        </w:rPr>
        <w:t>将废水泄漏的环境风险事故降低到最低程度</w:t>
      </w:r>
      <w:r>
        <w:rPr>
          <w:rFonts w:hint="eastAsia" w:ascii="Times New Roman" w:hAnsi="Times New Roman" w:cs="Times New Roman"/>
          <w:color w:val="auto"/>
          <w:szCs w:val="22"/>
          <w:highlight w:val="none"/>
          <w:lang w:eastAsia="zh-CN"/>
        </w:rPr>
        <w:t>。</w:t>
      </w:r>
      <w:r>
        <w:rPr>
          <w:rFonts w:hint="eastAsia" w:ascii="Times New Roman" w:hAnsi="Times New Roman" w:cs="Times New Roman"/>
          <w:color w:val="auto"/>
          <w:szCs w:val="22"/>
          <w:highlight w:val="none"/>
          <w:lang w:val="en-US" w:eastAsia="zh-CN"/>
        </w:rPr>
        <w:t>发现防渗层破损或管道破损等可能造成泄露的情况，应停止该部分的使用并进行修复。</w:t>
      </w:r>
    </w:p>
    <w:p>
      <w:pPr>
        <w:pStyle w:val="5"/>
        <w:pageBreakBefore w:val="0"/>
        <w:widowControl w:val="0"/>
        <w:kinsoku/>
        <w:wordWrap/>
        <w:overflowPunct/>
        <w:topLinePunct w:val="0"/>
        <w:autoSpaceDE/>
        <w:autoSpaceDN/>
        <w:bidi w:val="0"/>
        <w:adjustRightInd w:val="0"/>
        <w:snapToGrid w:val="0"/>
        <w:spacing w:beforeLines="0" w:afterLines="0"/>
        <w:ind w:left="0" w:leftChars="0" w:right="0" w:rightChars="0" w:firstLine="0" w:firstLineChars="0"/>
        <w:textAlignment w:val="auto"/>
        <w:rPr>
          <w:rFonts w:hint="default" w:ascii="Times New Roman" w:hAnsi="Times New Roman" w:cs="Times New Roman"/>
          <w:color w:val="auto"/>
          <w:highlight w:val="none"/>
        </w:rPr>
      </w:pPr>
      <w:bookmarkStart w:id="247" w:name="_Toc16907"/>
      <w:r>
        <w:rPr>
          <w:rFonts w:hint="default" w:ascii="Times New Roman" w:hAnsi="Times New Roman" w:cs="Times New Roman"/>
          <w:color w:val="auto"/>
          <w:highlight w:val="none"/>
        </w:rPr>
        <w:t>固体废物影响</w:t>
      </w:r>
      <w:bookmarkEnd w:id="247"/>
      <w:r>
        <w:rPr>
          <w:rFonts w:hint="default" w:ascii="Times New Roman" w:hAnsi="Times New Roman" w:cs="Times New Roman"/>
          <w:color w:val="auto"/>
          <w:highlight w:val="none"/>
          <w:lang w:val="en-US" w:eastAsia="zh-CN"/>
        </w:rPr>
        <w:t>分析</w:t>
      </w:r>
    </w:p>
    <w:p>
      <w:pPr>
        <w:keepNext w:val="0"/>
        <w:keepLines w:val="0"/>
        <w:pageBreakBefore w:val="0"/>
        <w:widowControl w:val="0"/>
        <w:kinsoku/>
        <w:wordWrap/>
        <w:overflowPunct/>
        <w:topLinePunct w:val="0"/>
        <w:autoSpaceDE/>
        <w:autoSpaceDN/>
        <w:bidi w:val="0"/>
        <w:adjustRightInd w:val="0"/>
        <w:snapToGrid w:val="0"/>
        <w:spacing w:line="336" w:lineRule="auto"/>
        <w:ind w:left="0" w:leftChars="0" w:right="0" w:rightChars="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本项目产生的固体废物主要为养殖区产生的</w:t>
      </w:r>
      <w:r>
        <w:rPr>
          <w:rFonts w:hint="default" w:ascii="Times New Roman" w:hAnsi="Times New Roman" w:cs="Times New Roman"/>
          <w:color w:val="auto"/>
          <w:highlight w:val="none"/>
          <w:lang w:eastAsia="zh-CN"/>
        </w:rPr>
        <w:t>粪污</w:t>
      </w:r>
      <w:r>
        <w:rPr>
          <w:rFonts w:hint="default" w:ascii="Times New Roman" w:hAnsi="Times New Roman" w:cs="Times New Roman"/>
          <w:color w:val="auto"/>
          <w:highlight w:val="none"/>
        </w:rPr>
        <w:t>、</w:t>
      </w:r>
      <w:r>
        <w:rPr>
          <w:rFonts w:hint="eastAsia" w:cs="Times New Roman"/>
          <w:color w:val="auto"/>
          <w:highlight w:val="none"/>
          <w:lang w:eastAsia="zh-CN"/>
        </w:rPr>
        <w:t>病死牛尸</w:t>
      </w:r>
      <w:r>
        <w:rPr>
          <w:rFonts w:hint="default" w:ascii="Times New Roman" w:hAnsi="Times New Roman" w:cs="Times New Roman"/>
          <w:color w:val="auto"/>
          <w:highlight w:val="none"/>
        </w:rPr>
        <w:t>、医疗废物</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生活垃圾和</w:t>
      </w:r>
      <w:r>
        <w:rPr>
          <w:rFonts w:hint="default" w:ascii="Times New Roman" w:hAnsi="Times New Roman" w:cs="Times New Roman"/>
          <w:color w:val="auto"/>
          <w:highlight w:val="none"/>
          <w:lang w:val="en-US" w:eastAsia="zh-CN"/>
        </w:rPr>
        <w:t>布袋除尘收集的粉尘</w:t>
      </w:r>
      <w:r>
        <w:rPr>
          <w:rFonts w:hint="default" w:ascii="Times New Roman" w:hAnsi="Times New Roman" w:cs="Times New Roman"/>
          <w:color w:val="auto"/>
          <w:highlight w:val="none"/>
        </w:rPr>
        <w:t>。</w:t>
      </w:r>
    </w:p>
    <w:p>
      <w:pPr>
        <w:pStyle w:val="6"/>
        <w:pageBreakBefore w:val="0"/>
        <w:wordWrap/>
        <w:bidi w:val="0"/>
        <w:adjustRightInd w:val="0"/>
        <w:ind w:left="0" w:leftChars="0" w:right="0" w:righ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粪污</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根据《畜禽养殖业污染防治技术规范》</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"http://www.mee.gov.cn/image20010518/4589.pdf" </w:instrText>
      </w:r>
      <w:r>
        <w:rPr>
          <w:rFonts w:hint="default" w:ascii="Times New Roman" w:hAnsi="Times New Roman" w:cs="Times New Roman"/>
          <w:color w:val="auto"/>
          <w:highlight w:val="none"/>
        </w:rPr>
        <w:fldChar w:fldCharType="separate"/>
      </w:r>
      <w:r>
        <w:rPr>
          <w:rFonts w:hint="eastAsia" w:ascii="Times New Roman" w:hAnsi="Times New Roman" w:cs="Times New Roman"/>
          <w:color w:val="auto"/>
          <w:highlight w:val="none"/>
        </w:rPr>
        <w:t>（HJ/T 81—2001）</w:t>
      </w:r>
      <w:r>
        <w:rPr>
          <w:rFonts w:hint="eastAsia" w:ascii="Times New Roman" w:hAnsi="Times New Roman" w:cs="Times New Roman"/>
          <w:color w:val="auto"/>
          <w:highlight w:val="none"/>
        </w:rPr>
        <w:fldChar w:fldCharType="end"/>
      </w:r>
      <w:r>
        <w:rPr>
          <w:rFonts w:hint="default" w:ascii="Times New Roman" w:hAnsi="Times New Roman" w:cs="Times New Roman"/>
          <w:color w:val="auto"/>
          <w:highlight w:val="none"/>
        </w:rPr>
        <w:t>要求，</w:t>
      </w:r>
      <w:r>
        <w:rPr>
          <w:rFonts w:hint="default" w:ascii="Times New Roman" w:hAnsi="Times New Roman" w:cs="Times New Roman"/>
          <w:color w:val="auto"/>
          <w:highlight w:val="none"/>
          <w:lang w:eastAsia="zh-CN"/>
        </w:rPr>
        <w:t>养殖基地</w:t>
      </w:r>
      <w:r>
        <w:rPr>
          <w:rFonts w:hint="default" w:ascii="Times New Roman" w:hAnsi="Times New Roman" w:cs="Times New Roman"/>
          <w:color w:val="auto"/>
          <w:highlight w:val="none"/>
        </w:rPr>
        <w:t>采取干法清粪工艺，采取</w:t>
      </w:r>
      <w:r>
        <w:rPr>
          <w:rFonts w:hint="default" w:ascii="Times New Roman" w:hAnsi="Times New Roman" w:cs="Times New Roman"/>
          <w:color w:val="auto"/>
          <w:highlight w:val="none"/>
          <w:lang w:val="en-US" w:eastAsia="zh-CN"/>
        </w:rPr>
        <w:t>机械</w:t>
      </w:r>
      <w:r>
        <w:rPr>
          <w:rFonts w:hint="default" w:ascii="Times New Roman" w:hAnsi="Times New Roman" w:cs="Times New Roman"/>
          <w:color w:val="auto"/>
          <w:highlight w:val="none"/>
        </w:rPr>
        <w:t>将</w:t>
      </w:r>
      <w:r>
        <w:rPr>
          <w:rFonts w:hint="default" w:ascii="Times New Roman" w:hAnsi="Times New Roman" w:cs="Times New Roman"/>
          <w:color w:val="auto"/>
          <w:highlight w:val="none"/>
          <w:lang w:eastAsia="zh-CN"/>
        </w:rPr>
        <w:t>粪污</w:t>
      </w:r>
      <w:r>
        <w:rPr>
          <w:rFonts w:hint="default" w:ascii="Times New Roman" w:hAnsi="Times New Roman" w:cs="Times New Roman"/>
          <w:color w:val="auto"/>
          <w:highlight w:val="none"/>
        </w:rPr>
        <w:t>及时、单独清出。</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本项目粪污采用干清粪，日产日清，清理的粪污在堆粪场进行堆肥处理。本项目</w:t>
      </w:r>
      <w:r>
        <w:rPr>
          <w:rFonts w:hint="default" w:ascii="Times New Roman" w:hAnsi="Times New Roman" w:cs="Times New Roman"/>
          <w:color w:val="auto"/>
          <w:highlight w:val="none"/>
          <w:lang w:val="en-US" w:eastAsia="zh-CN"/>
        </w:rPr>
        <w:t>堆肥后</w:t>
      </w:r>
      <w:r>
        <w:rPr>
          <w:rFonts w:hint="eastAsia" w:cs="Times New Roman"/>
          <w:color w:val="auto"/>
          <w:highlight w:val="none"/>
          <w:lang w:eastAsia="zh-CN"/>
        </w:rPr>
        <w:t>有机肥产生量</w:t>
      </w:r>
      <w:r>
        <w:rPr>
          <w:rFonts w:hint="default" w:ascii="Times New Roman" w:hAnsi="Times New Roman" w:cs="Times New Roman"/>
          <w:color w:val="auto"/>
          <w:highlight w:val="none"/>
        </w:rPr>
        <w:t>为</w:t>
      </w:r>
      <w:r>
        <w:rPr>
          <w:rFonts w:hint="default" w:ascii="Times New Roman" w:hAnsi="Times New Roman" w:cs="Times New Roman"/>
          <w:color w:val="auto"/>
          <w:kern w:val="0"/>
          <w:sz w:val="24"/>
          <w:szCs w:val="24"/>
          <w:highlight w:val="none"/>
          <w:lang w:val="en-US" w:eastAsia="zh-CN" w:bidi="ar"/>
        </w:rPr>
        <w:t>7507.32</w:t>
      </w:r>
      <w:r>
        <w:rPr>
          <w:rFonts w:hint="default" w:ascii="Times New Roman" w:hAnsi="Times New Roman" w:cs="Times New Roman"/>
          <w:color w:val="auto"/>
          <w:highlight w:val="none"/>
        </w:rPr>
        <w:t>t/a</w:t>
      </w:r>
      <w:r>
        <w:rPr>
          <w:rFonts w:hint="eastAsia"/>
          <w:color w:val="auto"/>
          <w:lang w:eastAsia="zh-CN"/>
        </w:rPr>
        <w:t>，</w:t>
      </w:r>
      <w:r>
        <w:rPr>
          <w:rFonts w:hint="default" w:ascii="Times New Roman" w:hAnsi="Times New Roman" w:cs="Times New Roman"/>
          <w:color w:val="auto"/>
          <w:highlight w:val="none"/>
        </w:rPr>
        <w:t>在达到《畜禽养殖业污染物排放标准》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GB18596-2001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中关于</w:t>
      </w:r>
      <w:r>
        <w:rPr>
          <w:rFonts w:hint="default" w:ascii="Times New Roman" w:hAnsi="Times New Roman" w:cs="Times New Roman"/>
          <w:color w:val="auto"/>
          <w:highlight w:val="none"/>
          <w:lang w:eastAsia="zh-CN"/>
        </w:rPr>
        <w:t>粪污</w:t>
      </w:r>
      <w:r>
        <w:rPr>
          <w:rFonts w:hint="default" w:ascii="Times New Roman" w:hAnsi="Times New Roman" w:cs="Times New Roman"/>
          <w:color w:val="auto"/>
          <w:highlight w:val="none"/>
        </w:rPr>
        <w:t>无害化处理的要求之后</w:t>
      </w:r>
      <w:r>
        <w:rPr>
          <w:rFonts w:hint="eastAsia" w:cs="Times New Roman"/>
          <w:color w:val="auto"/>
          <w:highlight w:val="none"/>
          <w:lang w:val="en-US" w:eastAsia="zh-CN"/>
        </w:rPr>
        <w:t>用于垫料及还田利用</w:t>
      </w:r>
      <w:r>
        <w:rPr>
          <w:rFonts w:hint="default" w:ascii="Times New Roman" w:hAnsi="Times New Roman" w:cs="Times New Roman"/>
          <w:color w:val="auto"/>
          <w:highlight w:val="none"/>
        </w:rPr>
        <w:t>。</w:t>
      </w:r>
    </w:p>
    <w:p>
      <w:pPr>
        <w:pStyle w:val="6"/>
        <w:pageBreakBefore w:val="0"/>
        <w:wordWrap/>
        <w:bidi w:val="0"/>
        <w:adjustRightInd w:val="0"/>
        <w:ind w:left="0" w:leftChars="0" w:right="0" w:rightChars="0" w:firstLine="0" w:firstLineChars="0"/>
        <w:rPr>
          <w:rFonts w:hint="default" w:ascii="Times New Roman" w:hAnsi="Times New Roman" w:cs="Times New Roman"/>
          <w:color w:val="auto"/>
          <w:highlight w:val="none"/>
        </w:rPr>
      </w:pPr>
      <w:r>
        <w:rPr>
          <w:rFonts w:hint="eastAsia" w:ascii="Times New Roman" w:hAnsi="Times New Roman" w:cs="Times New Roman"/>
          <w:color w:val="auto"/>
          <w:highlight w:val="none"/>
          <w:lang w:eastAsia="zh-CN"/>
        </w:rPr>
        <w:t>病死牛尸</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本项目病死牛只</w:t>
      </w:r>
      <w:r>
        <w:rPr>
          <w:rFonts w:hint="default" w:ascii="Times New Roman" w:hAnsi="Times New Roman" w:cs="Times New Roman"/>
          <w:color w:val="auto"/>
          <w:highlight w:val="none"/>
          <w:lang w:val="en-US" w:eastAsia="zh-CN"/>
        </w:rPr>
        <w:t>30</w:t>
      </w:r>
      <w:r>
        <w:rPr>
          <w:rFonts w:hint="default" w:ascii="Times New Roman" w:hAnsi="Times New Roman" w:cs="Times New Roman"/>
          <w:color w:val="auto"/>
          <w:highlight w:val="none"/>
        </w:rPr>
        <w:t>头/a，</w:t>
      </w:r>
      <w:r>
        <w:rPr>
          <w:rFonts w:hint="default" w:ascii="Times New Roman" w:hAnsi="Times New Roman" w:eastAsia="宋体" w:cs="Times New Roman"/>
          <w:color w:val="auto"/>
          <w:kern w:val="0"/>
          <w:sz w:val="24"/>
          <w:szCs w:val="24"/>
          <w:highlight w:val="none"/>
          <w:lang w:val="en-US" w:eastAsia="zh-CN" w:bidi="ar"/>
        </w:rPr>
        <w:t>平均重量以800kg/头计，共计约</w:t>
      </w:r>
      <w:r>
        <w:rPr>
          <w:rFonts w:hint="default" w:ascii="Times New Roman" w:hAnsi="Times New Roman" w:cs="Times New Roman"/>
          <w:color w:val="auto"/>
          <w:kern w:val="0"/>
          <w:sz w:val="24"/>
          <w:szCs w:val="24"/>
          <w:highlight w:val="none"/>
          <w:lang w:val="en-US" w:eastAsia="zh-CN" w:bidi="ar"/>
        </w:rPr>
        <w:t>24</w:t>
      </w:r>
      <w:r>
        <w:rPr>
          <w:rFonts w:hint="default" w:ascii="Times New Roman" w:hAnsi="Times New Roman" w:eastAsia="宋体" w:cs="Times New Roman"/>
          <w:color w:val="auto"/>
          <w:kern w:val="0"/>
          <w:sz w:val="24"/>
          <w:szCs w:val="24"/>
          <w:highlight w:val="none"/>
          <w:lang w:val="en-US" w:eastAsia="zh-CN" w:bidi="ar"/>
        </w:rPr>
        <w:t>t</w:t>
      </w:r>
      <w:r>
        <w:rPr>
          <w:rFonts w:hint="default" w:ascii="Times New Roman" w:hAnsi="Times New Roman" w:cs="Times New Roman"/>
          <w:color w:val="auto"/>
          <w:kern w:val="0"/>
          <w:sz w:val="24"/>
          <w:szCs w:val="24"/>
          <w:highlight w:val="none"/>
          <w:lang w:val="en-US" w:eastAsia="zh-CN" w:bidi="ar"/>
        </w:rPr>
        <w:t>/a，</w:t>
      </w:r>
      <w:r>
        <w:rPr>
          <w:rFonts w:hint="default" w:ascii="Times New Roman" w:hAnsi="Times New Roman" w:eastAsia="宋体" w:cs="Times New Roman"/>
          <w:color w:val="auto"/>
          <w:kern w:val="2"/>
          <w:sz w:val="24"/>
          <w:szCs w:val="24"/>
          <w:highlight w:val="none"/>
          <w:lang w:val="en-US" w:eastAsia="zh-CN" w:bidi="ar-SA"/>
        </w:rPr>
        <w:t>病死牛尸体</w:t>
      </w:r>
      <w:r>
        <w:rPr>
          <w:rFonts w:hint="default" w:ascii="Times New Roman" w:hAnsi="Times New Roman" w:eastAsia="宋体" w:cs="Times New Roman"/>
          <w:color w:val="auto"/>
          <w:highlight w:val="none"/>
        </w:rPr>
        <w:t>由</w:t>
      </w:r>
      <w:r>
        <w:rPr>
          <w:rFonts w:hint="default" w:ascii="Times New Roman" w:hAnsi="Times New Roman" w:cs="Times New Roman"/>
          <w:color w:val="auto"/>
          <w:highlight w:val="none"/>
          <w:lang w:val="en-US" w:eastAsia="zh-CN"/>
        </w:rPr>
        <w:t>安全填埋井填埋</w:t>
      </w:r>
      <w:r>
        <w:rPr>
          <w:rFonts w:hint="default" w:ascii="Times New Roman" w:hAnsi="Times New Roman" w:cs="Times New Roman"/>
          <w:color w:val="auto"/>
          <w:highlight w:val="none"/>
        </w:rPr>
        <w:t>。</w:t>
      </w:r>
    </w:p>
    <w:p>
      <w:pPr>
        <w:pStyle w:val="6"/>
        <w:pageBreakBefore w:val="0"/>
        <w:wordWrap/>
        <w:bidi w:val="0"/>
        <w:adjustRightInd w:val="0"/>
        <w:ind w:left="0" w:leftChars="0" w:right="0" w:rightChars="0" w:firstLine="0" w:firstLineChars="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医疗废物</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480" w:firstLineChars="200"/>
        <w:jc w:val="both"/>
        <w:textAlignment w:val="baseline"/>
        <w:rPr>
          <w:rFonts w:hint="default" w:ascii="Times New Roman" w:hAnsi="Times New Roman" w:eastAsia="宋体" w:cs="Times New Roman"/>
          <w:color w:val="auto"/>
          <w:spacing w:val="0"/>
          <w:position w:val="0"/>
          <w:sz w:val="24"/>
          <w:szCs w:val="24"/>
          <w:highlight w:val="none"/>
        </w:rPr>
      </w:pPr>
      <w:r>
        <w:rPr>
          <w:rFonts w:hint="default" w:ascii="Times New Roman" w:hAnsi="Times New Roman" w:eastAsia="宋体" w:cs="Times New Roman"/>
          <w:color w:val="auto"/>
          <w:spacing w:val="0"/>
          <w:position w:val="0"/>
          <w:sz w:val="24"/>
          <w:szCs w:val="24"/>
          <w:highlight w:val="none"/>
        </w:rPr>
        <w:t>项目隔离圈舍</w:t>
      </w:r>
      <w:r>
        <w:rPr>
          <w:rFonts w:hint="eastAsia" w:cs="Times New Roman"/>
          <w:color w:val="auto"/>
          <w:spacing w:val="0"/>
          <w:position w:val="0"/>
          <w:sz w:val="24"/>
          <w:szCs w:val="24"/>
          <w:highlight w:val="none"/>
          <w:lang w:val="en-US" w:eastAsia="zh-CN"/>
        </w:rPr>
        <w:t>对牛只</w:t>
      </w:r>
      <w:r>
        <w:rPr>
          <w:rFonts w:hint="default" w:ascii="Times New Roman" w:hAnsi="Times New Roman" w:eastAsia="宋体" w:cs="Times New Roman"/>
          <w:color w:val="auto"/>
          <w:spacing w:val="0"/>
          <w:position w:val="0"/>
          <w:sz w:val="24"/>
          <w:szCs w:val="24"/>
          <w:highlight w:val="none"/>
        </w:rPr>
        <w:t>进行防疫、医疗等过程将产生医疗废物，主要为一次性注射器、药品废包装、消毒棉纱级废弃的药品等，项目</w:t>
      </w:r>
      <w:r>
        <w:rPr>
          <w:rFonts w:hint="eastAsia" w:cs="Times New Roman"/>
          <w:color w:val="auto"/>
          <w:spacing w:val="0"/>
          <w:position w:val="0"/>
          <w:sz w:val="24"/>
          <w:szCs w:val="24"/>
          <w:highlight w:val="none"/>
          <w:lang w:val="en-US" w:eastAsia="zh-CN"/>
        </w:rPr>
        <w:t>运营</w:t>
      </w:r>
      <w:r>
        <w:rPr>
          <w:rFonts w:hint="default" w:ascii="Times New Roman" w:hAnsi="Times New Roman" w:eastAsia="宋体" w:cs="Times New Roman"/>
          <w:color w:val="auto"/>
          <w:spacing w:val="0"/>
          <w:position w:val="0"/>
          <w:sz w:val="24"/>
          <w:szCs w:val="24"/>
          <w:highlight w:val="none"/>
        </w:rPr>
        <w:t>后产生的医疗废物约</w:t>
      </w:r>
      <w:r>
        <w:rPr>
          <w:rFonts w:hint="default" w:ascii="Times New Roman" w:hAnsi="Times New Roman" w:eastAsia="宋体" w:cs="Times New Roman"/>
          <w:color w:val="auto"/>
          <w:spacing w:val="0"/>
          <w:position w:val="0"/>
          <w:sz w:val="24"/>
          <w:szCs w:val="24"/>
          <w:highlight w:val="none"/>
          <w:lang w:val="en-US" w:eastAsia="zh-CN"/>
        </w:rPr>
        <w:t>1.1</w:t>
      </w:r>
      <w:r>
        <w:rPr>
          <w:rFonts w:hint="default" w:ascii="Times New Roman" w:hAnsi="Times New Roman" w:eastAsia="宋体" w:cs="Times New Roman"/>
          <w:color w:val="auto"/>
          <w:spacing w:val="0"/>
          <w:position w:val="0"/>
          <w:sz w:val="24"/>
          <w:szCs w:val="24"/>
          <w:highlight w:val="none"/>
        </w:rPr>
        <w:t>t/a。根据《国家危险废物名录(2021年版)》，医疗废物属于“HW01医疗废物”，医疗废物在项目区</w:t>
      </w:r>
      <w:r>
        <w:rPr>
          <w:rFonts w:hint="eastAsia"/>
          <w:color w:val="auto"/>
          <w:lang w:val="en-US" w:eastAsia="zh-CN"/>
        </w:rPr>
        <w:t>分类收集暂存于</w:t>
      </w:r>
      <w:r>
        <w:rPr>
          <w:rFonts w:hint="default" w:ascii="Times New Roman" w:hAnsi="Times New Roman" w:cs="Times New Roman"/>
          <w:color w:val="auto"/>
          <w:szCs w:val="22"/>
          <w:highlight w:val="none"/>
        </w:rPr>
        <w:t>医疗废物暂存间</w:t>
      </w:r>
      <w:r>
        <w:rPr>
          <w:rFonts w:hint="default" w:ascii="Times New Roman" w:hAnsi="Times New Roman" w:eastAsia="宋体" w:cs="Times New Roman"/>
          <w:color w:val="auto"/>
          <w:spacing w:val="0"/>
          <w:position w:val="0"/>
          <w:sz w:val="24"/>
          <w:szCs w:val="24"/>
          <w:highlight w:val="none"/>
        </w:rPr>
        <w:t>后委托具有处理资质的单位处理，对环境的影响较小。</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480" w:firstLineChars="200"/>
        <w:jc w:val="both"/>
        <w:textAlignment w:val="baseline"/>
        <w:rPr>
          <w:rFonts w:hint="default" w:ascii="Times New Roman" w:hAnsi="Times New Roman" w:eastAsia="宋体" w:cs="Times New Roman"/>
          <w:color w:val="auto"/>
          <w:spacing w:val="0"/>
          <w:position w:val="0"/>
          <w:sz w:val="24"/>
          <w:szCs w:val="24"/>
          <w:highlight w:val="none"/>
        </w:rPr>
      </w:pPr>
      <w:r>
        <w:rPr>
          <w:rFonts w:hint="default" w:ascii="Times New Roman" w:hAnsi="Times New Roman" w:eastAsia="宋体" w:cs="Times New Roman"/>
          <w:color w:val="auto"/>
          <w:spacing w:val="0"/>
          <w:position w:val="0"/>
          <w:sz w:val="24"/>
          <w:szCs w:val="24"/>
          <w:highlight w:val="none"/>
        </w:rPr>
        <w:t>根据</w:t>
      </w:r>
      <w:r>
        <w:rPr>
          <w:rFonts w:hint="default" w:ascii="Times New Roman" w:hAnsi="Times New Roman" w:cs="Times New Roman"/>
          <w:color w:val="auto"/>
          <w:spacing w:val="0"/>
          <w:position w:val="0"/>
          <w:sz w:val="24"/>
          <w:szCs w:val="24"/>
          <w:highlight w:val="none"/>
          <w:lang w:eastAsia="zh-CN"/>
        </w:rPr>
        <w:t>《危险废物贮存污染控制标准》（GB 18597-2023），</w:t>
      </w:r>
      <w:r>
        <w:rPr>
          <w:rFonts w:hint="default" w:ascii="Times New Roman" w:hAnsi="Times New Roman" w:eastAsia="宋体" w:cs="Times New Roman"/>
          <w:color w:val="auto"/>
          <w:spacing w:val="0"/>
          <w:position w:val="0"/>
          <w:sz w:val="24"/>
          <w:szCs w:val="24"/>
          <w:highlight w:val="none"/>
        </w:rPr>
        <w:t>厂区内设置的</w:t>
      </w:r>
      <w:r>
        <w:rPr>
          <w:rFonts w:hint="default" w:ascii="Times New Roman" w:hAnsi="Times New Roman" w:cs="Times New Roman"/>
          <w:color w:val="auto"/>
          <w:spacing w:val="0"/>
          <w:position w:val="0"/>
          <w:sz w:val="24"/>
          <w:szCs w:val="24"/>
          <w:highlight w:val="none"/>
          <w:lang w:eastAsia="zh-CN"/>
        </w:rPr>
        <w:t>医疗废物暂存间</w:t>
      </w:r>
      <w:r>
        <w:rPr>
          <w:rFonts w:hint="default" w:ascii="Times New Roman" w:hAnsi="Times New Roman" w:eastAsia="宋体" w:cs="Times New Roman"/>
          <w:color w:val="auto"/>
          <w:spacing w:val="0"/>
          <w:position w:val="0"/>
          <w:sz w:val="24"/>
          <w:szCs w:val="24"/>
          <w:highlight w:val="none"/>
        </w:rPr>
        <w:t>的设置要求如下：</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480" w:firstLineChars="200"/>
        <w:jc w:val="both"/>
        <w:textAlignment w:val="baseline"/>
        <w:rPr>
          <w:rFonts w:hint="default" w:ascii="Times New Roman" w:hAnsi="Times New Roman" w:eastAsia="宋体" w:cs="Times New Roman"/>
          <w:color w:val="auto"/>
          <w:spacing w:val="0"/>
          <w:position w:val="0"/>
          <w:sz w:val="24"/>
          <w:szCs w:val="24"/>
          <w:highlight w:val="none"/>
        </w:rPr>
      </w:pPr>
      <w:r>
        <w:rPr>
          <w:rFonts w:hint="default" w:ascii="Times New Roman" w:hAnsi="Times New Roman" w:eastAsia="宋体" w:cs="Times New Roman"/>
          <w:color w:val="auto"/>
          <w:spacing w:val="0"/>
          <w:position w:val="0"/>
          <w:sz w:val="24"/>
          <w:szCs w:val="24"/>
          <w:highlight w:val="none"/>
        </w:rPr>
        <w:t>a.危险废物贮存设施的选址、设计、建设、运行管理应满足GB18597、GBZ</w:t>
      </w:r>
      <w:r>
        <w:rPr>
          <w:rFonts w:hint="default" w:ascii="Times New Roman" w:hAnsi="Times New Roman" w:cs="Times New Roman"/>
          <w:color w:val="auto"/>
          <w:spacing w:val="0"/>
          <w:position w:val="0"/>
          <w:sz w:val="24"/>
          <w:szCs w:val="24"/>
          <w:highlight w:val="none"/>
          <w:lang w:val="en-US" w:eastAsia="zh-CN"/>
        </w:rPr>
        <w:t xml:space="preserve"> </w:t>
      </w:r>
      <w:r>
        <w:rPr>
          <w:rFonts w:hint="default" w:ascii="Times New Roman" w:hAnsi="Times New Roman" w:eastAsia="宋体" w:cs="Times New Roman"/>
          <w:color w:val="auto"/>
          <w:spacing w:val="0"/>
          <w:position w:val="0"/>
          <w:sz w:val="24"/>
          <w:szCs w:val="24"/>
          <w:highlight w:val="none"/>
        </w:rPr>
        <w:t>1和GBZ</w:t>
      </w:r>
      <w:r>
        <w:rPr>
          <w:rFonts w:hint="default" w:ascii="Times New Roman" w:hAnsi="Times New Roman" w:cs="Times New Roman"/>
          <w:color w:val="auto"/>
          <w:spacing w:val="0"/>
          <w:position w:val="0"/>
          <w:sz w:val="24"/>
          <w:szCs w:val="24"/>
          <w:highlight w:val="none"/>
          <w:lang w:val="en-US" w:eastAsia="zh-CN"/>
        </w:rPr>
        <w:t xml:space="preserve"> </w:t>
      </w:r>
      <w:r>
        <w:rPr>
          <w:rFonts w:hint="default" w:ascii="Times New Roman" w:hAnsi="Times New Roman" w:eastAsia="宋体" w:cs="Times New Roman"/>
          <w:color w:val="auto"/>
          <w:spacing w:val="0"/>
          <w:position w:val="0"/>
          <w:sz w:val="24"/>
          <w:szCs w:val="24"/>
          <w:highlight w:val="none"/>
        </w:rPr>
        <w:t>2的有关要求。</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480" w:firstLineChars="200"/>
        <w:jc w:val="both"/>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pacing w:val="0"/>
          <w:position w:val="0"/>
          <w:sz w:val="24"/>
          <w:szCs w:val="24"/>
          <w:highlight w:val="none"/>
        </w:rPr>
        <w:t>b.</w:t>
      </w:r>
      <w:r>
        <w:rPr>
          <w:rFonts w:hint="default" w:ascii="Times New Roman" w:hAnsi="Times New Roman" w:eastAsia="宋体" w:cs="Times New Roman"/>
          <w:color w:val="auto"/>
          <w:sz w:val="24"/>
          <w:szCs w:val="24"/>
          <w:lang w:val="en-US" w:eastAsia="zh-CN"/>
        </w:rPr>
        <w:t>应具有固定的区域边界，并应采取与其他区域进行隔离的措施。</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480" w:firstLineChars="200"/>
        <w:jc w:val="both"/>
        <w:textAlignment w:val="baseline"/>
        <w:rPr>
          <w:rFonts w:hint="default" w:ascii="Times New Roman" w:hAnsi="Times New Roman" w:eastAsia="宋体" w:cs="Times New Roman"/>
          <w:color w:val="auto"/>
          <w:spacing w:val="0"/>
          <w:position w:val="0"/>
          <w:sz w:val="24"/>
          <w:szCs w:val="24"/>
          <w:highlight w:val="none"/>
        </w:rPr>
      </w:pPr>
      <w:r>
        <w:rPr>
          <w:rFonts w:hint="default" w:ascii="Times New Roman" w:hAnsi="Times New Roman" w:eastAsia="宋体" w:cs="Times New Roman"/>
          <w:color w:val="auto"/>
          <w:spacing w:val="0"/>
          <w:position w:val="0"/>
          <w:sz w:val="24"/>
          <w:szCs w:val="24"/>
          <w:highlight w:val="none"/>
        </w:rPr>
        <w:t>c.</w:t>
      </w:r>
      <w:r>
        <w:rPr>
          <w:rFonts w:hint="default" w:ascii="Times New Roman" w:hAnsi="Times New Roman" w:eastAsia="宋体" w:cs="Times New Roman"/>
          <w:color w:val="auto"/>
          <w:sz w:val="24"/>
          <w:szCs w:val="24"/>
          <w:highlight w:val="none"/>
          <w:lang w:val="en-US" w:eastAsia="zh-CN"/>
        </w:rPr>
        <w:t>应采取防风、防雨、防晒和防止危险废物流失、扬散等措施。</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480" w:firstLineChars="200"/>
        <w:jc w:val="both"/>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pacing w:val="0"/>
          <w:position w:val="0"/>
          <w:sz w:val="24"/>
          <w:szCs w:val="24"/>
          <w:highlight w:val="none"/>
        </w:rPr>
        <w:t>d.</w:t>
      </w:r>
      <w:r>
        <w:rPr>
          <w:rFonts w:hint="default" w:ascii="Times New Roman" w:hAnsi="Times New Roman" w:eastAsia="宋体" w:cs="Times New Roman"/>
          <w:color w:val="auto"/>
          <w:sz w:val="24"/>
          <w:szCs w:val="24"/>
          <w:highlight w:val="none"/>
          <w:lang w:val="en-US" w:eastAsia="zh-CN"/>
        </w:rPr>
        <w:t>贮存的危险废物应置于容器或包装物中，不应直接散堆。</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480" w:firstLineChars="200"/>
        <w:jc w:val="both"/>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pacing w:val="0"/>
          <w:position w:val="0"/>
          <w:sz w:val="24"/>
          <w:szCs w:val="24"/>
          <w:highlight w:val="none"/>
        </w:rPr>
        <w:t>e.</w:t>
      </w:r>
      <w:r>
        <w:rPr>
          <w:rFonts w:hint="default" w:ascii="Times New Roman" w:hAnsi="Times New Roman" w:eastAsia="宋体" w:cs="Times New Roman"/>
          <w:color w:val="auto"/>
          <w:sz w:val="24"/>
          <w:szCs w:val="24"/>
          <w:highlight w:val="none"/>
          <w:lang w:val="en-US" w:eastAsia="zh-CN"/>
        </w:rPr>
        <w:t>贮存点应根据危险废物的形态、物理化学性质、包装形式等，采取防渗、防漏等污染防治措施或采用具有相应功能的装置。应及时清运贮存的危险废物，实时贮存量不应超过3吨。</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480" w:firstLineChars="200"/>
        <w:jc w:val="both"/>
        <w:textAlignment w:val="baseline"/>
        <w:rPr>
          <w:rFonts w:hint="default" w:ascii="Times New Roman" w:hAnsi="Times New Roman" w:eastAsia="宋体" w:cs="Times New Roman"/>
          <w:color w:val="auto"/>
          <w:spacing w:val="0"/>
          <w:position w:val="0"/>
          <w:sz w:val="24"/>
          <w:szCs w:val="24"/>
          <w:highlight w:val="none"/>
        </w:rPr>
      </w:pPr>
      <w:r>
        <w:rPr>
          <w:rFonts w:hint="default" w:ascii="Times New Roman" w:hAnsi="Times New Roman" w:eastAsia="宋体" w:cs="Times New Roman"/>
          <w:color w:val="auto"/>
          <w:spacing w:val="0"/>
          <w:position w:val="0"/>
          <w:sz w:val="24"/>
          <w:szCs w:val="24"/>
          <w:highlight w:val="none"/>
        </w:rPr>
        <w:t>f.危险废物贮存期限应符合《中华人民共和国固体废物污染环境防治法》的有关规定。</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480" w:firstLineChars="200"/>
        <w:jc w:val="both"/>
        <w:textAlignment w:val="baseline"/>
        <w:rPr>
          <w:rFonts w:hint="default" w:ascii="Times New Roman" w:hAnsi="Times New Roman" w:eastAsia="宋体" w:cs="Times New Roman"/>
          <w:color w:val="auto"/>
          <w:spacing w:val="0"/>
          <w:position w:val="0"/>
          <w:sz w:val="24"/>
          <w:szCs w:val="24"/>
          <w:highlight w:val="none"/>
        </w:rPr>
      </w:pPr>
      <w:r>
        <w:rPr>
          <w:rFonts w:hint="default" w:ascii="Times New Roman" w:hAnsi="Times New Roman" w:eastAsia="宋体" w:cs="Times New Roman"/>
          <w:color w:val="auto"/>
          <w:spacing w:val="0"/>
          <w:position w:val="0"/>
          <w:sz w:val="24"/>
          <w:szCs w:val="24"/>
          <w:highlight w:val="none"/>
        </w:rPr>
        <w:t>g.危险废物贮存单位应建立危险废物贮存的台帐制度。</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b/>
          <w:bCs/>
          <w:color w:val="auto"/>
          <w:spacing w:val="0"/>
          <w:position w:val="0"/>
          <w:sz w:val="21"/>
          <w:szCs w:val="21"/>
          <w:highlight w:val="none"/>
        </w:rPr>
        <w:t>表</w:t>
      </w:r>
      <w:r>
        <w:rPr>
          <w:rFonts w:hint="default" w:ascii="Times New Roman" w:hAnsi="Times New Roman" w:eastAsia="宋体" w:cs="Times New Roman"/>
          <w:b/>
          <w:bCs/>
          <w:color w:val="auto"/>
          <w:spacing w:val="0"/>
          <w:position w:val="0"/>
          <w:sz w:val="21"/>
          <w:szCs w:val="21"/>
          <w:highlight w:val="none"/>
          <w:lang w:val="en-US" w:eastAsia="zh-CN"/>
        </w:rPr>
        <w:t>5.2-1</w:t>
      </w:r>
      <w:r>
        <w:rPr>
          <w:rFonts w:hint="eastAsia" w:cs="Times New Roman"/>
          <w:b/>
          <w:bCs/>
          <w:color w:val="auto"/>
          <w:spacing w:val="0"/>
          <w:position w:val="0"/>
          <w:sz w:val="21"/>
          <w:szCs w:val="21"/>
          <w:highlight w:val="none"/>
          <w:lang w:val="en-US" w:eastAsia="zh-CN"/>
        </w:rPr>
        <w:t>7</w:t>
      </w:r>
      <w:r>
        <w:rPr>
          <w:rFonts w:hint="default" w:ascii="Times New Roman" w:hAnsi="Times New Roman" w:eastAsia="宋体" w:cs="Times New Roman"/>
          <w:b/>
          <w:bCs/>
          <w:color w:val="auto"/>
          <w:spacing w:val="0"/>
          <w:position w:val="0"/>
          <w:sz w:val="21"/>
          <w:szCs w:val="21"/>
          <w:highlight w:val="none"/>
          <w:lang w:val="en-US" w:eastAsia="zh-CN"/>
        </w:rPr>
        <w:t xml:space="preserve">   </w:t>
      </w:r>
      <w:r>
        <w:rPr>
          <w:rFonts w:hint="default" w:ascii="Times New Roman" w:hAnsi="Times New Roman" w:eastAsia="宋体" w:cs="Times New Roman"/>
          <w:b/>
          <w:bCs/>
          <w:color w:val="auto"/>
          <w:spacing w:val="0"/>
          <w:position w:val="0"/>
          <w:sz w:val="21"/>
          <w:szCs w:val="21"/>
          <w:highlight w:val="none"/>
        </w:rPr>
        <w:t>工程分析中危险废物汇总样表</w:t>
      </w:r>
    </w:p>
    <w:tbl>
      <w:tblPr>
        <w:tblStyle w:val="117"/>
        <w:tblW w:w="8949"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fixed"/>
        <w:tblCellMar>
          <w:top w:w="0" w:type="dxa"/>
          <w:left w:w="0" w:type="dxa"/>
          <w:bottom w:w="0" w:type="dxa"/>
          <w:right w:w="0" w:type="dxa"/>
        </w:tblCellMar>
      </w:tblPr>
      <w:tblGrid>
        <w:gridCol w:w="292"/>
        <w:gridCol w:w="640"/>
        <w:gridCol w:w="615"/>
        <w:gridCol w:w="480"/>
        <w:gridCol w:w="495"/>
        <w:gridCol w:w="1320"/>
        <w:gridCol w:w="285"/>
        <w:gridCol w:w="675"/>
        <w:gridCol w:w="690"/>
        <w:gridCol w:w="630"/>
        <w:gridCol w:w="570"/>
        <w:gridCol w:w="2257"/>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768" w:hRule="atLeast"/>
          <w:jc w:val="center"/>
        </w:trPr>
        <w:tc>
          <w:tcPr>
            <w:tcW w:w="2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序号</w:t>
            </w:r>
          </w:p>
        </w:tc>
        <w:tc>
          <w:tcPr>
            <w:tcW w:w="6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危险</w:t>
            </w:r>
          </w:p>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废物</w:t>
            </w:r>
          </w:p>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名称</w:t>
            </w:r>
          </w:p>
        </w:tc>
        <w:tc>
          <w:tcPr>
            <w:tcW w:w="6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危险</w:t>
            </w:r>
          </w:p>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废物</w:t>
            </w:r>
          </w:p>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类别</w:t>
            </w:r>
          </w:p>
        </w:tc>
        <w:tc>
          <w:tcPr>
            <w:tcW w:w="4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危险</w:t>
            </w:r>
          </w:p>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废物</w:t>
            </w:r>
          </w:p>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代码</w:t>
            </w:r>
          </w:p>
        </w:tc>
        <w:tc>
          <w:tcPr>
            <w:tcW w:w="4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产生量</w:t>
            </w:r>
          </w:p>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(t/a)</w:t>
            </w:r>
          </w:p>
        </w:tc>
        <w:tc>
          <w:tcPr>
            <w:tcW w:w="13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产生工序及装置</w:t>
            </w:r>
          </w:p>
        </w:tc>
        <w:tc>
          <w:tcPr>
            <w:tcW w:w="2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形态</w:t>
            </w:r>
          </w:p>
        </w:tc>
        <w:tc>
          <w:tcPr>
            <w:tcW w:w="6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主要</w:t>
            </w:r>
          </w:p>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成分</w:t>
            </w:r>
          </w:p>
        </w:tc>
        <w:tc>
          <w:tcPr>
            <w:tcW w:w="6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有害成分</w:t>
            </w:r>
          </w:p>
        </w:tc>
        <w:tc>
          <w:tcPr>
            <w:tcW w:w="6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产废周期</w:t>
            </w:r>
          </w:p>
        </w:tc>
        <w:tc>
          <w:tcPr>
            <w:tcW w:w="5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危险特性</w:t>
            </w:r>
          </w:p>
        </w:tc>
        <w:tc>
          <w:tcPr>
            <w:tcW w:w="22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污染防治</w:t>
            </w:r>
          </w:p>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措施</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846" w:hRule="atLeast"/>
          <w:jc w:val="center"/>
        </w:trPr>
        <w:tc>
          <w:tcPr>
            <w:tcW w:w="2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1</w:t>
            </w:r>
          </w:p>
        </w:tc>
        <w:tc>
          <w:tcPr>
            <w:tcW w:w="6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医疗废物</w:t>
            </w:r>
          </w:p>
        </w:tc>
        <w:tc>
          <w:tcPr>
            <w:tcW w:w="6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HW01医疗废物</w:t>
            </w:r>
          </w:p>
        </w:tc>
        <w:tc>
          <w:tcPr>
            <w:tcW w:w="4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831-001-01</w:t>
            </w:r>
          </w:p>
        </w:tc>
        <w:tc>
          <w:tcPr>
            <w:tcW w:w="4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cs="Times New Roman"/>
                <w:snapToGrid/>
                <w:color w:val="auto"/>
                <w:kern w:val="2"/>
                <w:sz w:val="21"/>
                <w:szCs w:val="21"/>
                <w:highlight w:val="none"/>
                <w:lang w:val="en-US" w:eastAsia="zh-CN" w:bidi="ar-SA"/>
              </w:rPr>
              <w:t>1.1</w:t>
            </w:r>
          </w:p>
        </w:tc>
        <w:tc>
          <w:tcPr>
            <w:tcW w:w="13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防疫、医疗、化验等过程</w:t>
            </w:r>
          </w:p>
        </w:tc>
        <w:tc>
          <w:tcPr>
            <w:tcW w:w="2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固态</w:t>
            </w:r>
          </w:p>
        </w:tc>
        <w:tc>
          <w:tcPr>
            <w:tcW w:w="6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组织、器皿等</w:t>
            </w:r>
          </w:p>
        </w:tc>
        <w:tc>
          <w:tcPr>
            <w:tcW w:w="6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病毒、细菌等</w:t>
            </w:r>
          </w:p>
        </w:tc>
        <w:tc>
          <w:tcPr>
            <w:tcW w:w="6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次/月</w:t>
            </w:r>
          </w:p>
        </w:tc>
        <w:tc>
          <w:tcPr>
            <w:tcW w:w="5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In</w:t>
            </w:r>
          </w:p>
        </w:tc>
        <w:tc>
          <w:tcPr>
            <w:tcW w:w="22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eastAsia" w:ascii="Times New Roman" w:hAnsi="Times New Roman" w:eastAsia="宋体" w:cs="Times New Roman"/>
                <w:snapToGrid/>
                <w:color w:val="auto"/>
                <w:kern w:val="2"/>
                <w:sz w:val="21"/>
                <w:szCs w:val="21"/>
                <w:highlight w:val="none"/>
                <w:lang w:val="en-US" w:eastAsia="zh-CN" w:bidi="ar-SA"/>
              </w:rPr>
              <w:t>分类收集暂存于</w:t>
            </w:r>
            <w:r>
              <w:rPr>
                <w:rFonts w:hint="default" w:ascii="Times New Roman" w:hAnsi="Times New Roman" w:eastAsia="宋体" w:cs="Times New Roman"/>
                <w:snapToGrid/>
                <w:color w:val="auto"/>
                <w:kern w:val="2"/>
                <w:sz w:val="21"/>
                <w:szCs w:val="21"/>
                <w:highlight w:val="none"/>
                <w:lang w:val="en-US" w:eastAsia="zh-CN" w:bidi="ar-SA"/>
              </w:rPr>
              <w:t>医疗废物暂存间</w:t>
            </w:r>
            <w:r>
              <w:rPr>
                <w:rFonts w:hint="eastAsia" w:ascii="Times New Roman" w:hAnsi="Times New Roman" w:eastAsia="宋体" w:cs="Times New Roman"/>
                <w:snapToGrid/>
                <w:color w:val="auto"/>
                <w:kern w:val="2"/>
                <w:sz w:val="21"/>
                <w:szCs w:val="21"/>
                <w:highlight w:val="none"/>
                <w:lang w:val="en-US" w:eastAsia="zh-CN" w:bidi="ar-SA"/>
              </w:rPr>
              <w:t>后</w:t>
            </w:r>
            <w:r>
              <w:rPr>
                <w:rFonts w:hint="default" w:ascii="Times New Roman" w:hAnsi="Times New Roman" w:eastAsia="宋体" w:cs="Times New Roman"/>
                <w:snapToGrid/>
                <w:color w:val="auto"/>
                <w:kern w:val="2"/>
                <w:sz w:val="21"/>
                <w:szCs w:val="21"/>
                <w:highlight w:val="none"/>
                <w:lang w:val="en-US" w:eastAsia="zh-CN" w:bidi="ar-SA"/>
              </w:rPr>
              <w:t>委托有资质的单位处置</w:t>
            </w:r>
          </w:p>
        </w:tc>
      </w:tr>
    </w:tbl>
    <w:p>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360" w:firstLineChars="200"/>
        <w:jc w:val="both"/>
        <w:textAlignment w:val="baseline"/>
        <w:rPr>
          <w:rFonts w:hint="default" w:ascii="Times New Roman" w:hAnsi="Times New Roman" w:eastAsia="宋体" w:cs="Times New Roman"/>
          <w:color w:val="auto"/>
          <w:spacing w:val="0"/>
          <w:position w:val="0"/>
          <w:sz w:val="18"/>
          <w:szCs w:val="18"/>
          <w:highlight w:val="none"/>
        </w:rPr>
      </w:pPr>
      <w:r>
        <w:rPr>
          <w:rFonts w:hint="default" w:ascii="Times New Roman" w:hAnsi="Times New Roman" w:eastAsia="宋体" w:cs="Times New Roman"/>
          <w:color w:val="auto"/>
          <w:spacing w:val="0"/>
          <w:position w:val="0"/>
          <w:sz w:val="18"/>
          <w:szCs w:val="18"/>
          <w:highlight w:val="none"/>
        </w:rPr>
        <w:t>*注：污染防治措施一栏中应列明各类危险废物的贮存、利用或处置的具体方式。对同一贮存区同时存放多种危险废物的，应明确分类、分区、包装存放的具体要求。</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480" w:firstLineChars="200"/>
        <w:jc w:val="both"/>
        <w:textAlignment w:val="baseline"/>
        <w:rPr>
          <w:rFonts w:hint="default" w:ascii="Times New Roman" w:hAnsi="Times New Roman" w:eastAsia="宋体" w:cs="Times New Roman"/>
          <w:color w:val="auto"/>
          <w:spacing w:val="0"/>
          <w:position w:val="0"/>
          <w:sz w:val="24"/>
          <w:szCs w:val="24"/>
          <w:highlight w:val="none"/>
        </w:rPr>
      </w:pPr>
      <w:r>
        <w:rPr>
          <w:rFonts w:hint="default" w:ascii="Times New Roman" w:hAnsi="Times New Roman" w:eastAsia="宋体" w:cs="Times New Roman"/>
          <w:color w:val="auto"/>
          <w:spacing w:val="0"/>
          <w:position w:val="0"/>
          <w:sz w:val="24"/>
          <w:szCs w:val="24"/>
          <w:highlight w:val="none"/>
        </w:rPr>
        <w:t>应列表明确危险废物贮存场所(设施)的名称、位置、贮存方式、贮存容积、贮存周期等，样表见表</w:t>
      </w:r>
      <w:r>
        <w:rPr>
          <w:rFonts w:hint="default" w:ascii="Times New Roman" w:hAnsi="Times New Roman" w:eastAsia="宋体" w:cs="Times New Roman"/>
          <w:color w:val="auto"/>
          <w:spacing w:val="0"/>
          <w:position w:val="0"/>
          <w:sz w:val="24"/>
          <w:szCs w:val="24"/>
          <w:highlight w:val="none"/>
          <w:lang w:val="en-US" w:eastAsia="zh-CN"/>
        </w:rPr>
        <w:t>5.2-1</w:t>
      </w:r>
      <w:r>
        <w:rPr>
          <w:rFonts w:hint="eastAsia" w:cs="Times New Roman"/>
          <w:color w:val="auto"/>
          <w:spacing w:val="0"/>
          <w:position w:val="0"/>
          <w:sz w:val="24"/>
          <w:szCs w:val="24"/>
          <w:highlight w:val="none"/>
          <w:lang w:val="en-US" w:eastAsia="zh-CN"/>
        </w:rPr>
        <w:t>8</w:t>
      </w:r>
      <w:r>
        <w:rPr>
          <w:rFonts w:hint="default" w:ascii="Times New Roman" w:hAnsi="Times New Roman" w:eastAsia="宋体" w:cs="Times New Roman"/>
          <w:color w:val="auto"/>
          <w:spacing w:val="0"/>
          <w:position w:val="0"/>
          <w:sz w:val="24"/>
          <w:szCs w:val="24"/>
          <w:highlight w:val="none"/>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auto"/>
          <w:spacing w:val="0"/>
          <w:position w:val="0"/>
          <w:sz w:val="21"/>
          <w:szCs w:val="21"/>
          <w:highlight w:val="none"/>
        </w:rPr>
      </w:pPr>
      <w:r>
        <w:rPr>
          <w:rFonts w:hint="default" w:ascii="Times New Roman" w:hAnsi="Times New Roman" w:eastAsia="宋体" w:cs="Times New Roman"/>
          <w:b/>
          <w:bCs/>
          <w:color w:val="auto"/>
          <w:spacing w:val="0"/>
          <w:position w:val="0"/>
          <w:sz w:val="21"/>
          <w:szCs w:val="21"/>
          <w:highlight w:val="none"/>
        </w:rPr>
        <w:t>表</w:t>
      </w:r>
      <w:r>
        <w:rPr>
          <w:rFonts w:hint="default" w:ascii="Times New Roman" w:hAnsi="Times New Roman" w:eastAsia="宋体" w:cs="Times New Roman"/>
          <w:b/>
          <w:bCs/>
          <w:color w:val="auto"/>
          <w:spacing w:val="0"/>
          <w:position w:val="0"/>
          <w:sz w:val="21"/>
          <w:szCs w:val="21"/>
          <w:highlight w:val="none"/>
          <w:lang w:val="en-US" w:eastAsia="zh-CN"/>
        </w:rPr>
        <w:t>5.2-1</w:t>
      </w:r>
      <w:r>
        <w:rPr>
          <w:rFonts w:hint="eastAsia" w:cs="Times New Roman"/>
          <w:b/>
          <w:bCs/>
          <w:color w:val="auto"/>
          <w:spacing w:val="0"/>
          <w:position w:val="0"/>
          <w:sz w:val="21"/>
          <w:szCs w:val="21"/>
          <w:highlight w:val="none"/>
          <w:lang w:val="en-US" w:eastAsia="zh-CN"/>
        </w:rPr>
        <w:t>8</w:t>
      </w:r>
      <w:r>
        <w:rPr>
          <w:rFonts w:hint="default" w:ascii="Times New Roman" w:hAnsi="Times New Roman" w:eastAsia="宋体" w:cs="Times New Roman"/>
          <w:b/>
          <w:bCs/>
          <w:color w:val="auto"/>
          <w:spacing w:val="0"/>
          <w:position w:val="0"/>
          <w:sz w:val="21"/>
          <w:szCs w:val="21"/>
          <w:highlight w:val="none"/>
          <w:lang w:val="en-US" w:eastAsia="zh-CN"/>
        </w:rPr>
        <w:t xml:space="preserve">   </w:t>
      </w:r>
      <w:r>
        <w:rPr>
          <w:rFonts w:hint="default" w:ascii="Times New Roman" w:hAnsi="Times New Roman" w:eastAsia="宋体" w:cs="Times New Roman"/>
          <w:b/>
          <w:bCs/>
          <w:color w:val="auto"/>
          <w:spacing w:val="0"/>
          <w:position w:val="0"/>
          <w:sz w:val="21"/>
          <w:szCs w:val="21"/>
          <w:highlight w:val="none"/>
        </w:rPr>
        <w:t>建设项目危险废物贮存场所(设施)基本情况样表</w:t>
      </w:r>
    </w:p>
    <w:tbl>
      <w:tblPr>
        <w:tblStyle w:val="117"/>
        <w:tblW w:w="4997"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autofit"/>
        <w:tblCellMar>
          <w:top w:w="0" w:type="dxa"/>
          <w:left w:w="0" w:type="dxa"/>
          <w:bottom w:w="0" w:type="dxa"/>
          <w:right w:w="0" w:type="dxa"/>
        </w:tblCellMar>
      </w:tblPr>
      <w:tblGrid>
        <w:gridCol w:w="236"/>
        <w:gridCol w:w="1505"/>
        <w:gridCol w:w="882"/>
        <w:gridCol w:w="1176"/>
        <w:gridCol w:w="1325"/>
        <w:gridCol w:w="783"/>
        <w:gridCol w:w="982"/>
        <w:gridCol w:w="882"/>
        <w:gridCol w:w="802"/>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83" w:hRule="atLeast"/>
          <w:jc w:val="center"/>
        </w:trPr>
        <w:tc>
          <w:tcPr>
            <w:tcW w:w="1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序号</w:t>
            </w:r>
          </w:p>
        </w:tc>
        <w:tc>
          <w:tcPr>
            <w:tcW w:w="8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贮存场所(设施)名称</w:t>
            </w:r>
          </w:p>
        </w:tc>
        <w:tc>
          <w:tcPr>
            <w:tcW w:w="5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危险废物名称</w:t>
            </w:r>
          </w:p>
        </w:tc>
        <w:tc>
          <w:tcPr>
            <w:tcW w:w="6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危险废物</w:t>
            </w:r>
          </w:p>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类别</w:t>
            </w:r>
          </w:p>
        </w:tc>
        <w:tc>
          <w:tcPr>
            <w:tcW w:w="7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危险废物代码</w:t>
            </w:r>
          </w:p>
        </w:tc>
        <w:tc>
          <w:tcPr>
            <w:tcW w:w="45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位置</w:t>
            </w:r>
          </w:p>
        </w:tc>
        <w:tc>
          <w:tcPr>
            <w:tcW w:w="5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贮存方式</w:t>
            </w:r>
          </w:p>
        </w:tc>
        <w:tc>
          <w:tcPr>
            <w:tcW w:w="5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贮存能力</w:t>
            </w:r>
          </w:p>
        </w:tc>
        <w:tc>
          <w:tcPr>
            <w:tcW w:w="4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贮存</w:t>
            </w:r>
          </w:p>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周期</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83" w:hRule="atLeast"/>
          <w:jc w:val="center"/>
        </w:trPr>
        <w:tc>
          <w:tcPr>
            <w:tcW w:w="1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1</w:t>
            </w:r>
          </w:p>
        </w:tc>
        <w:tc>
          <w:tcPr>
            <w:tcW w:w="8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cs="Times New Roman"/>
                <w:snapToGrid/>
                <w:color w:val="auto"/>
                <w:kern w:val="2"/>
                <w:sz w:val="21"/>
                <w:szCs w:val="21"/>
                <w:highlight w:val="none"/>
                <w:lang w:val="en-US" w:eastAsia="zh-CN" w:bidi="ar-SA"/>
              </w:rPr>
              <w:t>医疗废物暂存间</w:t>
            </w:r>
          </w:p>
        </w:tc>
        <w:tc>
          <w:tcPr>
            <w:tcW w:w="5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医疗废物</w:t>
            </w:r>
          </w:p>
        </w:tc>
        <w:tc>
          <w:tcPr>
            <w:tcW w:w="6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HW01医疗废物</w:t>
            </w:r>
          </w:p>
        </w:tc>
        <w:tc>
          <w:tcPr>
            <w:tcW w:w="7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831-001-01</w:t>
            </w:r>
          </w:p>
        </w:tc>
        <w:tc>
          <w:tcPr>
            <w:tcW w:w="45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cs="Times New Roman"/>
                <w:snapToGrid/>
                <w:color w:val="auto"/>
                <w:kern w:val="2"/>
                <w:sz w:val="21"/>
                <w:szCs w:val="21"/>
                <w:highlight w:val="none"/>
                <w:lang w:val="en-US" w:eastAsia="zh-CN" w:bidi="ar-SA"/>
              </w:rPr>
              <w:t>厂区内</w:t>
            </w:r>
          </w:p>
        </w:tc>
        <w:tc>
          <w:tcPr>
            <w:tcW w:w="5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密闭式</w:t>
            </w:r>
          </w:p>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贮存</w:t>
            </w:r>
          </w:p>
        </w:tc>
        <w:tc>
          <w:tcPr>
            <w:tcW w:w="5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eastAsia" w:cs="Times New Roman"/>
                <w:snapToGrid/>
                <w:color w:val="auto"/>
                <w:kern w:val="2"/>
                <w:sz w:val="21"/>
                <w:szCs w:val="21"/>
                <w:highlight w:val="none"/>
                <w:lang w:val="en-US" w:eastAsia="zh-CN" w:bidi="ar-SA"/>
              </w:rPr>
              <w:t>0.2</w:t>
            </w:r>
            <w:r>
              <w:rPr>
                <w:rFonts w:hint="default" w:ascii="Times New Roman" w:hAnsi="Times New Roman" w:eastAsia="宋体" w:cs="Times New Roman"/>
                <w:snapToGrid/>
                <w:color w:val="auto"/>
                <w:kern w:val="2"/>
                <w:sz w:val="21"/>
                <w:szCs w:val="21"/>
                <w:highlight w:val="none"/>
                <w:lang w:val="en-US" w:eastAsia="zh-CN" w:bidi="ar-SA"/>
              </w:rPr>
              <w:t>t</w:t>
            </w:r>
          </w:p>
        </w:tc>
        <w:tc>
          <w:tcPr>
            <w:tcW w:w="4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2d</w:t>
            </w:r>
          </w:p>
        </w:tc>
      </w:tr>
    </w:tbl>
    <w:p>
      <w:pPr>
        <w:pStyle w:val="6"/>
        <w:pageBreakBefore w:val="0"/>
        <w:wordWrap/>
        <w:bidi w:val="0"/>
        <w:adjustRightInd w:val="0"/>
        <w:ind w:left="0" w:leftChars="0"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生活垃圾</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本项目生活垃圾产生量</w:t>
      </w:r>
      <w:r>
        <w:rPr>
          <w:rFonts w:hint="default" w:ascii="Times New Roman" w:hAnsi="Times New Roman" w:cs="Times New Roman"/>
          <w:color w:val="auto"/>
          <w:highlight w:val="none"/>
          <w:lang w:val="en-US" w:eastAsia="zh-CN"/>
        </w:rPr>
        <w:t>25</w:t>
      </w:r>
      <w:r>
        <w:rPr>
          <w:rFonts w:hint="default" w:ascii="Times New Roman" w:hAnsi="Times New Roman" w:cs="Times New Roman"/>
          <w:color w:val="auto"/>
          <w:highlight w:val="none"/>
        </w:rPr>
        <w:t>kg/d（</w:t>
      </w:r>
      <w:r>
        <w:rPr>
          <w:rFonts w:hint="default" w:ascii="Times New Roman" w:hAnsi="Times New Roman" w:cs="Times New Roman"/>
          <w:color w:val="auto"/>
          <w:highlight w:val="none"/>
          <w:lang w:val="en-US" w:eastAsia="zh-CN"/>
        </w:rPr>
        <w:t>9.125</w:t>
      </w:r>
      <w:r>
        <w:rPr>
          <w:rFonts w:hint="default" w:ascii="Times New Roman" w:hAnsi="Times New Roman" w:cs="Times New Roman"/>
          <w:color w:val="auto"/>
          <w:highlight w:val="none"/>
        </w:rPr>
        <w:t>t/a），场区内集中收集，定期交由环卫部门统一清运。</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综上所述，通过以上措施，本项目产生的固体废物均得到行之有效的有效处置和合理利用，符合《畜禽养殖业污染防治技术规范》（HJ/T81-2001），对环境的影响很小。</w:t>
      </w:r>
    </w:p>
    <w:p>
      <w:pPr>
        <w:pStyle w:val="6"/>
        <w:pageBreakBefore w:val="0"/>
        <w:wordWrap/>
        <w:bidi w:val="0"/>
        <w:adjustRightInd w:val="0"/>
        <w:ind w:left="0" w:leftChars="0"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布袋除尘收集的粉尘</w:t>
      </w:r>
    </w:p>
    <w:p>
      <w:pPr>
        <w:pageBreakBefore w:val="0"/>
        <w:wordWrap/>
        <w:bidi w:val="0"/>
        <w:adjustRightInd w:val="0"/>
        <w:ind w:left="0" w:leftChars="0" w:right="0" w:rightChars="0"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布袋除尘收集的粉尘量为</w:t>
      </w:r>
      <w:r>
        <w:rPr>
          <w:rFonts w:hint="eastAsia" w:cs="Times New Roman"/>
          <w:color w:val="auto"/>
          <w:highlight w:val="none"/>
          <w:lang w:val="en-US" w:eastAsia="zh-CN"/>
        </w:rPr>
        <w:t>1.089</w:t>
      </w:r>
      <w:r>
        <w:rPr>
          <w:rFonts w:hint="default" w:ascii="Times New Roman" w:hAnsi="Times New Roman" w:cs="Times New Roman"/>
          <w:color w:val="auto"/>
          <w:highlight w:val="none"/>
          <w:lang w:val="en-US" w:eastAsia="zh-CN"/>
        </w:rPr>
        <w:t>t/a，作为饲料用于奶牛饲养。</w:t>
      </w:r>
    </w:p>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248" w:name="_Toc22053"/>
      <w:r>
        <w:rPr>
          <w:rFonts w:hint="default" w:ascii="Times New Roman" w:hAnsi="Times New Roman" w:cs="Times New Roman"/>
          <w:color w:val="auto"/>
          <w:highlight w:val="none"/>
        </w:rPr>
        <w:t>噪声影响预测</w:t>
      </w:r>
      <w:bookmarkEnd w:id="248"/>
      <w:r>
        <w:rPr>
          <w:rFonts w:hint="default" w:ascii="Times New Roman" w:hAnsi="Times New Roman" w:cs="Times New Roman"/>
          <w:color w:val="auto"/>
          <w:highlight w:val="none"/>
          <w:lang w:eastAsia="zh-CN"/>
        </w:rPr>
        <w:t>与分析</w:t>
      </w:r>
    </w:p>
    <w:p>
      <w:pPr>
        <w:pStyle w:val="6"/>
        <w:pageBreakBefore w:val="0"/>
        <w:wordWrap/>
        <w:bidi w:val="0"/>
        <w:adjustRightInd w:val="0"/>
        <w:ind w:left="0" w:leftChars="0" w:right="0" w:righ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预测模型</w:t>
      </w:r>
    </w:p>
    <w:p>
      <w:pPr>
        <w:pStyle w:val="125"/>
        <w:pageBreakBefore w:val="0"/>
        <w:wordWrap/>
        <w:bidi w:val="0"/>
        <w:adjustRightInd w:val="0"/>
        <w:ind w:left="0" w:leftChars="0" w:right="0" w:rightChars="0" w:firstLine="480"/>
        <w:rPr>
          <w:rFonts w:hint="default" w:ascii="Times New Roman" w:hAnsi="Times New Roman" w:cs="Times New Roman"/>
          <w:color w:val="auto"/>
          <w:spacing w:val="-6"/>
          <w:sz w:val="24"/>
          <w:highlight w:val="none"/>
          <w:lang w:val="zh-CN"/>
        </w:rPr>
      </w:pPr>
      <w:r>
        <w:rPr>
          <w:rFonts w:hint="default" w:ascii="Times New Roman" w:hAnsi="Times New Roman" w:cs="Times New Roman"/>
          <w:color w:val="auto"/>
          <w:spacing w:val="-6"/>
          <w:sz w:val="24"/>
          <w:highlight w:val="none"/>
          <w:lang w:val="zh-CN"/>
        </w:rPr>
        <w:t>根据项目建设内容及《环境影响评价技术导则 声环境》（HJ 2.4-2021）的要求，本评价采用的模型为《环境影响评价技术导则 声环境》(HJ 2.4-2021)附录A（规范性附录）户外声传播的衰减和附录B（规范性附录）中“B.1工业噪声预测计算模型”。</w:t>
      </w:r>
    </w:p>
    <w:p>
      <w:pPr>
        <w:pStyle w:val="6"/>
        <w:pageBreakBefore w:val="0"/>
        <w:wordWrap/>
        <w:bidi w:val="0"/>
        <w:adjustRightInd w:val="0"/>
        <w:ind w:left="0" w:leftChars="0" w:right="0" w:righ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预测参数</w:t>
      </w:r>
    </w:p>
    <w:p>
      <w:pPr>
        <w:pStyle w:val="125"/>
        <w:pageBreakBefore w:val="0"/>
        <w:wordWrap/>
        <w:bidi w:val="0"/>
        <w:adjustRightInd w:val="0"/>
        <w:ind w:left="0" w:leftChars="0" w:right="0" w:rightChars="0"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（1）噪声源强</w:t>
      </w:r>
    </w:p>
    <w:p>
      <w:pPr>
        <w:pStyle w:val="125"/>
        <w:pageBreakBefore w:val="0"/>
        <w:wordWrap/>
        <w:bidi w:val="0"/>
        <w:adjustRightInd w:val="0"/>
        <w:ind w:left="0" w:leftChars="0" w:right="0" w:rightChars="0" w:firstLine="480"/>
        <w:rPr>
          <w:rFonts w:hint="default" w:ascii="Times New Roman" w:hAnsi="Times New Roman" w:cs="Times New Roman"/>
          <w:color w:val="auto"/>
          <w:highlight w:val="none"/>
          <w:shd w:val="clear"/>
          <w:lang w:val="zh-CN"/>
        </w:rPr>
      </w:pPr>
      <w:r>
        <w:rPr>
          <w:rFonts w:hint="default" w:ascii="Times New Roman" w:hAnsi="Times New Roman" w:cs="Times New Roman"/>
          <w:color w:val="auto"/>
          <w:highlight w:val="none"/>
          <w:lang w:val="zh-CN"/>
        </w:rPr>
        <w:t>项目在生产过程中产生的噪声主要源自</w:t>
      </w:r>
      <w:r>
        <w:rPr>
          <w:rFonts w:hint="eastAsia" w:cs="Times New Roman"/>
          <w:color w:val="auto"/>
          <w:highlight w:val="none"/>
          <w:lang w:val="en-US" w:eastAsia="zh-CN"/>
        </w:rPr>
        <w:t>设备运行</w:t>
      </w:r>
      <w:r>
        <w:rPr>
          <w:rFonts w:hint="default" w:ascii="Times New Roman" w:hAnsi="Times New Roman" w:cs="Times New Roman"/>
          <w:color w:val="auto"/>
          <w:highlight w:val="none"/>
          <w:lang w:val="zh-CN"/>
        </w:rPr>
        <w:t>、牛叫声等，噪声声级一般在</w:t>
      </w:r>
      <w:r>
        <w:rPr>
          <w:rFonts w:hint="default" w:ascii="Times New Roman" w:hAnsi="Times New Roman" w:cs="Times New Roman"/>
          <w:color w:val="auto"/>
          <w:highlight w:val="none"/>
          <w:lang w:val="en-US" w:eastAsia="zh-CN"/>
        </w:rPr>
        <w:t>70-80dB(A)</w:t>
      </w:r>
      <w:r>
        <w:rPr>
          <w:rFonts w:hint="default" w:ascii="Times New Roman" w:hAnsi="Times New Roman" w:cs="Times New Roman"/>
          <w:color w:val="auto"/>
          <w:highlight w:val="none"/>
          <w:lang w:val="zh-CN"/>
        </w:rPr>
        <w:t>。项目噪声源强调查清单见</w:t>
      </w:r>
      <w:r>
        <w:rPr>
          <w:rFonts w:hint="default" w:ascii="Times New Roman" w:hAnsi="Times New Roman" w:cs="Times New Roman"/>
          <w:color w:val="auto"/>
          <w:highlight w:val="none"/>
          <w:lang w:val="zh-CN"/>
        </w:rPr>
        <w:fldChar w:fldCharType="begin"/>
      </w:r>
      <w:r>
        <w:rPr>
          <w:rFonts w:hint="default" w:ascii="Times New Roman" w:hAnsi="Times New Roman" w:cs="Times New Roman"/>
          <w:color w:val="auto"/>
          <w:highlight w:val="none"/>
          <w:lang w:val="zh-CN"/>
        </w:rPr>
        <w:instrText xml:space="preserve"> REF _Ref111549309 \h  \* MERGEFORMAT </w:instrText>
      </w:r>
      <w:r>
        <w:rPr>
          <w:rFonts w:hint="default" w:ascii="Times New Roman" w:hAnsi="Times New Roman" w:cs="Times New Roman"/>
          <w:color w:val="auto"/>
          <w:highlight w:val="none"/>
          <w:lang w:val="zh-CN"/>
        </w:rPr>
        <w:fldChar w:fldCharType="separate"/>
      </w:r>
      <w:r>
        <w:rPr>
          <w:rFonts w:hint="default" w:ascii="Times New Roman" w:hAnsi="Times New Roman" w:cs="Times New Roman"/>
          <w:color w:val="auto"/>
          <w:highlight w:val="none"/>
          <w:lang w:val="zh-CN"/>
        </w:rPr>
        <w:t>表5.2</w:t>
      </w:r>
      <w:r>
        <w:rPr>
          <w:rFonts w:hint="default" w:ascii="Times New Roman" w:hAnsi="Times New Roman" w:cs="Times New Roman"/>
          <w:color w:val="auto"/>
          <w:highlight w:val="none"/>
          <w:lang w:val="zh-CN"/>
        </w:rPr>
        <w:noBreakHyphen/>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zh-CN"/>
        </w:rPr>
        <w:fldChar w:fldCharType="end"/>
      </w:r>
      <w:r>
        <w:rPr>
          <w:rFonts w:hint="eastAsia" w:cs="Times New Roman"/>
          <w:color w:val="auto"/>
          <w:highlight w:val="none"/>
          <w:lang w:val="en-US" w:eastAsia="zh-CN"/>
        </w:rPr>
        <w:t>9</w:t>
      </w:r>
      <w:r>
        <w:rPr>
          <w:rFonts w:hint="default" w:ascii="Times New Roman" w:hAnsi="Times New Roman" w:cs="Times New Roman"/>
          <w:color w:val="auto"/>
          <w:highlight w:val="none"/>
          <w:lang w:val="zh-CN"/>
        </w:rPr>
        <w:t>。</w:t>
      </w:r>
    </w:p>
    <w:p>
      <w:pPr>
        <w:pStyle w:val="126"/>
        <w:keepNext w:val="0"/>
        <w:keepLines w:val="0"/>
        <w:pageBreakBefore w:val="0"/>
        <w:widowControl w:val="0"/>
        <w:kinsoku/>
        <w:wordWrap/>
        <w:overflowPunct/>
        <w:topLinePunct w:val="0"/>
        <w:bidi w:val="0"/>
        <w:adjustRightInd w:val="0"/>
        <w:snapToGrid w:val="0"/>
        <w:spacing w:before="0" w:beforeLines="0" w:line="240" w:lineRule="auto"/>
        <w:ind w:left="0" w:leftChars="0" w:right="0" w:rightChars="0" w:firstLine="0" w:firstLineChars="0"/>
        <w:rPr>
          <w:rFonts w:hint="default" w:ascii="Times New Roman" w:hAnsi="Times New Roman" w:eastAsia="宋体" w:cs="Times New Roman"/>
          <w:color w:val="auto"/>
          <w:sz w:val="21"/>
          <w:szCs w:val="21"/>
          <w:highlight w:val="none"/>
        </w:rPr>
      </w:pPr>
      <w:bookmarkStart w:id="249" w:name="_Ref111549309"/>
      <w:r>
        <w:rPr>
          <w:rFonts w:hint="default" w:ascii="Times New Roman" w:hAnsi="Times New Roman" w:eastAsia="宋体" w:cs="Times New Roman"/>
          <w:color w:val="auto"/>
          <w:sz w:val="21"/>
          <w:szCs w:val="21"/>
          <w:highlight w:val="none"/>
        </w:rPr>
        <w:t>表</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STYLEREF 2 \s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5.2</w: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noBreakHyphen/>
      </w:r>
      <w:bookmarkEnd w:id="249"/>
      <w:r>
        <w:rPr>
          <w:rFonts w:hint="default" w:ascii="Times New Roman" w:hAnsi="Times New Roman" w:eastAsia="宋体" w:cs="Times New Roman"/>
          <w:color w:val="auto"/>
          <w:sz w:val="21"/>
          <w:szCs w:val="21"/>
          <w:highlight w:val="none"/>
          <w:lang w:val="en-US" w:eastAsia="zh-CN"/>
        </w:rPr>
        <w:t>1</w:t>
      </w:r>
      <w:r>
        <w:rPr>
          <w:rFonts w:hint="eastAsia"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 xml:space="preserve">  工业企业噪声源强调查清单（室外声源）</w:t>
      </w:r>
    </w:p>
    <w:tbl>
      <w:tblPr>
        <w:tblStyle w:val="39"/>
        <w:tblW w:w="5001"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18"/>
        <w:gridCol w:w="1223"/>
        <w:gridCol w:w="565"/>
        <w:gridCol w:w="632"/>
        <w:gridCol w:w="673"/>
        <w:gridCol w:w="1604"/>
        <w:gridCol w:w="2104"/>
        <w:gridCol w:w="15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2" w:hRule="exact"/>
        </w:trPr>
        <w:tc>
          <w:tcPr>
            <w:tcW w:w="237" w:type="pct"/>
            <w:vMerge w:val="restart"/>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lang w:eastAsia="en-US"/>
              </w:rPr>
            </w:pPr>
            <w:bookmarkStart w:id="250" w:name="_Ref108016547"/>
            <w:r>
              <w:rPr>
                <w:rFonts w:hint="default" w:ascii="Times New Roman" w:hAnsi="Times New Roman" w:eastAsia="宋体" w:cs="Times New Roman"/>
                <w:color w:val="auto"/>
                <w:sz w:val="21"/>
                <w:szCs w:val="21"/>
                <w:highlight w:val="none"/>
              </w:rPr>
              <w:t>序号</w:t>
            </w:r>
          </w:p>
        </w:tc>
        <w:tc>
          <w:tcPr>
            <w:tcW w:w="695" w:type="pct"/>
            <w:vMerge w:val="restart"/>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rPr>
              <w:t>声源名称</w:t>
            </w:r>
          </w:p>
        </w:tc>
        <w:tc>
          <w:tcPr>
            <w:tcW w:w="1062" w:type="pct"/>
            <w:gridSpan w:val="3"/>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rPr>
              <w:t>空间相对位置/m</w:t>
            </w:r>
          </w:p>
        </w:tc>
        <w:tc>
          <w:tcPr>
            <w:tcW w:w="911" w:type="pct"/>
            <w:vMerge w:val="restart"/>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声功率级/dB(A)</w:t>
            </w:r>
          </w:p>
        </w:tc>
        <w:tc>
          <w:tcPr>
            <w:tcW w:w="1195" w:type="pct"/>
            <w:vMerge w:val="restart"/>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rPr>
              <w:t>声源控制措施</w:t>
            </w:r>
          </w:p>
        </w:tc>
        <w:tc>
          <w:tcPr>
            <w:tcW w:w="896" w:type="pct"/>
            <w:vMerge w:val="restart"/>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rPr>
              <w:t>运行时段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3" w:hRule="atLeast"/>
        </w:trPr>
        <w:tc>
          <w:tcPr>
            <w:tcW w:w="237" w:type="pct"/>
            <w:vMerge w:val="continue"/>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lang w:eastAsia="en-US"/>
              </w:rPr>
            </w:pPr>
          </w:p>
        </w:tc>
        <w:tc>
          <w:tcPr>
            <w:tcW w:w="695" w:type="pct"/>
            <w:vMerge w:val="continue"/>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lang w:eastAsia="en-US"/>
              </w:rPr>
            </w:pPr>
          </w:p>
        </w:tc>
        <w:tc>
          <w:tcPr>
            <w:tcW w:w="321" w:type="pct"/>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rPr>
              <w:t>X</w:t>
            </w:r>
          </w:p>
        </w:tc>
        <w:tc>
          <w:tcPr>
            <w:tcW w:w="359" w:type="pct"/>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rPr>
              <w:t>Y</w:t>
            </w:r>
          </w:p>
        </w:tc>
        <w:tc>
          <w:tcPr>
            <w:tcW w:w="382" w:type="pct"/>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rPr>
              <w:t>Z</w:t>
            </w:r>
          </w:p>
        </w:tc>
        <w:tc>
          <w:tcPr>
            <w:tcW w:w="911" w:type="pct"/>
            <w:vMerge w:val="continue"/>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lang w:eastAsia="en-US"/>
              </w:rPr>
            </w:pPr>
          </w:p>
        </w:tc>
        <w:tc>
          <w:tcPr>
            <w:tcW w:w="1195" w:type="pct"/>
            <w:vMerge w:val="continue"/>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lang w:eastAsia="en-US"/>
              </w:rPr>
            </w:pPr>
          </w:p>
        </w:tc>
        <w:tc>
          <w:tcPr>
            <w:tcW w:w="896" w:type="pct"/>
            <w:vMerge w:val="continue"/>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lang w:eastAsia="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5" w:hRule="atLeast"/>
        </w:trPr>
        <w:tc>
          <w:tcPr>
            <w:tcW w:w="237" w:type="pct"/>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rPr>
              <w:t>1</w:t>
            </w:r>
          </w:p>
        </w:tc>
        <w:tc>
          <w:tcPr>
            <w:tcW w:w="695" w:type="pct"/>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zh-CN"/>
              </w:rPr>
              <w:t>取料机</w:t>
            </w:r>
          </w:p>
        </w:tc>
        <w:tc>
          <w:tcPr>
            <w:tcW w:w="321" w:type="pct"/>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160</w:t>
            </w:r>
          </w:p>
        </w:tc>
        <w:tc>
          <w:tcPr>
            <w:tcW w:w="359" w:type="pct"/>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382" w:type="pct"/>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911" w:type="pct"/>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75-80</w:t>
            </w:r>
          </w:p>
        </w:tc>
        <w:tc>
          <w:tcPr>
            <w:tcW w:w="1195" w:type="pct"/>
            <w:vMerge w:val="restart"/>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选用低噪声设备、</w:t>
            </w:r>
            <w:r>
              <w:rPr>
                <w:rFonts w:hint="default" w:ascii="Times New Roman" w:hAnsi="Times New Roman" w:cs="Times New Roman"/>
                <w:color w:val="auto"/>
                <w:sz w:val="21"/>
                <w:szCs w:val="21"/>
                <w:highlight w:val="none"/>
              </w:rPr>
              <w:t>减振、隔声</w:t>
            </w:r>
          </w:p>
        </w:tc>
        <w:tc>
          <w:tcPr>
            <w:tcW w:w="896" w:type="pct"/>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9" w:hRule="atLeast"/>
        </w:trPr>
        <w:tc>
          <w:tcPr>
            <w:tcW w:w="237" w:type="pct"/>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kern w:val="0"/>
                <w:sz w:val="21"/>
                <w:szCs w:val="21"/>
                <w:highlight w:val="none"/>
                <w:lang w:val="en-US" w:eastAsia="en-US" w:bidi="ar-SA"/>
              </w:rPr>
            </w:pPr>
            <w:r>
              <w:rPr>
                <w:rFonts w:hint="default" w:ascii="Times New Roman" w:hAnsi="Times New Roman" w:eastAsia="宋体" w:cs="Times New Roman"/>
                <w:color w:val="auto"/>
                <w:sz w:val="21"/>
                <w:szCs w:val="21"/>
                <w:highlight w:val="none"/>
              </w:rPr>
              <w:t>2</w:t>
            </w:r>
          </w:p>
        </w:tc>
        <w:tc>
          <w:tcPr>
            <w:tcW w:w="695" w:type="pct"/>
            <w:tcBorders>
              <w:tl2br w:val="nil"/>
              <w:tr2bl w:val="nil"/>
            </w:tcBorders>
            <w:shd w:val="clear" w:color="auto" w:fill="auto"/>
            <w:vAlign w:val="center"/>
          </w:tcPr>
          <w:p>
            <w:pPr>
              <w:pStyle w:val="55"/>
              <w:pageBreakBefore w:val="0"/>
              <w:widowControl w:val="0"/>
              <w:kinsoku/>
              <w:wordWrap/>
              <w:overflowPunct/>
              <w:topLinePunct w:val="0"/>
              <w:autoSpaceDE/>
              <w:autoSpaceDN/>
              <w:bidi w:val="0"/>
              <w:adjustRightInd w:val="0"/>
              <w:snapToGrid w:val="0"/>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highlight w:val="none"/>
              </w:rPr>
              <w:t>饲料加工机组</w:t>
            </w:r>
          </w:p>
        </w:tc>
        <w:tc>
          <w:tcPr>
            <w:tcW w:w="321" w:type="pct"/>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160</w:t>
            </w:r>
          </w:p>
        </w:tc>
        <w:tc>
          <w:tcPr>
            <w:tcW w:w="359" w:type="pct"/>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10</w:t>
            </w:r>
          </w:p>
        </w:tc>
        <w:tc>
          <w:tcPr>
            <w:tcW w:w="382" w:type="pct"/>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10</w:t>
            </w:r>
          </w:p>
        </w:tc>
        <w:tc>
          <w:tcPr>
            <w:tcW w:w="911" w:type="pct"/>
            <w:tcBorders>
              <w:tl2br w:val="nil"/>
              <w:tr2bl w:val="nil"/>
            </w:tcBorders>
            <w:shd w:val="clear" w:color="auto" w:fill="auto"/>
            <w:vAlign w:val="center"/>
          </w:tcPr>
          <w:p>
            <w:pPr>
              <w:pStyle w:val="55"/>
              <w:pageBreakBefore w:val="0"/>
              <w:widowControl w:val="0"/>
              <w:kinsoku/>
              <w:wordWrap/>
              <w:overflowPunct/>
              <w:topLinePunct w:val="0"/>
              <w:autoSpaceDE/>
              <w:autoSpaceDN/>
              <w:bidi w:val="0"/>
              <w:adjustRightInd w:val="0"/>
              <w:snapToGrid w:val="0"/>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80-90</w:t>
            </w:r>
          </w:p>
        </w:tc>
        <w:tc>
          <w:tcPr>
            <w:tcW w:w="1195" w:type="pct"/>
            <w:vMerge w:val="continue"/>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rPr>
            </w:pPr>
          </w:p>
        </w:tc>
        <w:tc>
          <w:tcPr>
            <w:tcW w:w="896" w:type="pct"/>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9" w:hRule="atLeast"/>
        </w:trPr>
        <w:tc>
          <w:tcPr>
            <w:tcW w:w="237" w:type="pct"/>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kern w:val="0"/>
                <w:sz w:val="21"/>
                <w:szCs w:val="21"/>
                <w:highlight w:val="none"/>
                <w:lang w:val="en-US" w:eastAsia="en-US" w:bidi="ar-SA"/>
              </w:rPr>
            </w:pPr>
            <w:r>
              <w:rPr>
                <w:rFonts w:hint="eastAsia" w:cs="Times New Roman"/>
                <w:color w:val="auto"/>
                <w:sz w:val="21"/>
                <w:szCs w:val="21"/>
                <w:highlight w:val="none"/>
                <w:lang w:val="en-US" w:eastAsia="zh-CN"/>
              </w:rPr>
              <w:t>3</w:t>
            </w:r>
          </w:p>
        </w:tc>
        <w:tc>
          <w:tcPr>
            <w:tcW w:w="695" w:type="pct"/>
            <w:tcBorders>
              <w:tl2br w:val="nil"/>
              <w:tr2bl w:val="nil"/>
            </w:tcBorders>
            <w:shd w:val="clear" w:color="auto" w:fill="auto"/>
            <w:vAlign w:val="center"/>
          </w:tcPr>
          <w:p>
            <w:pPr>
              <w:pStyle w:val="55"/>
              <w:pageBreakBefore w:val="0"/>
              <w:widowControl w:val="0"/>
              <w:kinsoku/>
              <w:wordWrap/>
              <w:overflowPunct/>
              <w:topLinePunct w:val="0"/>
              <w:autoSpaceDE/>
              <w:autoSpaceDN/>
              <w:bidi w:val="0"/>
              <w:adjustRightInd w:val="0"/>
              <w:snapToGrid w:val="0"/>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精料自动配制系统</w:t>
            </w:r>
          </w:p>
        </w:tc>
        <w:tc>
          <w:tcPr>
            <w:tcW w:w="321" w:type="pct"/>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160</w:t>
            </w:r>
          </w:p>
        </w:tc>
        <w:tc>
          <w:tcPr>
            <w:tcW w:w="359" w:type="pct"/>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10</w:t>
            </w:r>
          </w:p>
        </w:tc>
        <w:tc>
          <w:tcPr>
            <w:tcW w:w="382" w:type="pct"/>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10</w:t>
            </w:r>
          </w:p>
        </w:tc>
        <w:tc>
          <w:tcPr>
            <w:tcW w:w="911" w:type="pct"/>
            <w:tcBorders>
              <w:tl2br w:val="nil"/>
              <w:tr2bl w:val="nil"/>
            </w:tcBorders>
            <w:shd w:val="clear" w:color="auto" w:fill="auto"/>
            <w:vAlign w:val="center"/>
          </w:tcPr>
          <w:p>
            <w:pPr>
              <w:pStyle w:val="55"/>
              <w:pageBreakBefore w:val="0"/>
              <w:widowControl w:val="0"/>
              <w:kinsoku/>
              <w:wordWrap/>
              <w:overflowPunct/>
              <w:topLinePunct w:val="0"/>
              <w:autoSpaceDE/>
              <w:autoSpaceDN/>
              <w:bidi w:val="0"/>
              <w:adjustRightInd w:val="0"/>
              <w:snapToGrid w:val="0"/>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80-90</w:t>
            </w:r>
          </w:p>
        </w:tc>
        <w:tc>
          <w:tcPr>
            <w:tcW w:w="1195" w:type="pct"/>
            <w:vMerge w:val="continue"/>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rPr>
            </w:pPr>
          </w:p>
        </w:tc>
        <w:tc>
          <w:tcPr>
            <w:tcW w:w="896" w:type="pct"/>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9" w:hRule="atLeast"/>
        </w:trPr>
        <w:tc>
          <w:tcPr>
            <w:tcW w:w="237" w:type="pct"/>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4</w:t>
            </w:r>
          </w:p>
        </w:tc>
        <w:tc>
          <w:tcPr>
            <w:tcW w:w="695" w:type="pct"/>
            <w:tcBorders>
              <w:tl2br w:val="nil"/>
              <w:tr2bl w:val="nil"/>
            </w:tcBorders>
            <w:shd w:val="clear" w:color="auto" w:fill="auto"/>
            <w:vAlign w:val="center"/>
          </w:tcPr>
          <w:p>
            <w:pPr>
              <w:pStyle w:val="55"/>
              <w:pageBreakBefore w:val="0"/>
              <w:widowControl w:val="0"/>
              <w:kinsoku/>
              <w:wordWrap/>
              <w:overflowPunct/>
              <w:topLinePunct w:val="0"/>
              <w:autoSpaceDE/>
              <w:autoSpaceDN/>
              <w:bidi w:val="0"/>
              <w:adjustRightInd w:val="0"/>
              <w:snapToGrid w:val="0"/>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拖拉机牵引车</w:t>
            </w:r>
          </w:p>
        </w:tc>
        <w:tc>
          <w:tcPr>
            <w:tcW w:w="321" w:type="pct"/>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35</w:t>
            </w:r>
          </w:p>
        </w:tc>
        <w:tc>
          <w:tcPr>
            <w:tcW w:w="359" w:type="pct"/>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250</w:t>
            </w:r>
          </w:p>
        </w:tc>
        <w:tc>
          <w:tcPr>
            <w:tcW w:w="382" w:type="pct"/>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911" w:type="pct"/>
            <w:tcBorders>
              <w:tl2br w:val="nil"/>
              <w:tr2bl w:val="nil"/>
            </w:tcBorders>
            <w:shd w:val="clear" w:color="auto" w:fill="auto"/>
            <w:vAlign w:val="center"/>
          </w:tcPr>
          <w:p>
            <w:pPr>
              <w:pStyle w:val="55"/>
              <w:pageBreakBefore w:val="0"/>
              <w:widowControl w:val="0"/>
              <w:kinsoku/>
              <w:wordWrap/>
              <w:overflowPunct/>
              <w:topLinePunct w:val="0"/>
              <w:autoSpaceDE/>
              <w:autoSpaceDN/>
              <w:bidi w:val="0"/>
              <w:adjustRightInd w:val="0"/>
              <w:snapToGrid w:val="0"/>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100-110</w:t>
            </w:r>
          </w:p>
        </w:tc>
        <w:tc>
          <w:tcPr>
            <w:tcW w:w="1195" w:type="pct"/>
            <w:vMerge w:val="continue"/>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rPr>
            </w:pPr>
          </w:p>
        </w:tc>
        <w:tc>
          <w:tcPr>
            <w:tcW w:w="896" w:type="pct"/>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9" w:hRule="atLeast"/>
        </w:trPr>
        <w:tc>
          <w:tcPr>
            <w:tcW w:w="237" w:type="pct"/>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5</w:t>
            </w:r>
          </w:p>
        </w:tc>
        <w:tc>
          <w:tcPr>
            <w:tcW w:w="695" w:type="pct"/>
            <w:tcBorders>
              <w:tl2br w:val="nil"/>
              <w:tr2bl w:val="nil"/>
            </w:tcBorders>
            <w:shd w:val="clear" w:color="auto" w:fill="auto"/>
            <w:vAlign w:val="center"/>
          </w:tcPr>
          <w:p>
            <w:pPr>
              <w:pStyle w:val="55"/>
              <w:pageBreakBefore w:val="0"/>
              <w:widowControl w:val="0"/>
              <w:kinsoku/>
              <w:wordWrap/>
              <w:overflowPunct/>
              <w:topLinePunct w:val="0"/>
              <w:autoSpaceDE/>
              <w:autoSpaceDN/>
              <w:bidi w:val="0"/>
              <w:adjustRightInd w:val="0"/>
              <w:snapToGrid w:val="0"/>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小四轮拖拉机</w:t>
            </w:r>
          </w:p>
        </w:tc>
        <w:tc>
          <w:tcPr>
            <w:tcW w:w="321" w:type="pct"/>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35</w:t>
            </w:r>
          </w:p>
        </w:tc>
        <w:tc>
          <w:tcPr>
            <w:tcW w:w="359" w:type="pct"/>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250</w:t>
            </w:r>
          </w:p>
        </w:tc>
        <w:tc>
          <w:tcPr>
            <w:tcW w:w="382" w:type="pct"/>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911" w:type="pct"/>
            <w:tcBorders>
              <w:tl2br w:val="nil"/>
              <w:tr2bl w:val="nil"/>
            </w:tcBorders>
            <w:shd w:val="clear" w:color="auto" w:fill="auto"/>
            <w:vAlign w:val="center"/>
          </w:tcPr>
          <w:p>
            <w:pPr>
              <w:pStyle w:val="55"/>
              <w:pageBreakBefore w:val="0"/>
              <w:widowControl w:val="0"/>
              <w:kinsoku/>
              <w:wordWrap/>
              <w:overflowPunct/>
              <w:topLinePunct w:val="0"/>
              <w:autoSpaceDE/>
              <w:autoSpaceDN/>
              <w:bidi w:val="0"/>
              <w:adjustRightInd w:val="0"/>
              <w:snapToGrid w:val="0"/>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110-115</w:t>
            </w:r>
          </w:p>
        </w:tc>
        <w:tc>
          <w:tcPr>
            <w:tcW w:w="1195" w:type="pct"/>
            <w:vMerge w:val="continue"/>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rPr>
            </w:pPr>
          </w:p>
        </w:tc>
        <w:tc>
          <w:tcPr>
            <w:tcW w:w="896" w:type="pct"/>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1" w:hRule="atLeast"/>
        </w:trPr>
        <w:tc>
          <w:tcPr>
            <w:tcW w:w="237" w:type="pct"/>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6</w:t>
            </w:r>
          </w:p>
        </w:tc>
        <w:tc>
          <w:tcPr>
            <w:tcW w:w="695" w:type="pct"/>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牛舍</w:t>
            </w:r>
          </w:p>
        </w:tc>
        <w:tc>
          <w:tcPr>
            <w:tcW w:w="321" w:type="pct"/>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10</w:t>
            </w:r>
          </w:p>
        </w:tc>
        <w:tc>
          <w:tcPr>
            <w:tcW w:w="359" w:type="pct"/>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266</w:t>
            </w:r>
          </w:p>
        </w:tc>
        <w:tc>
          <w:tcPr>
            <w:tcW w:w="382" w:type="pct"/>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w:t>
            </w:r>
          </w:p>
        </w:tc>
        <w:tc>
          <w:tcPr>
            <w:tcW w:w="911" w:type="pct"/>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70</w:t>
            </w:r>
          </w:p>
        </w:tc>
        <w:tc>
          <w:tcPr>
            <w:tcW w:w="1195" w:type="pct"/>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喂足饲料和水，避免饥渴及突发性噪声</w:t>
            </w:r>
          </w:p>
        </w:tc>
        <w:tc>
          <w:tcPr>
            <w:tcW w:w="896" w:type="pct"/>
            <w:tcBorders>
              <w:tl2br w:val="nil"/>
              <w:tr2bl w:val="nil"/>
            </w:tcBorders>
            <w:shd w:val="clear" w:color="auto" w:fill="auto"/>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昼间</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夜间</w:t>
            </w:r>
          </w:p>
        </w:tc>
      </w:tr>
      <w:bookmarkEnd w:id="250"/>
    </w:tbl>
    <w:p>
      <w:pPr>
        <w:pStyle w:val="125"/>
        <w:keepNext w:val="0"/>
        <w:keepLines w:val="0"/>
        <w:pageBreakBefore w:val="0"/>
        <w:widowControl w:val="0"/>
        <w:kinsoku/>
        <w:wordWrap/>
        <w:overflowPunct/>
        <w:topLinePunct w:val="0"/>
        <w:autoSpaceDE/>
        <w:autoSpaceDN/>
        <w:bidi w:val="0"/>
        <w:adjustRightInd w:val="0"/>
        <w:snapToGrid w:val="0"/>
        <w:spacing w:before="157" w:beforeLines="50"/>
        <w:ind w:left="0" w:leftChars="0" w:right="0" w:rightChars="0" w:firstLine="480"/>
        <w:textAlignment w:val="auto"/>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（2）基础数据</w:t>
      </w:r>
    </w:p>
    <w:p>
      <w:pPr>
        <w:pStyle w:val="125"/>
        <w:pageBreakBefore w:val="0"/>
        <w:wordWrap/>
        <w:bidi w:val="0"/>
        <w:adjustRightInd w:val="0"/>
        <w:ind w:left="0" w:leftChars="0" w:right="0" w:rightChars="0"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项目噪声环境影响预测基础数据见表</w:t>
      </w:r>
      <w:r>
        <w:rPr>
          <w:rFonts w:hint="default" w:ascii="Times New Roman" w:hAnsi="Times New Roman" w:cs="Times New Roman"/>
          <w:color w:val="auto"/>
          <w:highlight w:val="none"/>
          <w:lang w:val="en-US" w:eastAsia="zh-CN"/>
        </w:rPr>
        <w:t>5.2-</w:t>
      </w:r>
      <w:r>
        <w:rPr>
          <w:rFonts w:hint="eastAsia" w:cs="Times New Roman"/>
          <w:color w:val="auto"/>
          <w:highlight w:val="none"/>
          <w:lang w:val="en-US" w:eastAsia="zh-CN"/>
        </w:rPr>
        <w:t>20</w:t>
      </w:r>
      <w:r>
        <w:rPr>
          <w:rFonts w:hint="default" w:ascii="Times New Roman" w:hAnsi="Times New Roman" w:cs="Times New Roman"/>
          <w:color w:val="auto"/>
          <w:highlight w:val="none"/>
          <w:lang w:val="zh-CN"/>
        </w:rPr>
        <w:t>。</w:t>
      </w:r>
    </w:p>
    <w:p>
      <w:pPr>
        <w:pStyle w:val="126"/>
        <w:keepNext w:val="0"/>
        <w:keepLines w:val="0"/>
        <w:pageBreakBefore w:val="0"/>
        <w:widowControl w:val="0"/>
        <w:kinsoku/>
        <w:wordWrap/>
        <w:overflowPunct/>
        <w:topLinePunct w:val="0"/>
        <w:bidi w:val="0"/>
        <w:adjustRightInd w:val="0"/>
        <w:snapToGrid w:val="0"/>
        <w:spacing w:before="0" w:beforeLines="0" w:line="240" w:lineRule="auto"/>
        <w:ind w:left="0" w:leftChars="0" w:right="0" w:rightChars="0" w:firstLine="0" w:firstLineChars="0"/>
        <w:rPr>
          <w:rFonts w:hint="default" w:ascii="Times New Roman" w:hAnsi="Times New Roman" w:eastAsia="宋体" w:cs="Times New Roman"/>
          <w:color w:val="auto"/>
          <w:sz w:val="21"/>
          <w:szCs w:val="21"/>
          <w:highlight w:val="none"/>
        </w:rPr>
      </w:pPr>
      <w:bookmarkStart w:id="251" w:name="_Ref107915810"/>
      <w:r>
        <w:rPr>
          <w:rFonts w:hint="default" w:ascii="Times New Roman" w:hAnsi="Times New Roman" w:eastAsia="宋体" w:cs="Times New Roman"/>
          <w:color w:val="auto"/>
          <w:sz w:val="21"/>
          <w:szCs w:val="21"/>
          <w:highlight w:val="none"/>
        </w:rPr>
        <w:t>表</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STYLEREF 2 \s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5.2</w: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noBreakHyphen/>
      </w:r>
      <w:bookmarkEnd w:id="251"/>
      <w:r>
        <w:rPr>
          <w:rFonts w:hint="eastAsia" w:eastAsia="宋体" w:cs="Times New Roman"/>
          <w:color w:val="auto"/>
          <w:sz w:val="21"/>
          <w:szCs w:val="21"/>
          <w:highlight w:val="none"/>
          <w:lang w:val="en-US" w:eastAsia="zh-CN"/>
        </w:rPr>
        <w:t xml:space="preserve">20  </w:t>
      </w:r>
      <w:r>
        <w:rPr>
          <w:rFonts w:hint="default" w:ascii="Times New Roman" w:hAnsi="Times New Roman" w:eastAsia="宋体" w:cs="Times New Roman"/>
          <w:color w:val="auto"/>
          <w:sz w:val="21"/>
          <w:szCs w:val="21"/>
          <w:highlight w:val="none"/>
        </w:rPr>
        <w:t xml:space="preserve"> 项目噪声环境影响预测基础数据表</w:t>
      </w:r>
    </w:p>
    <w:tbl>
      <w:tblPr>
        <w:tblStyle w:val="12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15"/>
        <w:gridCol w:w="2881"/>
        <w:gridCol w:w="2199"/>
        <w:gridCol w:w="21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6" w:hRule="exact"/>
        </w:trPr>
        <w:tc>
          <w:tcPr>
            <w:tcW w:w="862" w:type="pct"/>
            <w:tcBorders>
              <w:tl2br w:val="nil"/>
              <w:tr2bl w:val="nil"/>
            </w:tcBorders>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638" w:type="pct"/>
            <w:tcBorders>
              <w:tl2br w:val="nil"/>
              <w:tr2bl w:val="nil"/>
            </w:tcBorders>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名称</w:t>
            </w:r>
          </w:p>
        </w:tc>
        <w:tc>
          <w:tcPr>
            <w:tcW w:w="1250" w:type="pct"/>
            <w:tcBorders>
              <w:tl2br w:val="nil"/>
              <w:tr2bl w:val="nil"/>
            </w:tcBorders>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单位</w:t>
            </w:r>
          </w:p>
        </w:tc>
        <w:tc>
          <w:tcPr>
            <w:tcW w:w="1250" w:type="pct"/>
            <w:tcBorders>
              <w:tl2br w:val="nil"/>
              <w:tr2bl w:val="nil"/>
            </w:tcBorders>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数据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2" w:type="pct"/>
            <w:tcBorders>
              <w:tl2br w:val="nil"/>
              <w:tr2bl w:val="nil"/>
            </w:tcBorders>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638" w:type="pct"/>
            <w:tcBorders>
              <w:tl2br w:val="nil"/>
              <w:tr2bl w:val="nil"/>
            </w:tcBorders>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年平均风速</w:t>
            </w:r>
          </w:p>
        </w:tc>
        <w:tc>
          <w:tcPr>
            <w:tcW w:w="1250" w:type="pct"/>
            <w:tcBorders>
              <w:tl2br w:val="nil"/>
              <w:tr2bl w:val="nil"/>
            </w:tcBorders>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m/s</w:t>
            </w:r>
          </w:p>
        </w:tc>
        <w:tc>
          <w:tcPr>
            <w:tcW w:w="1250" w:type="pct"/>
            <w:tcBorders>
              <w:tl2br w:val="nil"/>
              <w:tr2bl w:val="nil"/>
            </w:tcBorders>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2" w:type="pct"/>
            <w:tcBorders>
              <w:tl2br w:val="nil"/>
              <w:tr2bl w:val="nil"/>
            </w:tcBorders>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638" w:type="pct"/>
            <w:tcBorders>
              <w:tl2br w:val="nil"/>
              <w:tr2bl w:val="nil"/>
            </w:tcBorders>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主导风向</w:t>
            </w:r>
          </w:p>
        </w:tc>
        <w:tc>
          <w:tcPr>
            <w:tcW w:w="1250" w:type="pct"/>
            <w:tcBorders>
              <w:tl2br w:val="nil"/>
              <w:tr2bl w:val="nil"/>
            </w:tcBorders>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250" w:type="pct"/>
            <w:tcBorders>
              <w:tl2br w:val="nil"/>
              <w:tr2bl w:val="nil"/>
            </w:tcBorders>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2" w:type="pct"/>
            <w:tcBorders>
              <w:tl2br w:val="nil"/>
              <w:tr2bl w:val="nil"/>
            </w:tcBorders>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638" w:type="pct"/>
            <w:tcBorders>
              <w:tl2br w:val="nil"/>
              <w:tr2bl w:val="nil"/>
            </w:tcBorders>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年平均气温</w:t>
            </w:r>
          </w:p>
        </w:tc>
        <w:tc>
          <w:tcPr>
            <w:tcW w:w="1250" w:type="pct"/>
            <w:tcBorders>
              <w:tl2br w:val="nil"/>
              <w:tr2bl w:val="nil"/>
            </w:tcBorders>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250" w:type="pct"/>
            <w:tcBorders>
              <w:tl2br w:val="nil"/>
              <w:tr2bl w:val="nil"/>
            </w:tcBorders>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2" w:type="pct"/>
            <w:tcBorders>
              <w:tl2br w:val="nil"/>
              <w:tr2bl w:val="nil"/>
            </w:tcBorders>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638" w:type="pct"/>
            <w:tcBorders>
              <w:tl2br w:val="nil"/>
              <w:tr2bl w:val="nil"/>
            </w:tcBorders>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年平均相对湿度</w:t>
            </w:r>
          </w:p>
        </w:tc>
        <w:tc>
          <w:tcPr>
            <w:tcW w:w="1250" w:type="pct"/>
            <w:tcBorders>
              <w:tl2br w:val="nil"/>
              <w:tr2bl w:val="nil"/>
            </w:tcBorders>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250" w:type="pct"/>
            <w:tcBorders>
              <w:tl2br w:val="nil"/>
              <w:tr2bl w:val="nil"/>
            </w:tcBorders>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2" w:type="pct"/>
            <w:tcBorders>
              <w:tl2br w:val="nil"/>
              <w:tr2bl w:val="nil"/>
            </w:tcBorders>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638" w:type="pct"/>
            <w:tcBorders>
              <w:tl2br w:val="nil"/>
              <w:tr2bl w:val="nil"/>
            </w:tcBorders>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大气压强</w:t>
            </w:r>
          </w:p>
        </w:tc>
        <w:tc>
          <w:tcPr>
            <w:tcW w:w="1250" w:type="pct"/>
            <w:tcBorders>
              <w:tl2br w:val="nil"/>
              <w:tr2bl w:val="nil"/>
            </w:tcBorders>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atm</w:t>
            </w:r>
          </w:p>
        </w:tc>
        <w:tc>
          <w:tcPr>
            <w:tcW w:w="1250" w:type="pct"/>
            <w:tcBorders>
              <w:tl2br w:val="nil"/>
              <w:tr2bl w:val="nil"/>
            </w:tcBorders>
            <w:vAlign w:val="center"/>
          </w:tcPr>
          <w:p>
            <w:pPr>
              <w:pStyle w:val="124"/>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bl>
    <w:p>
      <w:pPr>
        <w:pStyle w:val="6"/>
        <w:keepNext/>
        <w:keepLines/>
        <w:pageBreakBefore w:val="0"/>
        <w:widowControl w:val="0"/>
        <w:kinsoku/>
        <w:wordWrap/>
        <w:overflowPunct/>
        <w:topLinePunct w:val="0"/>
        <w:autoSpaceDE/>
        <w:autoSpaceDN/>
        <w:bidi w:val="0"/>
        <w:adjustRightInd w:val="0"/>
        <w:snapToGrid w:val="0"/>
        <w:spacing w:before="157" w:beforeLines="50"/>
        <w:ind w:left="0" w:leftChars="0" w:right="0" w:rightChars="0"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预测结果</w:t>
      </w:r>
    </w:p>
    <w:p>
      <w:pPr>
        <w:pStyle w:val="125"/>
        <w:pageBreakBefore w:val="0"/>
        <w:wordWrap/>
        <w:bidi w:val="0"/>
        <w:adjustRightInd w:val="0"/>
        <w:ind w:left="0" w:leftChars="0" w:right="0" w:rightChars="0"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通过预测模型计算，项目厂界噪声预测结果与达标分析见</w:t>
      </w:r>
      <w:r>
        <w:rPr>
          <w:rFonts w:hint="default" w:ascii="Times New Roman" w:hAnsi="Times New Roman" w:cs="Times New Roman"/>
          <w:color w:val="auto"/>
          <w:highlight w:val="none"/>
          <w:lang w:val="zh-CN"/>
        </w:rPr>
        <w:fldChar w:fldCharType="begin"/>
      </w:r>
      <w:r>
        <w:rPr>
          <w:rFonts w:hint="default" w:ascii="Times New Roman" w:hAnsi="Times New Roman" w:cs="Times New Roman"/>
          <w:color w:val="auto"/>
          <w:highlight w:val="none"/>
          <w:lang w:val="zh-CN"/>
        </w:rPr>
        <w:instrText xml:space="preserve"> REF _Ref13406352 \h  \* MERGEFORMAT </w:instrText>
      </w:r>
      <w:r>
        <w:rPr>
          <w:rFonts w:hint="default" w:ascii="Times New Roman" w:hAnsi="Times New Roman" w:cs="Times New Roman"/>
          <w:color w:val="auto"/>
          <w:highlight w:val="none"/>
          <w:lang w:val="zh-CN"/>
        </w:rPr>
        <w:fldChar w:fldCharType="separate"/>
      </w:r>
      <w:r>
        <w:rPr>
          <w:rFonts w:hint="default" w:ascii="Times New Roman" w:hAnsi="Times New Roman" w:cs="Times New Roman"/>
          <w:color w:val="auto"/>
          <w:highlight w:val="none"/>
        </w:rPr>
        <w:t>表5.2</w:t>
      </w:r>
      <w:r>
        <w:rPr>
          <w:rFonts w:hint="default" w:ascii="Times New Roman" w:hAnsi="Times New Roman" w:cs="Times New Roman"/>
          <w:color w:val="auto"/>
          <w:highlight w:val="none"/>
        </w:rPr>
        <w:noBreakHyphen/>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zh-CN"/>
        </w:rPr>
        <w:fldChar w:fldCharType="end"/>
      </w:r>
      <w:r>
        <w:rPr>
          <w:rFonts w:hint="eastAsia" w:cs="Times New Roman"/>
          <w:color w:val="auto"/>
          <w:highlight w:val="none"/>
          <w:lang w:val="en-US" w:eastAsia="zh-CN"/>
        </w:rPr>
        <w:t>1</w:t>
      </w:r>
      <w:r>
        <w:rPr>
          <w:rFonts w:hint="default" w:ascii="Times New Roman" w:hAnsi="Times New Roman" w:cs="Times New Roman"/>
          <w:color w:val="auto"/>
          <w:highlight w:val="none"/>
          <w:lang w:val="zh-CN"/>
        </w:rPr>
        <w:t>。</w:t>
      </w:r>
    </w:p>
    <w:p>
      <w:pPr>
        <w:pStyle w:val="126"/>
        <w:pageBreakBefore w:val="0"/>
        <w:widowControl w:val="0"/>
        <w:kinsoku/>
        <w:wordWrap/>
        <w:overflowPunct/>
        <w:topLinePunct w:val="0"/>
        <w:autoSpaceDE/>
        <w:autoSpaceDN/>
        <w:bidi w:val="0"/>
        <w:adjustRightInd w:val="0"/>
        <w:snapToGrid w:val="0"/>
        <w:spacing w:before="0" w:beforeLines="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bookmarkStart w:id="252" w:name="_Ref13406352"/>
      <w:r>
        <w:rPr>
          <w:rFonts w:hint="default" w:ascii="Times New Roman" w:hAnsi="Times New Roman" w:eastAsia="宋体" w:cs="Times New Roman"/>
          <w:color w:val="auto"/>
          <w:sz w:val="21"/>
          <w:szCs w:val="21"/>
          <w:highlight w:val="none"/>
        </w:rPr>
        <w:t>表</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STYLEREF 2 \s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5.2</w: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noBreakHyphen/>
      </w:r>
      <w:bookmarkEnd w:id="252"/>
      <w:r>
        <w:rPr>
          <w:rFonts w:hint="default" w:ascii="Times New Roman" w:hAnsi="Times New Roman" w:eastAsia="宋体" w:cs="Times New Roman"/>
          <w:color w:val="auto"/>
          <w:sz w:val="21"/>
          <w:szCs w:val="21"/>
          <w:highlight w:val="none"/>
          <w:lang w:val="en-US" w:eastAsia="zh-CN"/>
        </w:rPr>
        <w:t>2</w:t>
      </w:r>
      <w:r>
        <w:rPr>
          <w:rFonts w:hint="eastAsia"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 xml:space="preserve">  厂界噪声预测结果与达标分析表</w:t>
      </w:r>
    </w:p>
    <w:tbl>
      <w:tblPr>
        <w:tblStyle w:val="39"/>
        <w:tblpPr w:leftFromText="180" w:rightFromText="180" w:vertAnchor="text" w:tblpXSpec="center" w:tblpY="1"/>
        <w:tblOverlap w:val="never"/>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314"/>
        <w:gridCol w:w="2039"/>
        <w:gridCol w:w="667"/>
        <w:gridCol w:w="1533"/>
        <w:gridCol w:w="1533"/>
        <w:gridCol w:w="15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03" w:hRule="atLeast"/>
        </w:trPr>
        <w:tc>
          <w:tcPr>
            <w:tcW w:w="76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w:t>
            </w:r>
          </w:p>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点位</w:t>
            </w:r>
          </w:p>
        </w:tc>
        <w:tc>
          <w:tcPr>
            <w:tcW w:w="1181"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环境功能</w:t>
            </w:r>
          </w:p>
        </w:tc>
        <w:tc>
          <w:tcPr>
            <w:tcW w:w="386"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监测时间</w:t>
            </w:r>
          </w:p>
        </w:tc>
        <w:tc>
          <w:tcPr>
            <w:tcW w:w="88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贡献值</w:t>
            </w:r>
          </w:p>
        </w:tc>
        <w:tc>
          <w:tcPr>
            <w:tcW w:w="88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标准值</w:t>
            </w:r>
          </w:p>
        </w:tc>
        <w:tc>
          <w:tcPr>
            <w:tcW w:w="893"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达标状况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7" w:hRule="atLeast"/>
        </w:trPr>
        <w:tc>
          <w:tcPr>
            <w:tcW w:w="761" w:type="pct"/>
            <w:vMerge w:val="restar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场界</w:t>
            </w:r>
            <w:r>
              <w:rPr>
                <w:rFonts w:hint="default" w:ascii="Times New Roman" w:hAnsi="Times New Roman" w:eastAsia="宋体" w:cs="Times New Roman"/>
                <w:color w:val="auto"/>
                <w:sz w:val="21"/>
                <w:szCs w:val="21"/>
                <w:highlight w:val="none"/>
              </w:rPr>
              <w:t xml:space="preserve">北侧 </w:t>
            </w:r>
          </w:p>
        </w:tc>
        <w:tc>
          <w:tcPr>
            <w:tcW w:w="1181" w:type="pct"/>
            <w:vMerge w:val="restar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（GB3096-2008）2类</w:t>
            </w:r>
          </w:p>
        </w:tc>
        <w:tc>
          <w:tcPr>
            <w:tcW w:w="386"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w:t>
            </w:r>
          </w:p>
        </w:tc>
        <w:tc>
          <w:tcPr>
            <w:tcW w:w="88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49.8</w:t>
            </w:r>
          </w:p>
        </w:tc>
        <w:tc>
          <w:tcPr>
            <w:tcW w:w="88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893"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7" w:hRule="atLeast"/>
        </w:trPr>
        <w:tc>
          <w:tcPr>
            <w:tcW w:w="761" w:type="pct"/>
            <w:vMerge w:val="continue"/>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p>
        </w:tc>
        <w:tc>
          <w:tcPr>
            <w:tcW w:w="1181" w:type="pct"/>
            <w:vMerge w:val="continue"/>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p>
        </w:tc>
        <w:tc>
          <w:tcPr>
            <w:tcW w:w="386"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w:t>
            </w:r>
          </w:p>
        </w:tc>
        <w:tc>
          <w:tcPr>
            <w:tcW w:w="88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88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c>
          <w:tcPr>
            <w:tcW w:w="893"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7" w:hRule="atLeast"/>
        </w:trPr>
        <w:tc>
          <w:tcPr>
            <w:tcW w:w="761" w:type="pct"/>
            <w:vMerge w:val="restar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场界</w:t>
            </w:r>
            <w:r>
              <w:rPr>
                <w:rFonts w:hint="default" w:ascii="Times New Roman" w:hAnsi="Times New Roman" w:eastAsia="宋体" w:cs="Times New Roman"/>
                <w:color w:val="auto"/>
                <w:sz w:val="21"/>
                <w:szCs w:val="21"/>
                <w:highlight w:val="none"/>
              </w:rPr>
              <w:t xml:space="preserve">东侧 </w:t>
            </w:r>
          </w:p>
        </w:tc>
        <w:tc>
          <w:tcPr>
            <w:tcW w:w="1181" w:type="pct"/>
            <w:vMerge w:val="continue"/>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p>
        </w:tc>
        <w:tc>
          <w:tcPr>
            <w:tcW w:w="386"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w:t>
            </w:r>
          </w:p>
        </w:tc>
        <w:tc>
          <w:tcPr>
            <w:tcW w:w="88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49.1</w:t>
            </w:r>
          </w:p>
        </w:tc>
        <w:tc>
          <w:tcPr>
            <w:tcW w:w="88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893"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7" w:hRule="atLeast"/>
        </w:trPr>
        <w:tc>
          <w:tcPr>
            <w:tcW w:w="761" w:type="pct"/>
            <w:vMerge w:val="continue"/>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p>
        </w:tc>
        <w:tc>
          <w:tcPr>
            <w:tcW w:w="1181" w:type="pct"/>
            <w:vMerge w:val="continue"/>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p>
        </w:tc>
        <w:tc>
          <w:tcPr>
            <w:tcW w:w="386"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w:t>
            </w:r>
          </w:p>
        </w:tc>
        <w:tc>
          <w:tcPr>
            <w:tcW w:w="88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15.2</w:t>
            </w:r>
          </w:p>
        </w:tc>
        <w:tc>
          <w:tcPr>
            <w:tcW w:w="88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c>
          <w:tcPr>
            <w:tcW w:w="893"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7" w:hRule="atLeast"/>
        </w:trPr>
        <w:tc>
          <w:tcPr>
            <w:tcW w:w="761" w:type="pct"/>
            <w:vMerge w:val="restar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场界</w:t>
            </w:r>
            <w:r>
              <w:rPr>
                <w:rFonts w:hint="default" w:ascii="Times New Roman" w:hAnsi="Times New Roman" w:eastAsia="宋体" w:cs="Times New Roman"/>
                <w:color w:val="auto"/>
                <w:sz w:val="21"/>
                <w:szCs w:val="21"/>
                <w:highlight w:val="none"/>
              </w:rPr>
              <w:t xml:space="preserve">南侧 </w:t>
            </w:r>
          </w:p>
        </w:tc>
        <w:tc>
          <w:tcPr>
            <w:tcW w:w="1181" w:type="pct"/>
            <w:vMerge w:val="continue"/>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p>
        </w:tc>
        <w:tc>
          <w:tcPr>
            <w:tcW w:w="386"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w:t>
            </w:r>
          </w:p>
        </w:tc>
        <w:tc>
          <w:tcPr>
            <w:tcW w:w="88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32.2</w:t>
            </w:r>
          </w:p>
        </w:tc>
        <w:tc>
          <w:tcPr>
            <w:tcW w:w="88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893"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7" w:hRule="atLeast"/>
        </w:trPr>
        <w:tc>
          <w:tcPr>
            <w:tcW w:w="761" w:type="pct"/>
            <w:vMerge w:val="continue"/>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p>
        </w:tc>
        <w:tc>
          <w:tcPr>
            <w:tcW w:w="1181" w:type="pct"/>
            <w:vMerge w:val="continue"/>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p>
        </w:tc>
        <w:tc>
          <w:tcPr>
            <w:tcW w:w="386"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w:t>
            </w:r>
          </w:p>
        </w:tc>
        <w:tc>
          <w:tcPr>
            <w:tcW w:w="88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16.0</w:t>
            </w:r>
          </w:p>
        </w:tc>
        <w:tc>
          <w:tcPr>
            <w:tcW w:w="88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c>
          <w:tcPr>
            <w:tcW w:w="893"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7" w:hRule="atLeast"/>
        </w:trPr>
        <w:tc>
          <w:tcPr>
            <w:tcW w:w="761" w:type="pct"/>
            <w:vMerge w:val="restar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场界</w:t>
            </w:r>
            <w:r>
              <w:rPr>
                <w:rFonts w:hint="default" w:ascii="Times New Roman" w:hAnsi="Times New Roman" w:eastAsia="宋体" w:cs="Times New Roman"/>
                <w:color w:val="auto"/>
                <w:sz w:val="21"/>
                <w:szCs w:val="21"/>
                <w:highlight w:val="none"/>
              </w:rPr>
              <w:t xml:space="preserve">西侧 </w:t>
            </w:r>
          </w:p>
        </w:tc>
        <w:tc>
          <w:tcPr>
            <w:tcW w:w="1181" w:type="pct"/>
            <w:vMerge w:val="continue"/>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p>
        </w:tc>
        <w:tc>
          <w:tcPr>
            <w:tcW w:w="386"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w:t>
            </w:r>
          </w:p>
        </w:tc>
        <w:tc>
          <w:tcPr>
            <w:tcW w:w="88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49.2</w:t>
            </w:r>
          </w:p>
        </w:tc>
        <w:tc>
          <w:tcPr>
            <w:tcW w:w="88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893"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4" w:hRule="atLeast"/>
        </w:trPr>
        <w:tc>
          <w:tcPr>
            <w:tcW w:w="761" w:type="pct"/>
            <w:vMerge w:val="continue"/>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p>
        </w:tc>
        <w:tc>
          <w:tcPr>
            <w:tcW w:w="1181" w:type="pct"/>
            <w:vMerge w:val="continue"/>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p>
        </w:tc>
        <w:tc>
          <w:tcPr>
            <w:tcW w:w="386"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w:t>
            </w:r>
          </w:p>
        </w:tc>
        <w:tc>
          <w:tcPr>
            <w:tcW w:w="88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30.0</w:t>
            </w:r>
          </w:p>
        </w:tc>
        <w:tc>
          <w:tcPr>
            <w:tcW w:w="888"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c>
          <w:tcPr>
            <w:tcW w:w="893" w:type="pct"/>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pPr>
        <w:pStyle w:val="125"/>
        <w:keepNext w:val="0"/>
        <w:keepLines w:val="0"/>
        <w:pageBreakBefore w:val="0"/>
        <w:widowControl w:val="0"/>
        <w:kinsoku/>
        <w:wordWrap/>
        <w:overflowPunct/>
        <w:topLinePunct w:val="0"/>
        <w:autoSpaceDE/>
        <w:autoSpaceDN/>
        <w:bidi w:val="0"/>
        <w:adjustRightInd w:val="0"/>
        <w:snapToGrid w:val="0"/>
        <w:spacing w:before="157" w:beforeLines="50"/>
        <w:ind w:left="0" w:leftChars="0" w:right="0" w:rightChars="0" w:firstLine="48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zh-CN"/>
        </w:rPr>
        <w:t>由上表可知，正常工况下，项目厂界噪声满足《工业企业厂界环境噪声排放标准》(GB12348-2008) 2类标准。</w:t>
      </w:r>
    </w:p>
    <w:p>
      <w:pPr>
        <w:pStyle w:val="6"/>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声环境影响自查表</w:t>
      </w:r>
    </w:p>
    <w:p>
      <w:pPr>
        <w:pStyle w:val="125"/>
        <w:keepNext w:val="0"/>
        <w:keepLines w:val="0"/>
        <w:pageBreakBefore w:val="0"/>
        <w:widowControl w:val="0"/>
        <w:kinsoku/>
        <w:wordWrap/>
        <w:overflowPunct/>
        <w:topLinePunct w:val="0"/>
        <w:autoSpaceDE/>
        <w:autoSpaceDN/>
        <w:bidi w:val="0"/>
        <w:adjustRightInd w:val="0"/>
        <w:snapToGrid w:val="0"/>
        <w:ind w:left="0" w:leftChars="0" w:right="0" w:rightChars="0" w:firstLine="480"/>
        <w:textAlignment w:val="auto"/>
        <w:rPr>
          <w:rFonts w:hint="default"/>
          <w:color w:val="auto"/>
          <w:lang w:eastAsia="zh-CN"/>
        </w:rPr>
      </w:pPr>
      <w:r>
        <w:rPr>
          <w:rFonts w:hint="eastAsia" w:ascii="Times New Roman" w:hAnsi="Times New Roman" w:eastAsia="宋体" w:cs="Times New Roman"/>
          <w:color w:val="auto"/>
          <w:highlight w:val="none"/>
          <w:lang w:val="en-US" w:eastAsia="zh-CN"/>
        </w:rPr>
        <w:t>建设项目</w:t>
      </w:r>
      <w:r>
        <w:rPr>
          <w:rFonts w:hint="default" w:ascii="Times New Roman" w:hAnsi="Times New Roman" w:eastAsia="宋体" w:cs="Times New Roman"/>
          <w:color w:val="auto"/>
          <w:highlight w:val="none"/>
          <w:lang w:val="en-US" w:eastAsia="zh-CN"/>
        </w:rPr>
        <w:t>声环境影响评价自查表</w:t>
      </w:r>
      <w:r>
        <w:rPr>
          <w:rFonts w:hint="eastAsia" w:ascii="Times New Roman" w:hAnsi="Times New Roman" w:eastAsia="宋体" w:cs="Times New Roman"/>
          <w:color w:val="auto"/>
          <w:highlight w:val="none"/>
          <w:lang w:val="en-US" w:eastAsia="zh-CN"/>
        </w:rPr>
        <w:t>见表5.2-22。</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eastAsia="zh-CN"/>
        </w:rPr>
        <w:t>表</w:t>
      </w:r>
      <w:r>
        <w:rPr>
          <w:rFonts w:hint="default" w:ascii="Times New Roman" w:hAnsi="Times New Roman" w:eastAsia="宋体" w:cs="Times New Roman"/>
          <w:b/>
          <w:bCs/>
          <w:color w:val="auto"/>
          <w:sz w:val="21"/>
          <w:szCs w:val="21"/>
          <w:highlight w:val="none"/>
          <w:lang w:val="en-US" w:eastAsia="zh-CN"/>
        </w:rPr>
        <w:t>5.2-2</w:t>
      </w:r>
      <w:r>
        <w:rPr>
          <w:rFonts w:hint="eastAsia"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lang w:val="en-US" w:eastAsia="zh-CN"/>
        </w:rPr>
        <w:t xml:space="preserve">     声环境影响评价自查表</w:t>
      </w:r>
    </w:p>
    <w:tbl>
      <w:tblPr>
        <w:tblStyle w:val="39"/>
        <w:tblW w:w="859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02"/>
        <w:gridCol w:w="1585"/>
        <w:gridCol w:w="1170"/>
        <w:gridCol w:w="356"/>
        <w:gridCol w:w="693"/>
        <w:gridCol w:w="628"/>
        <w:gridCol w:w="285"/>
        <w:gridCol w:w="1012"/>
        <w:gridCol w:w="431"/>
        <w:gridCol w:w="300"/>
        <w:gridCol w:w="253"/>
        <w:gridCol w:w="9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7" w:hRule="atLeast"/>
        </w:trPr>
        <w:tc>
          <w:tcPr>
            <w:tcW w:w="248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bookmarkStart w:id="253" w:name="_Toc82348210"/>
            <w:r>
              <w:rPr>
                <w:rFonts w:hint="default" w:ascii="Times New Roman" w:hAnsi="Times New Roman" w:eastAsia="宋体" w:cs="Times New Roman"/>
                <w:color w:val="auto"/>
                <w:sz w:val="21"/>
                <w:szCs w:val="21"/>
                <w:highlight w:val="none"/>
              </w:rPr>
              <w:t>工作内容</w:t>
            </w:r>
            <w:bookmarkEnd w:id="253"/>
          </w:p>
        </w:tc>
        <w:tc>
          <w:tcPr>
            <w:tcW w:w="6112"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bookmarkStart w:id="254" w:name="_Toc82348211"/>
            <w:r>
              <w:rPr>
                <w:rFonts w:hint="default" w:ascii="Times New Roman" w:hAnsi="Times New Roman" w:eastAsia="宋体" w:cs="Times New Roman"/>
                <w:color w:val="auto"/>
                <w:sz w:val="21"/>
                <w:szCs w:val="21"/>
                <w:highlight w:val="none"/>
              </w:rPr>
              <w:t>自查项目</w:t>
            </w:r>
            <w:bookmarkEnd w:id="254"/>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3" w:hRule="atLeast"/>
        </w:trPr>
        <w:tc>
          <w:tcPr>
            <w:tcW w:w="90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bookmarkStart w:id="255" w:name="_Toc82348212"/>
            <w:r>
              <w:rPr>
                <w:rFonts w:hint="default" w:ascii="Times New Roman" w:hAnsi="Times New Roman" w:eastAsia="宋体" w:cs="Times New Roman"/>
                <w:color w:val="auto"/>
                <w:sz w:val="21"/>
                <w:szCs w:val="21"/>
                <w:highlight w:val="none"/>
              </w:rPr>
              <w:t>评价等级与范围</w:t>
            </w:r>
            <w:bookmarkEnd w:id="255"/>
          </w:p>
        </w:tc>
        <w:tc>
          <w:tcPr>
            <w:tcW w:w="15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bookmarkStart w:id="256" w:name="_Toc82348213"/>
            <w:r>
              <w:rPr>
                <w:rFonts w:hint="default" w:ascii="Times New Roman" w:hAnsi="Times New Roman" w:eastAsia="宋体" w:cs="Times New Roman"/>
                <w:color w:val="auto"/>
                <w:sz w:val="21"/>
                <w:szCs w:val="21"/>
                <w:highlight w:val="none"/>
              </w:rPr>
              <w:t>评价等级</w:t>
            </w:r>
            <w:bookmarkEnd w:id="256"/>
          </w:p>
        </w:tc>
        <w:tc>
          <w:tcPr>
            <w:tcW w:w="6112"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bookmarkStart w:id="257" w:name="_Toc82348214"/>
            <w:r>
              <w:rPr>
                <w:rFonts w:hint="default" w:ascii="Times New Roman" w:hAnsi="Times New Roman" w:eastAsia="宋体" w:cs="Times New Roman"/>
                <w:color w:val="auto"/>
                <w:sz w:val="21"/>
                <w:szCs w:val="21"/>
                <w:highlight w:val="none"/>
              </w:rPr>
              <w:t>一级</w:t>
            </w:r>
            <w:bookmarkEnd w:id="257"/>
            <w:r>
              <w:rPr>
                <w:rFonts w:hint="default" w:ascii="Times New Roman" w:hAnsi="Times New Roman" w:eastAsia="宋体" w:cs="Times New Roman"/>
                <w:color w:val="auto"/>
                <w:sz w:val="21"/>
                <w:szCs w:val="21"/>
                <w:highlight w:val="none"/>
              </w:rPr>
              <w:t>□</w:t>
            </w:r>
            <w:bookmarkStart w:id="258" w:name="_Toc82348215"/>
            <w:r>
              <w:rPr>
                <w:rFonts w:hint="default" w:ascii="Times New Roman" w:hAnsi="Times New Roman" w:eastAsia="宋体" w:cs="Times New Roman"/>
                <w:color w:val="auto"/>
                <w:sz w:val="21"/>
                <w:szCs w:val="21"/>
                <w:highlight w:val="none"/>
              </w:rPr>
              <w:t xml:space="preserve">                  二级</w:t>
            </w:r>
            <w:bookmarkEnd w:id="258"/>
            <w:bookmarkStart w:id="259" w:name="_Toc82348216"/>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 xml:space="preserve">                 三级</w:t>
            </w:r>
            <w:bookmarkEnd w:id="259"/>
            <w:r>
              <w:rPr>
                <w:rFonts w:hint="default" w:ascii="Times New Roman" w:hAnsi="Times New Roman" w:eastAsia="宋体" w:cs="Times New Roman"/>
                <w:color w:val="auto"/>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3" w:hRule="atLeast"/>
        </w:trPr>
        <w:tc>
          <w:tcPr>
            <w:tcW w:w="9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5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bookmarkStart w:id="260" w:name="_Toc82348217"/>
            <w:r>
              <w:rPr>
                <w:rFonts w:hint="default" w:ascii="Times New Roman" w:hAnsi="Times New Roman" w:eastAsia="宋体" w:cs="Times New Roman"/>
                <w:color w:val="auto"/>
                <w:sz w:val="21"/>
                <w:szCs w:val="21"/>
                <w:highlight w:val="none"/>
              </w:rPr>
              <w:t>评价范围</w:t>
            </w:r>
            <w:bookmarkEnd w:id="260"/>
          </w:p>
        </w:tc>
        <w:tc>
          <w:tcPr>
            <w:tcW w:w="6112"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200m</w:t>
            </w:r>
            <w:bookmarkStart w:id="261" w:name="_Toc82348219"/>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 xml:space="preserve">                 大于200m</w:t>
            </w:r>
            <w:bookmarkEnd w:id="261"/>
            <w:r>
              <w:rPr>
                <w:rFonts w:hint="default" w:ascii="Times New Roman" w:hAnsi="Times New Roman" w:eastAsia="宋体" w:cs="Times New Roman"/>
                <w:color w:val="auto"/>
                <w:sz w:val="21"/>
                <w:szCs w:val="21"/>
                <w:highlight w:val="none"/>
              </w:rPr>
              <w:t>□</w:t>
            </w:r>
            <w:bookmarkStart w:id="262" w:name="_Toc82348220"/>
            <w:r>
              <w:rPr>
                <w:rFonts w:hint="default" w:ascii="Times New Roman" w:hAnsi="Times New Roman" w:eastAsia="宋体" w:cs="Times New Roman"/>
                <w:color w:val="auto"/>
                <w:sz w:val="21"/>
                <w:szCs w:val="21"/>
                <w:highlight w:val="none"/>
              </w:rPr>
              <w:t xml:space="preserve">              小于200</w:t>
            </w:r>
            <w:bookmarkEnd w:id="262"/>
            <w:r>
              <w:rPr>
                <w:rFonts w:hint="default" w:ascii="Times New Roman" w:hAnsi="Times New Roman" w:cs="Times New Roman"/>
                <w:color w:val="auto"/>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3" w:hRule="atLeast"/>
        </w:trPr>
        <w:tc>
          <w:tcPr>
            <w:tcW w:w="9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bookmarkStart w:id="263" w:name="_Toc82348221"/>
            <w:r>
              <w:rPr>
                <w:rFonts w:hint="default" w:ascii="Times New Roman" w:hAnsi="Times New Roman" w:eastAsia="宋体" w:cs="Times New Roman"/>
                <w:color w:val="auto"/>
                <w:sz w:val="21"/>
                <w:szCs w:val="21"/>
                <w:highlight w:val="none"/>
              </w:rPr>
              <w:t>评价因子</w:t>
            </w:r>
            <w:bookmarkEnd w:id="263"/>
          </w:p>
        </w:tc>
        <w:tc>
          <w:tcPr>
            <w:tcW w:w="15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评价因子</w:t>
            </w:r>
          </w:p>
        </w:tc>
        <w:tc>
          <w:tcPr>
            <w:tcW w:w="6112"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bookmarkStart w:id="264" w:name="_Toc82348223"/>
            <w:r>
              <w:rPr>
                <w:rFonts w:hint="default" w:ascii="Times New Roman" w:hAnsi="Times New Roman" w:eastAsia="宋体" w:cs="Times New Roman"/>
                <w:color w:val="auto"/>
                <w:sz w:val="21"/>
                <w:szCs w:val="21"/>
                <w:highlight w:val="none"/>
              </w:rPr>
              <w:t>等效连续A声级</w:t>
            </w:r>
            <w:bookmarkEnd w:id="264"/>
            <w:r>
              <w:rPr>
                <w:rFonts w:hint="default" w:ascii="Times New Roman" w:hAnsi="Times New Roman" w:eastAsia="宋体" w:cs="Times New Roman"/>
                <w:color w:val="auto"/>
                <w:sz w:val="21"/>
                <w:szCs w:val="21"/>
                <w:highlight w:val="none"/>
              </w:rPr>
              <w:t>☑    最大A声级□   计权等效连续感觉噪声级□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3" w:hRule="atLeast"/>
        </w:trPr>
        <w:tc>
          <w:tcPr>
            <w:tcW w:w="9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bookmarkStart w:id="265" w:name="_Toc82348231"/>
            <w:r>
              <w:rPr>
                <w:rFonts w:hint="default" w:ascii="Times New Roman" w:hAnsi="Times New Roman" w:eastAsia="宋体" w:cs="Times New Roman"/>
                <w:color w:val="auto"/>
                <w:sz w:val="21"/>
                <w:szCs w:val="21"/>
                <w:highlight w:val="none"/>
              </w:rPr>
              <w:t>评价标准</w:t>
            </w:r>
            <w:bookmarkEnd w:id="265"/>
          </w:p>
        </w:tc>
        <w:tc>
          <w:tcPr>
            <w:tcW w:w="15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bookmarkStart w:id="266" w:name="_Toc82348232"/>
            <w:r>
              <w:rPr>
                <w:rFonts w:hint="default" w:ascii="Times New Roman" w:hAnsi="Times New Roman" w:eastAsia="宋体" w:cs="Times New Roman"/>
                <w:color w:val="auto"/>
                <w:sz w:val="21"/>
                <w:szCs w:val="21"/>
                <w:highlight w:val="none"/>
              </w:rPr>
              <w:t>评价标准</w:t>
            </w:r>
            <w:bookmarkEnd w:id="266"/>
          </w:p>
        </w:tc>
        <w:tc>
          <w:tcPr>
            <w:tcW w:w="6112"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bookmarkStart w:id="267" w:name="_Toc82348233"/>
            <w:r>
              <w:rPr>
                <w:rFonts w:hint="default" w:ascii="Times New Roman" w:hAnsi="Times New Roman" w:eastAsia="宋体" w:cs="Times New Roman"/>
                <w:color w:val="auto"/>
                <w:sz w:val="21"/>
                <w:szCs w:val="21"/>
                <w:highlight w:val="none"/>
              </w:rPr>
              <w:t>国家标准</w:t>
            </w:r>
            <w:bookmarkEnd w:id="267"/>
            <w:r>
              <w:rPr>
                <w:rFonts w:hint="default" w:ascii="Times New Roman" w:hAnsi="Times New Roman" w:eastAsia="宋体" w:cs="Times New Roman"/>
                <w:color w:val="auto"/>
                <w:sz w:val="21"/>
                <w:szCs w:val="21"/>
                <w:highlight w:val="none"/>
              </w:rPr>
              <w:t xml:space="preserve">☑ </w:t>
            </w:r>
            <w:bookmarkStart w:id="268" w:name="_Toc82348234"/>
            <w:r>
              <w:rPr>
                <w:rFonts w:hint="default" w:ascii="Times New Roman" w:hAnsi="Times New Roman" w:eastAsia="宋体" w:cs="Times New Roman"/>
                <w:color w:val="auto"/>
                <w:sz w:val="21"/>
                <w:szCs w:val="21"/>
                <w:highlight w:val="none"/>
              </w:rPr>
              <w:t xml:space="preserve">          地方标准□</w:t>
            </w:r>
            <w:bookmarkEnd w:id="268"/>
            <w:bookmarkStart w:id="269" w:name="_Toc82348236"/>
            <w:r>
              <w:rPr>
                <w:rFonts w:hint="default" w:ascii="Times New Roman" w:hAnsi="Times New Roman" w:eastAsia="宋体" w:cs="Times New Roman"/>
                <w:color w:val="auto"/>
                <w:sz w:val="21"/>
                <w:szCs w:val="21"/>
                <w:highlight w:val="none"/>
              </w:rPr>
              <w:t xml:space="preserve">            国外标准□</w:t>
            </w:r>
            <w:bookmarkEnd w:id="269"/>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3" w:hRule="atLeast"/>
        </w:trPr>
        <w:tc>
          <w:tcPr>
            <w:tcW w:w="90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bookmarkStart w:id="270" w:name="_Toc82348237"/>
            <w:r>
              <w:rPr>
                <w:rFonts w:hint="default" w:ascii="Times New Roman" w:hAnsi="Times New Roman" w:eastAsia="宋体" w:cs="Times New Roman"/>
                <w:color w:val="auto"/>
                <w:sz w:val="21"/>
                <w:szCs w:val="21"/>
                <w:highlight w:val="none"/>
              </w:rPr>
              <w:t>现状评价</w:t>
            </w:r>
            <w:bookmarkEnd w:id="270"/>
          </w:p>
        </w:tc>
        <w:tc>
          <w:tcPr>
            <w:tcW w:w="15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bookmarkStart w:id="271" w:name="_Toc82348238"/>
            <w:r>
              <w:rPr>
                <w:rFonts w:hint="default" w:ascii="Times New Roman" w:hAnsi="Times New Roman" w:eastAsia="宋体" w:cs="Times New Roman"/>
                <w:color w:val="auto"/>
                <w:sz w:val="21"/>
                <w:szCs w:val="21"/>
                <w:highlight w:val="none"/>
              </w:rPr>
              <w:t>环境功能区</w:t>
            </w:r>
            <w:bookmarkEnd w:id="271"/>
          </w:p>
        </w:tc>
        <w:tc>
          <w:tcPr>
            <w:tcW w:w="11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bookmarkStart w:id="272" w:name="_Toc82348239"/>
            <w:r>
              <w:rPr>
                <w:rFonts w:hint="default" w:ascii="Times New Roman" w:hAnsi="Times New Roman" w:eastAsia="宋体" w:cs="Times New Roman"/>
                <w:color w:val="auto"/>
                <w:sz w:val="21"/>
                <w:szCs w:val="21"/>
                <w:highlight w:val="none"/>
              </w:rPr>
              <w:t>0类区□</w:t>
            </w:r>
            <w:bookmarkEnd w:id="272"/>
          </w:p>
        </w:tc>
        <w:tc>
          <w:tcPr>
            <w:tcW w:w="1049"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bookmarkStart w:id="273" w:name="_Toc82348240"/>
            <w:r>
              <w:rPr>
                <w:rFonts w:hint="default" w:ascii="Times New Roman" w:hAnsi="Times New Roman" w:eastAsia="宋体" w:cs="Times New Roman"/>
                <w:color w:val="auto"/>
                <w:sz w:val="21"/>
                <w:szCs w:val="21"/>
                <w:highlight w:val="none"/>
              </w:rPr>
              <w:t>1类区□</w:t>
            </w:r>
          </w:p>
        </w:tc>
        <w:tc>
          <w:tcPr>
            <w:tcW w:w="913"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2类区</w:t>
            </w:r>
            <w:bookmarkEnd w:id="273"/>
            <w:r>
              <w:rPr>
                <w:rFonts w:hint="default" w:ascii="Times New Roman" w:hAnsi="Times New Roman" w:eastAsia="宋体" w:cs="Times New Roman"/>
                <w:color w:val="auto"/>
                <w:sz w:val="21"/>
                <w:szCs w:val="21"/>
                <w:highlight w:val="none"/>
              </w:rPr>
              <w:sym w:font="Wingdings 2" w:char="0052"/>
            </w:r>
          </w:p>
        </w:tc>
        <w:tc>
          <w:tcPr>
            <w:tcW w:w="10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bookmarkStart w:id="274" w:name="_Toc82348241"/>
            <w:r>
              <w:rPr>
                <w:rFonts w:hint="default" w:ascii="Times New Roman" w:hAnsi="Times New Roman" w:eastAsia="宋体" w:cs="Times New Roman"/>
                <w:color w:val="auto"/>
                <w:sz w:val="21"/>
                <w:szCs w:val="21"/>
                <w:highlight w:val="none"/>
              </w:rPr>
              <w:t>3类区</w:t>
            </w:r>
            <w:r>
              <w:rPr>
                <w:rFonts w:hint="default" w:ascii="Times New Roman" w:hAnsi="Times New Roman" w:eastAsia="宋体" w:cs="Times New Roman"/>
                <w:color w:val="auto"/>
                <w:sz w:val="21"/>
                <w:szCs w:val="21"/>
                <w:highlight w:val="none"/>
                <w:lang w:eastAsia="zh-CN"/>
              </w:rPr>
              <w:t>□</w:t>
            </w:r>
          </w:p>
        </w:tc>
        <w:tc>
          <w:tcPr>
            <w:tcW w:w="984"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4a类区□</w:t>
            </w:r>
            <w:bookmarkEnd w:id="274"/>
          </w:p>
        </w:tc>
        <w:tc>
          <w:tcPr>
            <w:tcW w:w="9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4b类区□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3" w:hRule="atLeast"/>
        </w:trPr>
        <w:tc>
          <w:tcPr>
            <w:tcW w:w="9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5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bookmarkStart w:id="275" w:name="_Toc82348242"/>
            <w:r>
              <w:rPr>
                <w:rFonts w:hint="default" w:ascii="Times New Roman" w:hAnsi="Times New Roman" w:eastAsia="宋体" w:cs="Times New Roman"/>
                <w:color w:val="auto"/>
                <w:sz w:val="21"/>
                <w:szCs w:val="21"/>
                <w:highlight w:val="none"/>
              </w:rPr>
              <w:t>评价</w:t>
            </w:r>
            <w:bookmarkEnd w:id="275"/>
            <w:r>
              <w:rPr>
                <w:rFonts w:hint="default" w:ascii="Times New Roman" w:hAnsi="Times New Roman" w:eastAsia="宋体" w:cs="Times New Roman"/>
                <w:color w:val="auto"/>
                <w:sz w:val="21"/>
                <w:szCs w:val="21"/>
                <w:highlight w:val="none"/>
              </w:rPr>
              <w:t>年度</w:t>
            </w:r>
          </w:p>
        </w:tc>
        <w:tc>
          <w:tcPr>
            <w:tcW w:w="152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初期</w:t>
            </w:r>
            <w:r>
              <w:rPr>
                <w:rFonts w:hint="default" w:ascii="Times New Roman" w:hAnsi="Times New Roman" w:eastAsia="宋体" w:cs="Times New Roman"/>
                <w:color w:val="auto"/>
                <w:sz w:val="21"/>
                <w:szCs w:val="21"/>
                <w:highlight w:val="none"/>
              </w:rPr>
              <w:sym w:font="Wingdings 2" w:char="0052"/>
            </w:r>
          </w:p>
        </w:tc>
        <w:tc>
          <w:tcPr>
            <w:tcW w:w="1606"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近期□</w:t>
            </w:r>
          </w:p>
        </w:tc>
        <w:tc>
          <w:tcPr>
            <w:tcW w:w="1443"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中期□</w:t>
            </w:r>
          </w:p>
        </w:tc>
        <w:tc>
          <w:tcPr>
            <w:tcW w:w="1537"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远期</w:t>
            </w:r>
            <w:r>
              <w:rPr>
                <w:rFonts w:hint="eastAsia" w:cs="Times New Roman"/>
                <w:color w:val="auto"/>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3" w:hRule="atLeast"/>
        </w:trPr>
        <w:tc>
          <w:tcPr>
            <w:tcW w:w="9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5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bookmarkStart w:id="276" w:name="_Toc82348244"/>
            <w:r>
              <w:rPr>
                <w:rFonts w:hint="default" w:ascii="Times New Roman" w:hAnsi="Times New Roman" w:eastAsia="宋体" w:cs="Times New Roman"/>
                <w:color w:val="auto"/>
                <w:sz w:val="21"/>
                <w:szCs w:val="21"/>
                <w:highlight w:val="none"/>
              </w:rPr>
              <w:t>现状调查</w:t>
            </w:r>
            <w:bookmarkEnd w:id="276"/>
            <w:r>
              <w:rPr>
                <w:rFonts w:hint="default" w:ascii="Times New Roman" w:hAnsi="Times New Roman" w:eastAsia="宋体" w:cs="Times New Roman"/>
                <w:color w:val="auto"/>
                <w:sz w:val="21"/>
                <w:szCs w:val="21"/>
                <w:highlight w:val="none"/>
              </w:rPr>
              <w:t>方法</w:t>
            </w:r>
          </w:p>
        </w:tc>
        <w:tc>
          <w:tcPr>
            <w:tcW w:w="6112"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bookmarkStart w:id="277" w:name="_Toc82348245"/>
            <w:r>
              <w:rPr>
                <w:rFonts w:hint="default" w:ascii="Times New Roman" w:hAnsi="Times New Roman" w:eastAsia="宋体" w:cs="Times New Roman"/>
                <w:color w:val="auto"/>
                <w:sz w:val="21"/>
                <w:szCs w:val="21"/>
                <w:highlight w:val="none"/>
              </w:rPr>
              <w:t>现场实测法</w:t>
            </w:r>
            <w:bookmarkEnd w:id="277"/>
            <w:r>
              <w:rPr>
                <w:rFonts w:hint="default" w:ascii="Times New Roman" w:hAnsi="Times New Roman" w:eastAsia="宋体" w:cs="Times New Roman"/>
                <w:color w:val="auto"/>
                <w:sz w:val="21"/>
                <w:szCs w:val="21"/>
                <w:highlight w:val="none"/>
              </w:rPr>
              <w:t>☑      现场实测加模型计算法□      收集资料□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3" w:hRule="atLeast"/>
        </w:trPr>
        <w:tc>
          <w:tcPr>
            <w:tcW w:w="9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5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bookmarkStart w:id="278" w:name="_Toc82348248"/>
            <w:r>
              <w:rPr>
                <w:rFonts w:hint="default" w:ascii="Times New Roman" w:hAnsi="Times New Roman" w:eastAsia="宋体" w:cs="Times New Roman"/>
                <w:color w:val="auto"/>
                <w:sz w:val="21"/>
                <w:szCs w:val="21"/>
                <w:highlight w:val="none"/>
              </w:rPr>
              <w:t>现状评价</w:t>
            </w:r>
            <w:bookmarkEnd w:id="278"/>
          </w:p>
        </w:tc>
        <w:tc>
          <w:tcPr>
            <w:tcW w:w="2219"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达标百分比</w:t>
            </w:r>
          </w:p>
        </w:tc>
        <w:tc>
          <w:tcPr>
            <w:tcW w:w="3893" w:type="dxa"/>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32" w:hRule="atLeast"/>
        </w:trPr>
        <w:tc>
          <w:tcPr>
            <w:tcW w:w="9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bookmarkStart w:id="279" w:name="_Toc82348251"/>
            <w:r>
              <w:rPr>
                <w:rFonts w:hint="eastAsia" w:cs="Times New Roman"/>
                <w:color w:val="auto"/>
                <w:sz w:val="21"/>
                <w:szCs w:val="21"/>
                <w:highlight w:val="none"/>
                <w:lang w:val="en-US" w:eastAsia="zh-CN"/>
              </w:rPr>
              <w:t>噪声源</w:t>
            </w:r>
            <w:r>
              <w:rPr>
                <w:rFonts w:hint="default" w:ascii="Times New Roman" w:hAnsi="Times New Roman" w:eastAsia="宋体" w:cs="Times New Roman"/>
                <w:color w:val="auto"/>
                <w:sz w:val="21"/>
                <w:szCs w:val="21"/>
                <w:highlight w:val="none"/>
              </w:rPr>
              <w:t>调查</w:t>
            </w:r>
            <w:bookmarkEnd w:id="279"/>
          </w:p>
        </w:tc>
        <w:tc>
          <w:tcPr>
            <w:tcW w:w="15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噪声源调查方法</w:t>
            </w:r>
          </w:p>
        </w:tc>
        <w:tc>
          <w:tcPr>
            <w:tcW w:w="6112"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现场实测</w:t>
            </w:r>
            <w:bookmarkStart w:id="280" w:name="_Toc82348256"/>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 xml:space="preserve">             已有资料</w:t>
            </w:r>
            <w:bookmarkEnd w:id="280"/>
            <w:bookmarkStart w:id="281" w:name="_Toc82348258"/>
            <w:r>
              <w:rPr>
                <w:rFonts w:hint="default" w:ascii="Times New Roman" w:hAnsi="Times New Roman" w:eastAsia="宋体" w:cs="Times New Roman"/>
                <w:color w:val="auto"/>
                <w:sz w:val="21"/>
                <w:szCs w:val="21"/>
                <w:highlight w:val="none"/>
              </w:rPr>
              <w:sym w:font="Wingdings 2" w:char="0052"/>
            </w:r>
            <w:r>
              <w:rPr>
                <w:rFonts w:hint="default" w:ascii="Times New Roman" w:hAnsi="Times New Roman" w:eastAsia="宋体" w:cs="Times New Roman"/>
                <w:color w:val="auto"/>
                <w:sz w:val="21"/>
                <w:szCs w:val="21"/>
                <w:highlight w:val="none"/>
              </w:rPr>
              <w:t xml:space="preserve">            研究成果□</w:t>
            </w:r>
            <w:bookmarkEnd w:id="281"/>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3" w:hRule="atLeast"/>
        </w:trPr>
        <w:tc>
          <w:tcPr>
            <w:tcW w:w="90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bookmarkStart w:id="282" w:name="_Toc82348259"/>
            <w:r>
              <w:rPr>
                <w:rFonts w:hint="default" w:ascii="Times New Roman" w:hAnsi="Times New Roman" w:eastAsia="宋体" w:cs="Times New Roman"/>
                <w:color w:val="auto"/>
                <w:sz w:val="21"/>
                <w:szCs w:val="21"/>
                <w:highlight w:val="none"/>
              </w:rPr>
              <w:t>声环境影响预测与</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w:t>
            </w:r>
            <w:bookmarkEnd w:id="282"/>
          </w:p>
        </w:tc>
        <w:tc>
          <w:tcPr>
            <w:tcW w:w="15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bookmarkStart w:id="283" w:name="_Toc82348260"/>
            <w:r>
              <w:rPr>
                <w:rFonts w:hint="default" w:ascii="Times New Roman" w:hAnsi="Times New Roman" w:eastAsia="宋体" w:cs="Times New Roman"/>
                <w:color w:val="auto"/>
                <w:sz w:val="21"/>
                <w:szCs w:val="21"/>
                <w:highlight w:val="none"/>
              </w:rPr>
              <w:t>预测模型</w:t>
            </w:r>
            <w:bookmarkEnd w:id="283"/>
          </w:p>
        </w:tc>
        <w:tc>
          <w:tcPr>
            <w:tcW w:w="6112"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single"/>
                <w:lang w:eastAsia="zh-CN"/>
              </w:rPr>
            </w:pPr>
            <w:bookmarkStart w:id="284" w:name="_Toc82348262"/>
            <w:r>
              <w:rPr>
                <w:rFonts w:hint="default" w:ascii="Times New Roman" w:hAnsi="Times New Roman" w:eastAsia="宋体" w:cs="Times New Roman"/>
                <w:color w:val="auto"/>
                <w:sz w:val="21"/>
                <w:szCs w:val="21"/>
                <w:highlight w:val="none"/>
              </w:rPr>
              <w:t>导则推荐模型</w:t>
            </w:r>
            <w:bookmarkEnd w:id="284"/>
            <w:bookmarkStart w:id="285" w:name="_Toc82348267"/>
            <w:r>
              <w:rPr>
                <w:rFonts w:hint="default" w:ascii="Times New Roman" w:hAnsi="Times New Roman" w:eastAsia="宋体" w:cs="Times New Roman"/>
                <w:color w:val="auto"/>
                <w:sz w:val="21"/>
                <w:szCs w:val="21"/>
                <w:highlight w:val="none"/>
              </w:rPr>
              <w:t>☑              其他</w:t>
            </w:r>
            <w:bookmarkEnd w:id="285"/>
            <w:r>
              <w:rPr>
                <w:rFonts w:hint="eastAsia" w:cs="Times New Roman"/>
                <w:color w:val="auto"/>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3" w:hRule="atLeast"/>
        </w:trPr>
        <w:tc>
          <w:tcPr>
            <w:tcW w:w="9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5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bookmarkStart w:id="286" w:name="_Toc82348268"/>
            <w:r>
              <w:rPr>
                <w:rFonts w:hint="default" w:ascii="Times New Roman" w:hAnsi="Times New Roman" w:eastAsia="宋体" w:cs="Times New Roman"/>
                <w:color w:val="auto"/>
                <w:sz w:val="21"/>
                <w:szCs w:val="21"/>
                <w:highlight w:val="none"/>
              </w:rPr>
              <w:t>预测范围</w:t>
            </w:r>
            <w:bookmarkEnd w:id="286"/>
          </w:p>
        </w:tc>
        <w:tc>
          <w:tcPr>
            <w:tcW w:w="6112"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200m</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 xml:space="preserve">                 大于200m□              小于200</w:t>
            </w:r>
            <w:r>
              <w:rPr>
                <w:rFonts w:hint="default" w:ascii="Times New Roman" w:hAnsi="Times New Roman" w:cs="Times New Roman"/>
                <w:color w:val="auto"/>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3" w:hRule="atLeast"/>
        </w:trPr>
        <w:tc>
          <w:tcPr>
            <w:tcW w:w="9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5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bookmarkStart w:id="287" w:name="_Toc82348272"/>
            <w:r>
              <w:rPr>
                <w:rFonts w:hint="default" w:ascii="Times New Roman" w:hAnsi="Times New Roman" w:eastAsia="宋体" w:cs="Times New Roman"/>
                <w:color w:val="auto"/>
                <w:sz w:val="21"/>
                <w:szCs w:val="21"/>
                <w:highlight w:val="none"/>
              </w:rPr>
              <w:t>预测因子</w:t>
            </w:r>
            <w:bookmarkEnd w:id="287"/>
          </w:p>
        </w:tc>
        <w:tc>
          <w:tcPr>
            <w:tcW w:w="6112"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等效连续A声级☑    最大A声级□   计权等效连续感觉噪声级□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3" w:hRule="atLeast"/>
        </w:trPr>
        <w:tc>
          <w:tcPr>
            <w:tcW w:w="9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5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厂界噪声贡献值</w:t>
            </w:r>
          </w:p>
        </w:tc>
        <w:tc>
          <w:tcPr>
            <w:tcW w:w="6112"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                      不达标□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32" w:hRule="atLeast"/>
        </w:trPr>
        <w:tc>
          <w:tcPr>
            <w:tcW w:w="9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5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声环境保护目标处噪声值</w:t>
            </w:r>
          </w:p>
        </w:tc>
        <w:tc>
          <w:tcPr>
            <w:tcW w:w="6112"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                      不达标□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34" w:hRule="atLeast"/>
        </w:trPr>
        <w:tc>
          <w:tcPr>
            <w:tcW w:w="90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bookmarkStart w:id="288" w:name="_Toc82348296"/>
            <w:r>
              <w:rPr>
                <w:rFonts w:hint="default" w:ascii="Times New Roman" w:hAnsi="Times New Roman" w:eastAsia="宋体" w:cs="Times New Roman"/>
                <w:color w:val="auto"/>
                <w:sz w:val="21"/>
                <w:szCs w:val="21"/>
                <w:highlight w:val="none"/>
              </w:rPr>
              <w:t>环境监测</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计划</w:t>
            </w:r>
            <w:bookmarkEnd w:id="288"/>
          </w:p>
        </w:tc>
        <w:tc>
          <w:tcPr>
            <w:tcW w:w="15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排放监测</w:t>
            </w:r>
          </w:p>
        </w:tc>
        <w:tc>
          <w:tcPr>
            <w:tcW w:w="6112"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厂界监测☑   固定位置监测□  自动检测□  手动监测□  无监测□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32" w:hRule="atLeast"/>
        </w:trPr>
        <w:tc>
          <w:tcPr>
            <w:tcW w:w="9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5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bookmarkStart w:id="289" w:name="_Toc82348301"/>
            <w:r>
              <w:rPr>
                <w:rFonts w:hint="default" w:ascii="Times New Roman" w:hAnsi="Times New Roman" w:eastAsia="宋体" w:cs="Times New Roman"/>
                <w:color w:val="auto"/>
                <w:sz w:val="21"/>
                <w:szCs w:val="21"/>
                <w:highlight w:val="none"/>
              </w:rPr>
              <w:t>声环境保护目标处噪声监测</w:t>
            </w:r>
            <w:bookmarkEnd w:id="289"/>
          </w:p>
        </w:tc>
        <w:tc>
          <w:tcPr>
            <w:tcW w:w="2847"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bookmarkStart w:id="290" w:name="_Toc82348302"/>
            <w:r>
              <w:rPr>
                <w:rFonts w:hint="default" w:ascii="Times New Roman" w:hAnsi="Times New Roman" w:eastAsia="宋体" w:cs="Times New Roman"/>
                <w:color w:val="auto"/>
                <w:sz w:val="21"/>
                <w:szCs w:val="21"/>
                <w:highlight w:val="none"/>
              </w:rPr>
              <w:t>监测因子：</w:t>
            </w:r>
            <w:bookmarkEnd w:id="290"/>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等效连续A声级</w:t>
            </w:r>
            <w:r>
              <w:rPr>
                <w:rFonts w:hint="default" w:ascii="Times New Roman" w:hAnsi="Times New Roman" w:cs="Times New Roman"/>
                <w:color w:val="auto"/>
                <w:sz w:val="21"/>
                <w:szCs w:val="21"/>
                <w:highlight w:val="none"/>
                <w:lang w:eastAsia="zh-CN"/>
              </w:rPr>
              <w:t>）</w:t>
            </w:r>
          </w:p>
        </w:tc>
        <w:tc>
          <w:tcPr>
            <w:tcW w:w="2028"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bookmarkStart w:id="291" w:name="_Toc82348303"/>
            <w:r>
              <w:rPr>
                <w:rFonts w:hint="default" w:ascii="Times New Roman" w:hAnsi="Times New Roman" w:eastAsia="宋体" w:cs="Times New Roman"/>
                <w:color w:val="auto"/>
                <w:sz w:val="21"/>
                <w:szCs w:val="21"/>
                <w:highlight w:val="none"/>
              </w:rPr>
              <w:t>监测点位数</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 xml:space="preserve"> </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 xml:space="preserve">个 </w:t>
            </w:r>
            <w:bookmarkEnd w:id="291"/>
            <w:r>
              <w:rPr>
                <w:rFonts w:hint="default" w:ascii="Times New Roman" w:hAnsi="Times New Roman" w:cs="Times New Roman"/>
                <w:color w:val="auto"/>
                <w:sz w:val="21"/>
                <w:szCs w:val="21"/>
                <w:highlight w:val="none"/>
                <w:lang w:eastAsia="zh-CN"/>
              </w:rPr>
              <w:t>）</w:t>
            </w:r>
          </w:p>
        </w:tc>
        <w:tc>
          <w:tcPr>
            <w:tcW w:w="123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bookmarkStart w:id="292" w:name="_Toc82348304"/>
            <w:r>
              <w:rPr>
                <w:rFonts w:hint="default" w:ascii="Times New Roman" w:hAnsi="Times New Roman" w:eastAsia="宋体" w:cs="Times New Roman"/>
                <w:color w:val="auto"/>
                <w:sz w:val="21"/>
                <w:szCs w:val="21"/>
                <w:highlight w:val="none"/>
              </w:rPr>
              <w:t>无监测□</w:t>
            </w:r>
            <w:bookmarkEnd w:id="292"/>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3" w:hRule="atLeast"/>
        </w:trPr>
        <w:tc>
          <w:tcPr>
            <w:tcW w:w="9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bookmarkStart w:id="293" w:name="_Toc82348305"/>
            <w:r>
              <w:rPr>
                <w:rFonts w:hint="default" w:ascii="Times New Roman" w:hAnsi="Times New Roman" w:eastAsia="宋体" w:cs="Times New Roman"/>
                <w:color w:val="auto"/>
                <w:sz w:val="21"/>
                <w:szCs w:val="21"/>
                <w:highlight w:val="none"/>
              </w:rPr>
              <w:t>评价结论</w:t>
            </w:r>
            <w:bookmarkEnd w:id="293"/>
          </w:p>
        </w:tc>
        <w:tc>
          <w:tcPr>
            <w:tcW w:w="15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bookmarkStart w:id="294" w:name="_Toc82348306"/>
            <w:r>
              <w:rPr>
                <w:rFonts w:hint="default" w:ascii="Times New Roman" w:hAnsi="Times New Roman" w:eastAsia="宋体" w:cs="Times New Roman"/>
                <w:color w:val="auto"/>
                <w:sz w:val="21"/>
                <w:szCs w:val="21"/>
                <w:highlight w:val="none"/>
              </w:rPr>
              <w:t>环境影响</w:t>
            </w:r>
            <w:bookmarkEnd w:id="294"/>
          </w:p>
        </w:tc>
        <w:tc>
          <w:tcPr>
            <w:tcW w:w="6112"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bookmarkStart w:id="295" w:name="_Toc82348307"/>
            <w:r>
              <w:rPr>
                <w:rFonts w:hint="default" w:ascii="Times New Roman" w:hAnsi="Times New Roman" w:eastAsia="宋体" w:cs="Times New Roman"/>
                <w:color w:val="auto"/>
                <w:sz w:val="21"/>
                <w:szCs w:val="21"/>
                <w:highlight w:val="none"/>
              </w:rPr>
              <w:t>可行☑      不可行□</w:t>
            </w:r>
            <w:bookmarkEnd w:id="295"/>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39" w:hRule="atLeast"/>
        </w:trPr>
        <w:tc>
          <w:tcPr>
            <w:tcW w:w="8599" w:type="dxa"/>
            <w:gridSpan w:val="1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bookmarkStart w:id="296" w:name="_Toc82348315"/>
            <w:r>
              <w:rPr>
                <w:rFonts w:hint="default" w:ascii="Times New Roman" w:hAnsi="Times New Roman" w:eastAsia="宋体" w:cs="Times New Roman"/>
                <w:color w:val="auto"/>
                <w:sz w:val="21"/>
                <w:szCs w:val="21"/>
                <w:highlight w:val="none"/>
              </w:rPr>
              <w:t>注：“□” 为勾选项 ，填“√” ；“(   )” 为内容填写项</w:t>
            </w:r>
            <w:bookmarkEnd w:id="296"/>
            <w:r>
              <w:rPr>
                <w:rFonts w:hint="default" w:ascii="Times New Roman" w:hAnsi="Times New Roman" w:eastAsia="宋体" w:cs="Times New Roman"/>
                <w:color w:val="auto"/>
                <w:sz w:val="21"/>
                <w:szCs w:val="21"/>
                <w:highlight w:val="none"/>
              </w:rPr>
              <w:t>。</w:t>
            </w:r>
          </w:p>
        </w:tc>
      </w:tr>
    </w:tbl>
    <w:p>
      <w:pPr>
        <w:pStyle w:val="5"/>
        <w:keepNext/>
        <w:keepLines/>
        <w:pageBreakBefore w:val="0"/>
        <w:widowControl w:val="0"/>
        <w:kinsoku/>
        <w:wordWrap/>
        <w:overflowPunct/>
        <w:topLinePunct w:val="0"/>
        <w:autoSpaceDE/>
        <w:autoSpaceDN/>
        <w:bidi w:val="0"/>
        <w:adjustRightInd w:val="0"/>
        <w:snapToGrid w:val="0"/>
        <w:spacing w:before="157" w:beforeLines="50"/>
        <w:ind w:left="0" w:leftChars="0" w:right="0" w:rightChars="0" w:firstLine="0" w:firstLineChars="0"/>
        <w:textAlignment w:val="auto"/>
        <w:rPr>
          <w:rFonts w:hint="default" w:ascii="Times New Roman" w:hAnsi="Times New Roman" w:cs="Times New Roman"/>
          <w:color w:val="auto"/>
          <w:highlight w:val="none"/>
        </w:rPr>
      </w:pPr>
      <w:bookmarkStart w:id="297" w:name="_Toc23737"/>
      <w:bookmarkStart w:id="298" w:name="_Toc457381874"/>
      <w:bookmarkStart w:id="299" w:name="_Toc457381960"/>
      <w:bookmarkStart w:id="300" w:name="_Toc518897983"/>
      <w:bookmarkStart w:id="301" w:name="_Toc26888"/>
      <w:r>
        <w:rPr>
          <w:rFonts w:hint="default" w:ascii="Times New Roman" w:hAnsi="Times New Roman" w:cs="Times New Roman"/>
          <w:color w:val="auto"/>
          <w:highlight w:val="none"/>
        </w:rPr>
        <w:t>土壤环境影响分析</w:t>
      </w:r>
      <w:bookmarkEnd w:id="297"/>
      <w:r>
        <w:rPr>
          <w:rFonts w:hint="default" w:ascii="Times New Roman" w:hAnsi="Times New Roman" w:cs="Times New Roman"/>
          <w:color w:val="auto"/>
          <w:highlight w:val="none"/>
        </w:rPr>
        <w:t xml:space="preserve"> </w:t>
      </w:r>
    </w:p>
    <w:p>
      <w:pPr>
        <w:pStyle w:val="6"/>
        <w:pageBreakBefore w:val="0"/>
        <w:wordWrap/>
        <w:bidi w:val="0"/>
        <w:adjustRightInd w:val="0"/>
        <w:ind w:left="0" w:leftChars="0"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环境影响识别</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（1）项目</w:t>
      </w:r>
      <w:r>
        <w:rPr>
          <w:rFonts w:hint="default" w:ascii="Times New Roman" w:hAnsi="Times New Roman" w:eastAsia="宋体" w:cs="Times New Roman"/>
          <w:color w:val="auto"/>
          <w:highlight w:val="none"/>
        </w:rPr>
        <w:t>类型</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根据《环境影响评价技术导则</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土壤环境（试行）》（HJ964-2018）附表A.1，本项目属于“畜牧业畜禽养殖场、养殖小区年出栏</w:t>
      </w:r>
      <w:r>
        <w:rPr>
          <w:rFonts w:hint="default" w:ascii="Times New Roman" w:hAnsi="Times New Roman" w:cs="Times New Roman"/>
          <w:color w:val="auto"/>
          <w:highlight w:val="none"/>
          <w:lang w:val="en-US" w:eastAsia="zh-CN"/>
        </w:rPr>
        <w:t>生猪</w:t>
      </w:r>
      <w:r>
        <w:rPr>
          <w:rFonts w:hint="default" w:ascii="Times New Roman" w:hAnsi="Times New Roman" w:cs="Times New Roman"/>
          <w:color w:val="auto"/>
          <w:highlight w:val="none"/>
        </w:rPr>
        <w:t>5000头（其他畜禽种类折合猪的养殖规模</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及以上的畜禽养殖场或养殖小区”，</w:t>
      </w:r>
      <w:r>
        <w:rPr>
          <w:rFonts w:hint="default" w:ascii="Times New Roman" w:hAnsi="Times New Roman" w:cs="Times New Roman"/>
          <w:color w:val="auto"/>
          <w:highlight w:val="none"/>
          <w:lang w:val="en-US" w:eastAsia="zh-CN"/>
        </w:rPr>
        <w:t>本项目年</w:t>
      </w:r>
      <w:r>
        <w:rPr>
          <w:rFonts w:hint="default" w:ascii="Times New Roman" w:hAnsi="Times New Roman" w:eastAsia="宋体" w:cs="Times New Roman"/>
          <w:color w:val="auto"/>
          <w:highlight w:val="none"/>
          <w:lang w:val="en-US" w:eastAsia="zh-CN"/>
        </w:rPr>
        <w:t>出栏母牛600头，公</w:t>
      </w:r>
      <w:r>
        <w:rPr>
          <w:rFonts w:hint="eastAsia" w:cs="Times New Roman"/>
          <w:color w:val="auto"/>
          <w:highlight w:val="none"/>
          <w:lang w:val="en-US" w:eastAsia="zh-CN"/>
        </w:rPr>
        <w:t>牛犊</w:t>
      </w:r>
      <w:r>
        <w:rPr>
          <w:rFonts w:hint="default" w:ascii="Times New Roman" w:hAnsi="Times New Roman" w:eastAsia="宋体" w:cs="Times New Roman"/>
          <w:color w:val="auto"/>
          <w:highlight w:val="none"/>
          <w:lang w:val="en-US" w:eastAsia="zh-CN"/>
        </w:rPr>
        <w:t>1380头，母</w:t>
      </w:r>
      <w:r>
        <w:rPr>
          <w:rFonts w:hint="eastAsia" w:cs="Times New Roman"/>
          <w:color w:val="auto"/>
          <w:highlight w:val="none"/>
          <w:lang w:val="en-US" w:eastAsia="zh-CN"/>
        </w:rPr>
        <w:t>牛犊</w:t>
      </w:r>
      <w:r>
        <w:rPr>
          <w:rFonts w:hint="default" w:ascii="Times New Roman" w:hAnsi="Times New Roman" w:eastAsia="宋体" w:cs="Times New Roman"/>
          <w:color w:val="auto"/>
          <w:highlight w:val="none"/>
          <w:lang w:val="en-US" w:eastAsia="zh-CN"/>
        </w:rPr>
        <w:t>780头，</w:t>
      </w:r>
      <w:r>
        <w:rPr>
          <w:rFonts w:hint="default" w:ascii="Times New Roman" w:hAnsi="Times New Roman" w:cs="Times New Roman"/>
          <w:color w:val="auto"/>
          <w:highlight w:val="none"/>
          <w:lang w:val="en-US" w:eastAsia="zh-CN"/>
        </w:rPr>
        <w:t>折合年出栏生猪20700头，</w:t>
      </w:r>
      <w:r>
        <w:rPr>
          <w:rFonts w:hint="default" w:ascii="Times New Roman" w:hAnsi="Times New Roman" w:cs="Times New Roman"/>
          <w:color w:val="auto"/>
          <w:highlight w:val="none"/>
        </w:rPr>
        <w:t>为Ⅲ类项目。</w:t>
      </w:r>
    </w:p>
    <w:p>
      <w:pPr>
        <w:pageBreakBefore w:val="0"/>
        <w:wordWrap/>
        <w:bidi w:val="0"/>
        <w:adjustRightInd w:val="0"/>
        <w:ind w:left="0" w:leftChars="0" w:right="0" w:rightChars="0" w:firstLine="480"/>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（2）影响类型</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rPr>
          <w:rFonts w:hint="default" w:ascii="Times New Roman" w:hAnsi="Times New Roman" w:cs="Times New Roman"/>
          <w:color w:val="auto"/>
          <w:sz w:val="24"/>
          <w:szCs w:val="24"/>
          <w:highlight w:val="none"/>
          <w:vertAlign w:val="baseline"/>
          <w:lang w:bidi="ar-SA"/>
        </w:rPr>
      </w:pPr>
      <w:r>
        <w:rPr>
          <w:rFonts w:hint="default" w:ascii="Times New Roman" w:hAnsi="Times New Roman" w:eastAsia="宋体" w:cs="Times New Roman"/>
          <w:color w:val="auto"/>
          <w:kern w:val="0"/>
          <w:sz w:val="24"/>
          <w:szCs w:val="24"/>
          <w:highlight w:val="none"/>
          <w:lang w:val="en-US" w:eastAsia="zh-CN" w:bidi="ar"/>
        </w:rPr>
        <w:t xml:space="preserve"> 项目在不同时期对环境的影响途径</w:t>
      </w:r>
      <w:r>
        <w:rPr>
          <w:rFonts w:hint="default" w:ascii="Times New Roman" w:hAnsi="Times New Roman" w:cs="Times New Roman"/>
          <w:color w:val="auto"/>
          <w:sz w:val="24"/>
          <w:szCs w:val="24"/>
          <w:highlight w:val="none"/>
          <w:vertAlign w:val="baseline"/>
          <w:lang w:bidi="ar-SA"/>
        </w:rPr>
        <w:t>见表5.</w:t>
      </w:r>
      <w:r>
        <w:rPr>
          <w:rFonts w:hint="default" w:ascii="Times New Roman" w:hAnsi="Times New Roman" w:cs="Times New Roman"/>
          <w:color w:val="auto"/>
          <w:sz w:val="24"/>
          <w:szCs w:val="24"/>
          <w:highlight w:val="none"/>
          <w:vertAlign w:val="baseline"/>
          <w:lang w:val="en-US" w:eastAsia="zh-CN" w:bidi="ar-SA"/>
        </w:rPr>
        <w:t>2</w:t>
      </w:r>
      <w:r>
        <w:rPr>
          <w:rFonts w:hint="default" w:ascii="Times New Roman" w:hAnsi="Times New Roman" w:cs="Times New Roman"/>
          <w:color w:val="auto"/>
          <w:sz w:val="24"/>
          <w:szCs w:val="24"/>
          <w:highlight w:val="none"/>
          <w:vertAlign w:val="baseline"/>
          <w:lang w:bidi="ar-SA"/>
        </w:rPr>
        <w:t>-</w:t>
      </w:r>
      <w:r>
        <w:rPr>
          <w:rFonts w:hint="default" w:ascii="Times New Roman" w:hAnsi="Times New Roman" w:cs="Times New Roman"/>
          <w:color w:val="auto"/>
          <w:sz w:val="24"/>
          <w:szCs w:val="24"/>
          <w:highlight w:val="none"/>
          <w:vertAlign w:val="baseline"/>
          <w:lang w:val="en-US" w:eastAsia="zh-CN" w:bidi="ar-SA"/>
        </w:rPr>
        <w:t>2</w:t>
      </w:r>
      <w:r>
        <w:rPr>
          <w:rFonts w:hint="eastAsia" w:cs="Times New Roman"/>
          <w:color w:val="auto"/>
          <w:sz w:val="24"/>
          <w:szCs w:val="24"/>
          <w:highlight w:val="none"/>
          <w:vertAlign w:val="baseline"/>
          <w:lang w:val="en-US" w:eastAsia="zh-CN" w:bidi="ar-SA"/>
        </w:rPr>
        <w:t>3</w:t>
      </w:r>
      <w:r>
        <w:rPr>
          <w:rFonts w:hint="default" w:ascii="Times New Roman" w:hAnsi="Times New Roman" w:cs="Times New Roman"/>
          <w:color w:val="auto"/>
          <w:sz w:val="24"/>
          <w:szCs w:val="24"/>
          <w:highlight w:val="none"/>
          <w:vertAlign w:val="baseline"/>
          <w:lang w:bidi="ar-SA"/>
        </w:rPr>
        <w:t>。</w:t>
      </w:r>
    </w:p>
    <w:p>
      <w:pPr>
        <w:pStyle w:val="50"/>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表5.2-</w:t>
      </w:r>
      <w:r>
        <w:rPr>
          <w:rFonts w:hint="default" w:ascii="Times New Roman" w:hAnsi="Times New Roman" w:cs="Times New Roman"/>
          <w:color w:val="auto"/>
          <w:sz w:val="21"/>
          <w:szCs w:val="21"/>
          <w:highlight w:val="none"/>
          <w:lang w:val="en-US" w:eastAsia="zh-CN"/>
        </w:rPr>
        <w:t>2</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建设项目土壤环境影响类型与影响途径表</w:t>
      </w:r>
    </w:p>
    <w:tbl>
      <w:tblPr>
        <w:tblStyle w:val="39"/>
        <w:tblpPr w:leftFromText="180" w:rightFromText="180" w:vertAnchor="text" w:tblpXSpec="left" w:tblpY="1"/>
        <w:tblOverlap w:val="never"/>
        <w:tblW w:w="5002"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1167"/>
        <w:gridCol w:w="1167"/>
        <w:gridCol w:w="1167"/>
        <w:gridCol w:w="752"/>
        <w:gridCol w:w="779"/>
        <w:gridCol w:w="782"/>
        <w:gridCol w:w="781"/>
        <w:gridCol w:w="7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1418" w:type="dxa"/>
            <w:vMerge w:val="restar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不同时段</w:t>
            </w:r>
          </w:p>
        </w:tc>
        <w:tc>
          <w:tcPr>
            <w:tcW w:w="4253" w:type="dxa"/>
            <w:gridSpan w:val="4"/>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污染影响型</w:t>
            </w:r>
          </w:p>
        </w:tc>
        <w:tc>
          <w:tcPr>
            <w:tcW w:w="3128" w:type="dxa"/>
            <w:gridSpan w:val="4"/>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生态影响型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418" w:type="dxa"/>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kern w:val="0"/>
                <w:sz w:val="21"/>
                <w:szCs w:val="21"/>
                <w:highlight w:val="none"/>
                <w:lang w:val="en-US" w:eastAsia="zh-CN" w:bidi="ar-SA"/>
              </w:rPr>
            </w:pPr>
          </w:p>
        </w:tc>
        <w:tc>
          <w:tcPr>
            <w:tcW w:w="1167"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大气沉降</w:t>
            </w:r>
          </w:p>
        </w:tc>
        <w:tc>
          <w:tcPr>
            <w:tcW w:w="1167"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地面漫流</w:t>
            </w:r>
          </w:p>
        </w:tc>
        <w:tc>
          <w:tcPr>
            <w:tcW w:w="1167"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垂直入渗</w:t>
            </w:r>
          </w:p>
        </w:tc>
        <w:tc>
          <w:tcPr>
            <w:tcW w:w="752"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其他</w:t>
            </w:r>
          </w:p>
        </w:tc>
        <w:tc>
          <w:tcPr>
            <w:tcW w:w="779"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盐化</w:t>
            </w:r>
          </w:p>
        </w:tc>
        <w:tc>
          <w:tcPr>
            <w:tcW w:w="782"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碱化</w:t>
            </w:r>
          </w:p>
        </w:tc>
        <w:tc>
          <w:tcPr>
            <w:tcW w:w="781"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酸化</w:t>
            </w:r>
          </w:p>
        </w:tc>
        <w:tc>
          <w:tcPr>
            <w:tcW w:w="786"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418"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施工期</w:t>
            </w:r>
          </w:p>
        </w:tc>
        <w:tc>
          <w:tcPr>
            <w:tcW w:w="1167"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tc>
        <w:tc>
          <w:tcPr>
            <w:tcW w:w="1167"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tc>
        <w:tc>
          <w:tcPr>
            <w:tcW w:w="1167"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tc>
        <w:tc>
          <w:tcPr>
            <w:tcW w:w="752"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tc>
        <w:tc>
          <w:tcPr>
            <w:tcW w:w="779"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tc>
        <w:tc>
          <w:tcPr>
            <w:tcW w:w="782"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tc>
        <w:tc>
          <w:tcPr>
            <w:tcW w:w="781"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tc>
        <w:tc>
          <w:tcPr>
            <w:tcW w:w="786"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418"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运营期</w:t>
            </w:r>
          </w:p>
        </w:tc>
        <w:tc>
          <w:tcPr>
            <w:tcW w:w="1167"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tc>
        <w:tc>
          <w:tcPr>
            <w:tcW w:w="1167"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tc>
        <w:tc>
          <w:tcPr>
            <w:tcW w:w="1167"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tc>
        <w:tc>
          <w:tcPr>
            <w:tcW w:w="752"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tc>
        <w:tc>
          <w:tcPr>
            <w:tcW w:w="779"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tc>
        <w:tc>
          <w:tcPr>
            <w:tcW w:w="782"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tc>
        <w:tc>
          <w:tcPr>
            <w:tcW w:w="781"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tc>
        <w:tc>
          <w:tcPr>
            <w:tcW w:w="786"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418"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服务器满后</w:t>
            </w:r>
          </w:p>
        </w:tc>
        <w:tc>
          <w:tcPr>
            <w:tcW w:w="1167"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tc>
        <w:tc>
          <w:tcPr>
            <w:tcW w:w="1167"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tc>
        <w:tc>
          <w:tcPr>
            <w:tcW w:w="1167"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tc>
        <w:tc>
          <w:tcPr>
            <w:tcW w:w="752"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tc>
        <w:tc>
          <w:tcPr>
            <w:tcW w:w="779"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tc>
        <w:tc>
          <w:tcPr>
            <w:tcW w:w="782"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tc>
        <w:tc>
          <w:tcPr>
            <w:tcW w:w="781"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tc>
        <w:tc>
          <w:tcPr>
            <w:tcW w:w="786" w:type="dxa"/>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8799" w:type="dxa"/>
            <w:gridSpan w:val="9"/>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注：在可能产生的土壤环境影响类型处打“√”，列表未涵盖的可自行设计。</w:t>
            </w:r>
          </w:p>
        </w:tc>
      </w:tr>
    </w:tbl>
    <w:p>
      <w:pPr>
        <w:keepNext w:val="0"/>
        <w:keepLines w:val="0"/>
        <w:pageBreakBefore w:val="0"/>
        <w:widowControl w:val="0"/>
        <w:kinsoku/>
        <w:wordWrap/>
        <w:overflowPunct/>
        <w:topLinePunct w:val="0"/>
        <w:autoSpaceDE/>
        <w:autoSpaceDN/>
        <w:bidi w:val="0"/>
        <w:adjustRightInd w:val="0"/>
        <w:snapToGrid w:val="0"/>
        <w:spacing w:before="157" w:beforeLines="50"/>
        <w:ind w:left="0" w:leftChars="0" w:right="0" w:rightChars="0" w:firstLine="480"/>
        <w:textAlignment w:val="auto"/>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 xml:space="preserve">（3）影响源及影响因子 </w:t>
      </w:r>
    </w:p>
    <w:p>
      <w:pPr>
        <w:pageBreakBefore w:val="0"/>
        <w:wordWrap/>
        <w:bidi w:val="0"/>
        <w:adjustRightInd w:val="0"/>
        <w:ind w:left="0" w:leftChars="0" w:right="0" w:rightChars="0" w:firstLine="480"/>
        <w:rPr>
          <w:rFonts w:hint="default" w:ascii="Times New Roman" w:hAnsi="Times New Roman" w:cs="Times New Roman"/>
          <w:color w:val="auto"/>
          <w:szCs w:val="22"/>
          <w:highlight w:val="none"/>
        </w:rPr>
      </w:pPr>
      <w:r>
        <w:rPr>
          <w:rFonts w:hint="default" w:ascii="Times New Roman" w:hAnsi="Times New Roman" w:cs="Times New Roman"/>
          <w:color w:val="auto"/>
          <w:sz w:val="24"/>
          <w:szCs w:val="24"/>
          <w:highlight w:val="none"/>
          <w:vertAlign w:val="baseline"/>
          <w:lang w:bidi="ar-SA"/>
        </w:rPr>
        <w:t>运营期土壤环境影响源及影响因子识别见表5.</w:t>
      </w:r>
      <w:r>
        <w:rPr>
          <w:rFonts w:hint="default" w:ascii="Times New Roman" w:hAnsi="Times New Roman" w:cs="Times New Roman"/>
          <w:color w:val="auto"/>
          <w:sz w:val="24"/>
          <w:szCs w:val="24"/>
          <w:highlight w:val="none"/>
          <w:vertAlign w:val="baseline"/>
          <w:lang w:val="en-US" w:eastAsia="zh-CN" w:bidi="ar-SA"/>
        </w:rPr>
        <w:t>2</w:t>
      </w:r>
      <w:r>
        <w:rPr>
          <w:rFonts w:hint="default" w:ascii="Times New Roman" w:hAnsi="Times New Roman" w:cs="Times New Roman"/>
          <w:color w:val="auto"/>
          <w:sz w:val="24"/>
          <w:szCs w:val="24"/>
          <w:highlight w:val="none"/>
          <w:vertAlign w:val="baseline"/>
          <w:lang w:bidi="ar-SA"/>
        </w:rPr>
        <w:t>-</w:t>
      </w:r>
      <w:r>
        <w:rPr>
          <w:rFonts w:hint="default" w:ascii="Times New Roman" w:hAnsi="Times New Roman" w:cs="Times New Roman"/>
          <w:color w:val="auto"/>
          <w:sz w:val="24"/>
          <w:szCs w:val="24"/>
          <w:highlight w:val="none"/>
          <w:vertAlign w:val="baseline"/>
          <w:lang w:val="en-US" w:eastAsia="zh-CN" w:bidi="ar-SA"/>
        </w:rPr>
        <w:t>2</w:t>
      </w:r>
      <w:r>
        <w:rPr>
          <w:rFonts w:hint="eastAsia" w:cs="Times New Roman"/>
          <w:color w:val="auto"/>
          <w:sz w:val="24"/>
          <w:szCs w:val="24"/>
          <w:highlight w:val="none"/>
          <w:vertAlign w:val="baseline"/>
          <w:lang w:val="en-US" w:eastAsia="zh-CN" w:bidi="ar-SA"/>
        </w:rPr>
        <w:t>4</w:t>
      </w:r>
      <w:r>
        <w:rPr>
          <w:rFonts w:hint="default" w:ascii="Times New Roman" w:hAnsi="Times New Roman" w:cs="Times New Roman"/>
          <w:color w:val="auto"/>
          <w:sz w:val="24"/>
          <w:szCs w:val="24"/>
          <w:highlight w:val="none"/>
          <w:vertAlign w:val="baseline"/>
          <w:lang w:bidi="ar-SA"/>
        </w:rPr>
        <w:t>。</w:t>
      </w:r>
    </w:p>
    <w:p>
      <w:pPr>
        <w:pStyle w:val="50"/>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表5.2-</w:t>
      </w:r>
      <w:r>
        <w:rPr>
          <w:rFonts w:hint="default" w:ascii="Times New Roman" w:hAnsi="Times New Roman" w:cs="Times New Roman"/>
          <w:color w:val="auto"/>
          <w:sz w:val="21"/>
          <w:szCs w:val="21"/>
          <w:highlight w:val="none"/>
          <w:lang w:val="en-US" w:eastAsia="zh-CN"/>
        </w:rPr>
        <w:t>2</w:t>
      </w: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 xml:space="preserve"> </w:t>
      </w:r>
      <w:r>
        <w:rPr>
          <w:rFonts w:hint="default" w:ascii="Times New Roman" w:hAnsi="Times New Roman"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vertAlign w:val="baseline"/>
          <w:lang w:bidi="ar-SA"/>
        </w:rPr>
        <w:t>运营期土壤环境影响源及影响因子识别</w:t>
      </w:r>
      <w:r>
        <w:rPr>
          <w:rFonts w:hint="default" w:ascii="Times New Roman" w:hAnsi="Times New Roman" w:cs="Times New Roman"/>
          <w:color w:val="auto"/>
          <w:sz w:val="21"/>
          <w:szCs w:val="21"/>
          <w:highlight w:val="none"/>
        </w:rPr>
        <w:t>表</w:t>
      </w:r>
    </w:p>
    <w:tbl>
      <w:tblPr>
        <w:tblStyle w:val="39"/>
        <w:tblpPr w:leftFromText="180" w:rightFromText="180" w:vertAnchor="text" w:tblpY="1"/>
        <w:tblOverlap w:val="never"/>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46"/>
        <w:gridCol w:w="988"/>
        <w:gridCol w:w="1217"/>
        <w:gridCol w:w="2353"/>
        <w:gridCol w:w="1198"/>
        <w:gridCol w:w="12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993"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rPr>
              <w:t>污染源</w:t>
            </w:r>
          </w:p>
        </w:tc>
        <w:tc>
          <w:tcPr>
            <w:tcW w:w="562"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工艺流程/节点</w:t>
            </w:r>
          </w:p>
        </w:tc>
        <w:tc>
          <w:tcPr>
            <w:tcW w:w="692"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rPr>
              <w:t>污染途径</w:t>
            </w:r>
          </w:p>
        </w:tc>
        <w:tc>
          <w:tcPr>
            <w:tcW w:w="1338"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全部污染物指标</w:t>
            </w:r>
          </w:p>
        </w:tc>
        <w:tc>
          <w:tcPr>
            <w:tcW w:w="681"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rPr>
              <w:t>特征因子</w:t>
            </w:r>
          </w:p>
        </w:tc>
        <w:tc>
          <w:tcPr>
            <w:tcW w:w="732"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993"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堆粪场</w:t>
            </w:r>
          </w:p>
        </w:tc>
        <w:tc>
          <w:tcPr>
            <w:tcW w:w="562"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储存</w:t>
            </w:r>
          </w:p>
        </w:tc>
        <w:tc>
          <w:tcPr>
            <w:tcW w:w="692"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垂直入渗</w:t>
            </w:r>
          </w:p>
        </w:tc>
        <w:tc>
          <w:tcPr>
            <w:tcW w:w="1338" w:type="pct"/>
            <w:tcBorders>
              <w:tl2br w:val="nil"/>
              <w:tr2bl w:val="nil"/>
            </w:tcBorders>
            <w:noWrap w:val="0"/>
            <w:vAlign w:val="center"/>
          </w:tcPr>
          <w:p>
            <w:pPr>
              <w:pStyle w:val="55"/>
              <w:pageBreakBefore w:val="0"/>
              <w:wordWrap/>
              <w:bidi w:val="0"/>
              <w:adjustRightInd w:val="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SS、COD、NH</w:t>
            </w:r>
            <w:r>
              <w:rPr>
                <w:rFonts w:hint="default" w:ascii="Times New Roman" w:hAnsi="Times New Roman" w:eastAsia="宋体" w:cs="Times New Roman"/>
                <w:color w:val="auto"/>
                <w:kern w:val="0"/>
                <w:sz w:val="21"/>
                <w:szCs w:val="21"/>
                <w:highlight w:val="none"/>
                <w:vertAlign w:val="subscript"/>
                <w:lang w:val="en-US" w:eastAsia="zh-CN" w:bidi="ar-SA"/>
              </w:rPr>
              <w:t>3</w:t>
            </w:r>
            <w:r>
              <w:rPr>
                <w:rFonts w:hint="default" w:ascii="Times New Roman" w:hAnsi="Times New Roman" w:eastAsia="宋体" w:cs="Times New Roman"/>
                <w:color w:val="auto"/>
                <w:kern w:val="0"/>
                <w:sz w:val="21"/>
                <w:szCs w:val="21"/>
                <w:highlight w:val="none"/>
                <w:lang w:val="en-US" w:eastAsia="zh-CN" w:bidi="ar-SA"/>
              </w:rPr>
              <w:t>-N、BOD</w:t>
            </w:r>
            <w:r>
              <w:rPr>
                <w:rFonts w:hint="default" w:ascii="Times New Roman" w:hAnsi="Times New Roman" w:eastAsia="宋体" w:cs="Times New Roman"/>
                <w:color w:val="auto"/>
                <w:kern w:val="0"/>
                <w:sz w:val="21"/>
                <w:szCs w:val="21"/>
                <w:highlight w:val="none"/>
                <w:vertAlign w:val="subscript"/>
                <w:lang w:val="en-US" w:eastAsia="zh-CN" w:bidi="ar-SA"/>
              </w:rPr>
              <w:t>5</w:t>
            </w:r>
          </w:p>
        </w:tc>
        <w:tc>
          <w:tcPr>
            <w:tcW w:w="681" w:type="pct"/>
            <w:tcBorders>
              <w:tl2br w:val="nil"/>
              <w:tr2bl w:val="nil"/>
            </w:tcBorders>
            <w:noWrap w:val="0"/>
            <w:vAlign w:val="center"/>
          </w:tcPr>
          <w:p>
            <w:pPr>
              <w:pStyle w:val="55"/>
              <w:pageBreakBefore w:val="0"/>
              <w:wordWrap/>
              <w:bidi w:val="0"/>
              <w:adjustRightInd w:val="0"/>
              <w:ind w:left="0" w:leftChars="0" w:right="0" w:rightChars="0" w:firstLine="0" w:firstLineChars="0"/>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SA"/>
              </w:rPr>
              <w:t>/</w:t>
            </w:r>
          </w:p>
        </w:tc>
        <w:tc>
          <w:tcPr>
            <w:tcW w:w="732"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非正常工况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993"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圈舍</w:t>
            </w:r>
          </w:p>
        </w:tc>
        <w:tc>
          <w:tcPr>
            <w:tcW w:w="562"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养殖</w:t>
            </w:r>
          </w:p>
        </w:tc>
        <w:tc>
          <w:tcPr>
            <w:tcW w:w="692"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垂直入渗</w:t>
            </w:r>
          </w:p>
        </w:tc>
        <w:tc>
          <w:tcPr>
            <w:tcW w:w="1338" w:type="pct"/>
            <w:tcBorders>
              <w:tl2br w:val="nil"/>
              <w:tr2bl w:val="nil"/>
            </w:tcBorders>
            <w:noWrap w:val="0"/>
            <w:vAlign w:val="center"/>
          </w:tcPr>
          <w:p>
            <w:pPr>
              <w:pStyle w:val="55"/>
              <w:pageBreakBefore w:val="0"/>
              <w:wordWrap/>
              <w:bidi w:val="0"/>
              <w:adjustRightInd w:val="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SS、COD、NH</w:t>
            </w:r>
            <w:r>
              <w:rPr>
                <w:rFonts w:hint="default" w:ascii="Times New Roman" w:hAnsi="Times New Roman" w:eastAsia="宋体" w:cs="Times New Roman"/>
                <w:color w:val="auto"/>
                <w:kern w:val="0"/>
                <w:sz w:val="21"/>
                <w:szCs w:val="21"/>
                <w:highlight w:val="none"/>
                <w:vertAlign w:val="subscript"/>
                <w:lang w:val="en-US" w:eastAsia="zh-CN" w:bidi="ar-SA"/>
              </w:rPr>
              <w:t>3</w:t>
            </w:r>
            <w:r>
              <w:rPr>
                <w:rFonts w:hint="default" w:ascii="Times New Roman" w:hAnsi="Times New Roman" w:eastAsia="宋体" w:cs="Times New Roman"/>
                <w:color w:val="auto"/>
                <w:kern w:val="0"/>
                <w:sz w:val="21"/>
                <w:szCs w:val="21"/>
                <w:highlight w:val="none"/>
                <w:lang w:val="en-US" w:eastAsia="zh-CN" w:bidi="ar-SA"/>
              </w:rPr>
              <w:t>-N、BOD</w:t>
            </w:r>
            <w:r>
              <w:rPr>
                <w:rFonts w:hint="default" w:ascii="Times New Roman" w:hAnsi="Times New Roman" w:eastAsia="宋体" w:cs="Times New Roman"/>
                <w:color w:val="auto"/>
                <w:kern w:val="0"/>
                <w:sz w:val="21"/>
                <w:szCs w:val="21"/>
                <w:highlight w:val="none"/>
                <w:vertAlign w:val="subscript"/>
                <w:lang w:val="en-US" w:eastAsia="zh-CN" w:bidi="ar-SA"/>
              </w:rPr>
              <w:t>5</w:t>
            </w:r>
          </w:p>
        </w:tc>
        <w:tc>
          <w:tcPr>
            <w:tcW w:w="681" w:type="pct"/>
            <w:tcBorders>
              <w:tl2br w:val="nil"/>
              <w:tr2bl w:val="nil"/>
            </w:tcBorders>
            <w:noWrap w:val="0"/>
            <w:vAlign w:val="center"/>
          </w:tcPr>
          <w:p>
            <w:pPr>
              <w:pStyle w:val="55"/>
              <w:pageBreakBefore w:val="0"/>
              <w:wordWrap/>
              <w:bidi w:val="0"/>
              <w:adjustRightInd w:val="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tc>
        <w:tc>
          <w:tcPr>
            <w:tcW w:w="732"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非正常工况</w:t>
            </w:r>
          </w:p>
        </w:tc>
      </w:tr>
    </w:tbl>
    <w:p>
      <w:pPr>
        <w:pStyle w:val="6"/>
        <w:pageBreakBefore w:val="0"/>
        <w:wordWrap/>
        <w:bidi w:val="0"/>
        <w:adjustRightInd w:val="0"/>
        <w:ind w:left="0" w:leftChars="0"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现状调查与评价</w:t>
      </w:r>
    </w:p>
    <w:p>
      <w:pPr>
        <w:pageBreakBefore w:val="0"/>
        <w:wordWrap/>
        <w:autoSpaceDE w:val="0"/>
        <w:autoSpaceDN w:val="0"/>
        <w:bidi w:val="0"/>
        <w:adjustRightInd w:val="0"/>
        <w:ind w:left="0" w:leftChars="0" w:right="0" w:rightChars="0" w:firstLine="480"/>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（1）调查范围</w:t>
      </w:r>
    </w:p>
    <w:p>
      <w:pPr>
        <w:pageBreakBefore w:val="0"/>
        <w:wordWrap/>
        <w:autoSpaceDE w:val="0"/>
        <w:autoSpaceDN w:val="0"/>
        <w:bidi w:val="0"/>
        <w:adjustRightInd w:val="0"/>
        <w:ind w:left="0" w:leftChars="0" w:right="0" w:rightChars="0" w:firstLine="480"/>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根据《环境影响评价技术导则</w:t>
      </w:r>
      <w:r>
        <w:rPr>
          <w:rFonts w:hint="default" w:ascii="Times New Roman" w:hAnsi="Times New Roman" w:cs="Times New Roman"/>
          <w:color w:val="auto"/>
          <w:szCs w:val="22"/>
          <w:highlight w:val="none"/>
          <w:lang w:val="en-US" w:eastAsia="zh-CN"/>
        </w:rPr>
        <w:t xml:space="preserve"> </w:t>
      </w:r>
      <w:r>
        <w:rPr>
          <w:rFonts w:hint="default" w:ascii="Times New Roman" w:hAnsi="Times New Roman" w:cs="Times New Roman"/>
          <w:color w:val="auto"/>
          <w:szCs w:val="22"/>
          <w:highlight w:val="none"/>
        </w:rPr>
        <w:t>土壤环境（试行）》（HJ964-2018），结合拟建工程，土壤现状调查范围为</w:t>
      </w:r>
      <w:r>
        <w:rPr>
          <w:rFonts w:hint="default" w:ascii="Times New Roman" w:hAnsi="Times New Roman" w:eastAsia="宋体" w:cs="Times New Roman"/>
          <w:color w:val="auto"/>
          <w:szCs w:val="22"/>
          <w:highlight w:val="none"/>
          <w:lang w:val="en-US" w:eastAsia="zh-CN"/>
        </w:rPr>
        <w:t>场界</w:t>
      </w:r>
      <w:r>
        <w:rPr>
          <w:rFonts w:hint="default" w:ascii="Times New Roman" w:hAnsi="Times New Roman" w:eastAsia="宋体" w:cs="Times New Roman"/>
          <w:color w:val="auto"/>
          <w:szCs w:val="22"/>
          <w:highlight w:val="none"/>
        </w:rPr>
        <w:t>外</w:t>
      </w:r>
      <w:r>
        <w:rPr>
          <w:rFonts w:hint="default" w:ascii="Times New Roman" w:hAnsi="Times New Roman" w:cs="Times New Roman"/>
          <w:color w:val="auto"/>
          <w:szCs w:val="22"/>
          <w:highlight w:val="none"/>
        </w:rPr>
        <w:t>延0.05km范围。</w:t>
      </w:r>
    </w:p>
    <w:p>
      <w:pPr>
        <w:pageBreakBefore w:val="0"/>
        <w:wordWrap/>
        <w:autoSpaceDE w:val="0"/>
        <w:autoSpaceDN w:val="0"/>
        <w:bidi w:val="0"/>
        <w:adjustRightInd w:val="0"/>
        <w:ind w:left="0" w:leftChars="0" w:right="0" w:rightChars="0" w:firstLine="480"/>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（2）敏感目标</w:t>
      </w:r>
    </w:p>
    <w:p>
      <w:pPr>
        <w:pageBreakBefore w:val="0"/>
        <w:wordWrap/>
        <w:autoSpaceDE w:val="0"/>
        <w:autoSpaceDN w:val="0"/>
        <w:bidi w:val="0"/>
        <w:adjustRightInd w:val="0"/>
        <w:ind w:left="0" w:leftChars="0" w:right="0" w:rightChars="0" w:firstLine="480"/>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根据导则，项目土壤保护目标主要为项目区</w:t>
      </w:r>
      <w:r>
        <w:rPr>
          <w:rFonts w:hint="default" w:ascii="Times New Roman" w:hAnsi="Times New Roman" w:cs="Times New Roman"/>
          <w:color w:val="auto"/>
          <w:szCs w:val="22"/>
          <w:highlight w:val="none"/>
          <w:lang w:val="en-US" w:eastAsia="zh-CN"/>
        </w:rPr>
        <w:t>及</w:t>
      </w:r>
      <w:r>
        <w:rPr>
          <w:rFonts w:hint="default" w:ascii="Times New Roman" w:hAnsi="Times New Roman" w:cs="Times New Roman"/>
          <w:color w:val="auto"/>
          <w:szCs w:val="22"/>
          <w:highlight w:val="none"/>
        </w:rPr>
        <w:t>四周的</w:t>
      </w:r>
      <w:r>
        <w:rPr>
          <w:rFonts w:hint="default" w:ascii="Times New Roman" w:hAnsi="Times New Roman" w:cs="Times New Roman"/>
          <w:color w:val="auto"/>
          <w:szCs w:val="22"/>
          <w:highlight w:val="none"/>
          <w:lang w:val="en-US" w:eastAsia="zh-CN"/>
        </w:rPr>
        <w:t>草地</w:t>
      </w:r>
      <w:r>
        <w:rPr>
          <w:rFonts w:hint="default" w:ascii="Times New Roman" w:hAnsi="Times New Roman" w:cs="Times New Roman"/>
          <w:color w:val="auto"/>
          <w:szCs w:val="22"/>
          <w:highlight w:val="none"/>
        </w:rPr>
        <w:t>。</w:t>
      </w:r>
    </w:p>
    <w:p>
      <w:pPr>
        <w:pageBreakBefore w:val="0"/>
        <w:wordWrap/>
        <w:autoSpaceDE w:val="0"/>
        <w:autoSpaceDN w:val="0"/>
        <w:bidi w:val="0"/>
        <w:adjustRightInd w:val="0"/>
        <w:ind w:left="0" w:leftChars="0" w:right="0" w:rightChars="0" w:firstLine="480"/>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（3）土地利用类型调查</w:t>
      </w:r>
    </w:p>
    <w:p>
      <w:pPr>
        <w:pageBreakBefore w:val="0"/>
        <w:wordWrap/>
        <w:autoSpaceDE w:val="0"/>
        <w:autoSpaceDN w:val="0"/>
        <w:bidi w:val="0"/>
        <w:adjustRightInd w:val="0"/>
        <w:ind w:left="0" w:leftChars="0" w:right="0" w:rightChars="0" w:firstLine="480"/>
        <w:rPr>
          <w:rFonts w:hint="default" w:ascii="Times New Roman" w:hAnsi="Times New Roman" w:cs="Times New Roman"/>
          <w:color w:val="auto"/>
          <w:szCs w:val="22"/>
          <w:highlight w:val="yellow"/>
        </w:rPr>
      </w:pPr>
      <w:r>
        <w:rPr>
          <w:rFonts w:hint="default" w:ascii="Times New Roman" w:hAnsi="Times New Roman" w:cs="Times New Roman"/>
          <w:color w:val="auto"/>
          <w:szCs w:val="22"/>
          <w:highlight w:val="none"/>
        </w:rPr>
        <w:t>根据现场调查结果，项目占地区域目前为</w:t>
      </w:r>
      <w:r>
        <w:rPr>
          <w:rFonts w:hint="default" w:ascii="Times New Roman" w:hAnsi="Times New Roman" w:eastAsia="宋体" w:cs="Times New Roman"/>
          <w:color w:val="auto"/>
          <w:highlight w:val="none"/>
          <w:lang w:val="en-US" w:eastAsia="zh-CN"/>
        </w:rPr>
        <w:t>土地利用类型</w:t>
      </w:r>
      <w:r>
        <w:rPr>
          <w:rFonts w:hint="default" w:ascii="Times New Roman" w:hAnsi="Times New Roman" w:eastAsia="宋体" w:cs="Times New Roman"/>
          <w:color w:val="auto"/>
          <w:highlight w:val="none"/>
        </w:rPr>
        <w:t>为</w:t>
      </w:r>
      <w:r>
        <w:rPr>
          <w:rFonts w:hint="default" w:ascii="Times New Roman" w:hAnsi="Times New Roman" w:cs="Times New Roman"/>
          <w:color w:val="auto"/>
          <w:highlight w:val="none"/>
          <w:lang w:eastAsia="zh-CN"/>
        </w:rPr>
        <w:t>草地和裸地</w:t>
      </w:r>
      <w:r>
        <w:rPr>
          <w:rFonts w:hint="default" w:ascii="Times New Roman" w:hAnsi="Times New Roman" w:cs="Times New Roman"/>
          <w:color w:val="auto"/>
          <w:szCs w:val="22"/>
          <w:highlight w:val="none"/>
        </w:rPr>
        <w:t>。</w:t>
      </w:r>
    </w:p>
    <w:p>
      <w:pPr>
        <w:pStyle w:val="6"/>
        <w:pageBreakBefore w:val="0"/>
        <w:wordWrap/>
        <w:bidi w:val="0"/>
        <w:adjustRightInd w:val="0"/>
        <w:ind w:left="0" w:leftChars="0"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土壤</w:t>
      </w:r>
      <w:r>
        <w:rPr>
          <w:rFonts w:hint="default" w:ascii="Times New Roman" w:hAnsi="Times New Roman" w:cs="Times New Roman"/>
          <w:color w:val="auto"/>
          <w:highlight w:val="none"/>
        </w:rPr>
        <w:t>环境影响</w:t>
      </w:r>
      <w:r>
        <w:rPr>
          <w:rFonts w:hint="default" w:ascii="Times New Roman" w:hAnsi="Times New Roman" w:cs="Times New Roman"/>
          <w:color w:val="auto"/>
          <w:highlight w:val="none"/>
          <w:lang w:val="en-US" w:eastAsia="zh-CN"/>
        </w:rPr>
        <w:t>分析</w:t>
      </w:r>
    </w:p>
    <w:p>
      <w:pPr>
        <w:pageBreakBefore w:val="0"/>
        <w:wordWrap/>
        <w:autoSpaceDE w:val="0"/>
        <w:autoSpaceDN w:val="0"/>
        <w:bidi w:val="0"/>
        <w:adjustRightInd w:val="0"/>
        <w:ind w:left="0" w:leftChars="0" w:right="0" w:rightChars="0" w:firstLine="480"/>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1）正常状况</w:t>
      </w:r>
    </w:p>
    <w:p>
      <w:pPr>
        <w:pageBreakBefore w:val="0"/>
        <w:wordWrap/>
        <w:autoSpaceDE w:val="0"/>
        <w:autoSpaceDN w:val="0"/>
        <w:bidi w:val="0"/>
        <w:adjustRightInd w:val="0"/>
        <w:ind w:left="0" w:leftChars="0" w:right="0" w:rightChars="0" w:firstLine="480"/>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正常情况下，本项目</w:t>
      </w:r>
      <w:r>
        <w:rPr>
          <w:rFonts w:hint="default" w:ascii="Times New Roman" w:hAnsi="Times New Roman" w:cs="Times New Roman"/>
          <w:color w:val="auto"/>
          <w:szCs w:val="22"/>
          <w:highlight w:val="none"/>
          <w:lang w:val="en-US" w:eastAsia="zh-CN"/>
        </w:rPr>
        <w:t>医疗废物暂存间</w:t>
      </w:r>
      <w:r>
        <w:rPr>
          <w:rFonts w:hint="default" w:ascii="Times New Roman" w:hAnsi="Times New Roman" w:cs="Times New Roman"/>
          <w:color w:val="auto"/>
          <w:szCs w:val="22"/>
          <w:highlight w:val="none"/>
        </w:rPr>
        <w:t>满足“四防”（防风、防雨、防晒、</w:t>
      </w:r>
      <w:r>
        <w:rPr>
          <w:rFonts w:hint="default" w:ascii="Times New Roman" w:hAnsi="Times New Roman" w:eastAsia="宋体" w:cs="Times New Roman"/>
          <w:color w:val="auto"/>
          <w:sz w:val="24"/>
          <w:szCs w:val="24"/>
          <w:highlight w:val="none"/>
          <w:lang w:val="en-US" w:eastAsia="zh-CN"/>
        </w:rPr>
        <w:t>防止危险废物流失、扬散</w:t>
      </w:r>
      <w:r>
        <w:rPr>
          <w:rFonts w:hint="default" w:ascii="Times New Roman" w:hAnsi="Times New Roman" w:cs="Times New Roman"/>
          <w:color w:val="auto"/>
          <w:szCs w:val="22"/>
          <w:highlight w:val="none"/>
        </w:rPr>
        <w:t>）要求，</w:t>
      </w:r>
      <w:r>
        <w:rPr>
          <w:rFonts w:hint="default" w:ascii="Times New Roman" w:hAnsi="Times New Roman" w:cs="Times New Roman"/>
          <w:color w:val="auto"/>
          <w:szCs w:val="22"/>
          <w:highlight w:val="none"/>
          <w:lang w:val="en-US" w:eastAsia="zh-CN"/>
        </w:rPr>
        <w:t>医疗废物</w:t>
      </w:r>
      <w:r>
        <w:rPr>
          <w:rFonts w:hint="default" w:ascii="Times New Roman" w:hAnsi="Times New Roman" w:eastAsia="宋体" w:cs="Times New Roman"/>
          <w:color w:val="auto"/>
          <w:sz w:val="24"/>
          <w:szCs w:val="24"/>
          <w:highlight w:val="none"/>
          <w:lang w:val="en-US" w:eastAsia="zh-CN"/>
        </w:rPr>
        <w:t>应置于容器或包装物中等</w:t>
      </w:r>
      <w:r>
        <w:rPr>
          <w:rFonts w:hint="default" w:ascii="Times New Roman" w:hAnsi="Times New Roman" w:cs="Times New Roman"/>
          <w:color w:val="auto"/>
          <w:szCs w:val="22"/>
          <w:highlight w:val="none"/>
        </w:rPr>
        <w:t>措施，满足</w:t>
      </w:r>
      <w:r>
        <w:rPr>
          <w:rFonts w:hint="default" w:ascii="Times New Roman" w:hAnsi="Times New Roman" w:cs="Times New Roman"/>
          <w:color w:val="auto"/>
          <w:szCs w:val="22"/>
          <w:highlight w:val="none"/>
          <w:lang w:eastAsia="zh-CN"/>
        </w:rPr>
        <w:t>《危险废物贮存污染控制标准》（GB18597-2023）</w:t>
      </w:r>
      <w:r>
        <w:rPr>
          <w:rFonts w:hint="default" w:ascii="Times New Roman" w:hAnsi="Times New Roman" w:cs="Times New Roman"/>
          <w:color w:val="auto"/>
          <w:szCs w:val="22"/>
          <w:highlight w:val="none"/>
        </w:rPr>
        <w:t>的要求。正常状况很难对包气带土壤及地下水环境产生明显影响。</w:t>
      </w:r>
    </w:p>
    <w:p>
      <w:pPr>
        <w:pageBreakBefore w:val="0"/>
        <w:wordWrap/>
        <w:autoSpaceDE w:val="0"/>
        <w:autoSpaceDN w:val="0"/>
        <w:bidi w:val="0"/>
        <w:adjustRightInd w:val="0"/>
        <w:ind w:left="0" w:leftChars="0" w:right="0" w:rightChars="0" w:firstLine="480"/>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圈舍、</w:t>
      </w:r>
      <w:r>
        <w:rPr>
          <w:rFonts w:hint="default" w:ascii="Times New Roman" w:hAnsi="Times New Roman" w:cs="Times New Roman"/>
          <w:color w:val="auto"/>
          <w:szCs w:val="22"/>
          <w:highlight w:val="none"/>
          <w:lang w:eastAsia="zh-CN"/>
        </w:rPr>
        <w:t>堆粪场、</w:t>
      </w:r>
      <w:r>
        <w:rPr>
          <w:rFonts w:hint="default" w:ascii="Times New Roman" w:hAnsi="Times New Roman" w:cs="Times New Roman"/>
          <w:color w:val="auto"/>
          <w:szCs w:val="22"/>
          <w:highlight w:val="none"/>
          <w:lang w:val="en-US" w:eastAsia="zh-CN"/>
        </w:rPr>
        <w:t>医疗废物暂存间</w:t>
      </w:r>
      <w:r>
        <w:rPr>
          <w:rFonts w:hint="default" w:ascii="Times New Roman" w:hAnsi="Times New Roman" w:cs="Times New Roman"/>
          <w:color w:val="auto"/>
          <w:szCs w:val="22"/>
          <w:highlight w:val="none"/>
        </w:rPr>
        <w:t>满足</w:t>
      </w:r>
      <w:r>
        <w:rPr>
          <w:rFonts w:hint="default" w:ascii="Times New Roman" w:hAnsi="Times New Roman" w:cs="Times New Roman"/>
          <w:color w:val="auto"/>
          <w:szCs w:val="22"/>
          <w:highlight w:val="none"/>
          <w:lang w:val="en-US" w:eastAsia="zh-CN"/>
        </w:rPr>
        <w:t>分区防渗</w:t>
      </w:r>
      <w:r>
        <w:rPr>
          <w:rFonts w:hint="default" w:ascii="Times New Roman" w:hAnsi="Times New Roman" w:cs="Times New Roman"/>
          <w:color w:val="auto"/>
          <w:szCs w:val="22"/>
          <w:highlight w:val="none"/>
        </w:rPr>
        <w:t>要求，建设项目的主要地下水污染源能得到有效防护。正常情况下不会发生泄漏至土壤和地下水的情景发生。本项目粪污采用干清粪，通过</w:t>
      </w:r>
      <w:r>
        <w:rPr>
          <w:rFonts w:hint="default" w:ascii="Times New Roman" w:hAnsi="Times New Roman" w:cs="Times New Roman"/>
          <w:color w:val="auto"/>
          <w:szCs w:val="22"/>
          <w:highlight w:val="none"/>
          <w:lang w:eastAsia="zh-CN"/>
        </w:rPr>
        <w:t>堆粪场</w:t>
      </w:r>
      <w:r>
        <w:rPr>
          <w:rFonts w:hint="default" w:ascii="Times New Roman" w:hAnsi="Times New Roman" w:cs="Times New Roman"/>
          <w:color w:val="auto"/>
          <w:szCs w:val="22"/>
          <w:highlight w:val="none"/>
        </w:rPr>
        <w:t>将</w:t>
      </w:r>
      <w:r>
        <w:rPr>
          <w:rFonts w:hint="default" w:ascii="Times New Roman" w:hAnsi="Times New Roman" w:cs="Times New Roman"/>
          <w:color w:val="auto"/>
          <w:szCs w:val="22"/>
          <w:highlight w:val="none"/>
          <w:lang w:val="en-US" w:eastAsia="zh-CN"/>
        </w:rPr>
        <w:t>粪污进行堆肥</w:t>
      </w:r>
      <w:r>
        <w:rPr>
          <w:rFonts w:hint="default" w:ascii="Times New Roman" w:hAnsi="Times New Roman" w:cs="Times New Roman"/>
          <w:color w:val="auto"/>
          <w:szCs w:val="22"/>
          <w:highlight w:val="none"/>
        </w:rPr>
        <w:t>，</w:t>
      </w:r>
      <w:r>
        <w:rPr>
          <w:rFonts w:hint="default" w:ascii="Times New Roman" w:hAnsi="Times New Roman" w:eastAsia="宋体" w:cs="Times New Roman"/>
          <w:color w:val="auto"/>
          <w:kern w:val="0"/>
          <w:sz w:val="24"/>
          <w:szCs w:val="24"/>
          <w:highlight w:val="none"/>
          <w:lang w:val="en-US" w:eastAsia="zh-CN" w:bidi="ar"/>
        </w:rPr>
        <w:t>发酵成熟后作为有机肥还田。</w:t>
      </w:r>
      <w:r>
        <w:rPr>
          <w:rFonts w:hint="default" w:ascii="Times New Roman" w:hAnsi="Times New Roman" w:cs="Times New Roman"/>
          <w:color w:val="auto"/>
          <w:szCs w:val="22"/>
          <w:highlight w:val="none"/>
        </w:rPr>
        <w:t>本项目粪污对土壤的影响较小。</w:t>
      </w:r>
    </w:p>
    <w:p>
      <w:pPr>
        <w:pageBreakBefore w:val="0"/>
        <w:wordWrap/>
        <w:autoSpaceDE w:val="0"/>
        <w:autoSpaceDN w:val="0"/>
        <w:bidi w:val="0"/>
        <w:adjustRightInd w:val="0"/>
        <w:ind w:left="0" w:leftChars="0" w:right="0" w:rightChars="0" w:firstLine="48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cs="Times New Roman"/>
          <w:color w:val="auto"/>
          <w:highlight w:val="none"/>
        </w:rPr>
        <w:t>2）</w:t>
      </w:r>
      <w:r>
        <w:rPr>
          <w:rFonts w:hint="default" w:ascii="Times New Roman" w:hAnsi="Times New Roman" w:eastAsia="宋体" w:cs="Times New Roman"/>
          <w:color w:val="auto"/>
          <w:kern w:val="0"/>
          <w:sz w:val="24"/>
          <w:szCs w:val="24"/>
          <w:highlight w:val="none"/>
          <w:lang w:val="en-US" w:eastAsia="zh-CN" w:bidi="ar"/>
        </w:rPr>
        <w:t>在非正常状况下，当项目</w:t>
      </w:r>
      <w:r>
        <w:rPr>
          <w:rFonts w:hint="default" w:ascii="Times New Roman" w:hAnsi="Times New Roman" w:cs="Times New Roman"/>
          <w:color w:val="auto"/>
          <w:szCs w:val="22"/>
          <w:highlight w:val="none"/>
        </w:rPr>
        <w:t>圈舍、</w:t>
      </w:r>
      <w:r>
        <w:rPr>
          <w:rFonts w:hint="default" w:ascii="Times New Roman" w:hAnsi="Times New Roman" w:cs="Times New Roman"/>
          <w:color w:val="auto"/>
          <w:szCs w:val="22"/>
          <w:highlight w:val="none"/>
          <w:lang w:eastAsia="zh-CN"/>
        </w:rPr>
        <w:t>堆粪场</w:t>
      </w:r>
      <w:r>
        <w:rPr>
          <w:rFonts w:hint="default" w:ascii="Times New Roman" w:hAnsi="Times New Roman" w:eastAsia="宋体" w:cs="Times New Roman"/>
          <w:color w:val="auto"/>
          <w:kern w:val="0"/>
          <w:sz w:val="24"/>
          <w:szCs w:val="24"/>
          <w:highlight w:val="none"/>
          <w:lang w:val="en-US" w:eastAsia="zh-CN" w:bidi="ar"/>
        </w:rPr>
        <w:t>防渗层防渗腐蚀、老化或其他原因从而使防渗层功能降低</w:t>
      </w:r>
      <w:r>
        <w:rPr>
          <w:rFonts w:hint="default" w:ascii="Times New Roman" w:hAnsi="Times New Roman" w:eastAsia="宋体" w:cs="Times New Roman"/>
          <w:color w:val="auto"/>
          <w:spacing w:val="-6"/>
          <w:kern w:val="0"/>
          <w:sz w:val="24"/>
          <w:szCs w:val="24"/>
          <w:highlight w:val="none"/>
          <w:lang w:val="en-US" w:eastAsia="zh-CN" w:bidi="ar"/>
        </w:rPr>
        <w:t>，污染物渗漏直接进入含水层中，从而污染潜水含水层的情况。</w:t>
      </w:r>
    </w:p>
    <w:p>
      <w:pPr>
        <w:pageBreakBefore w:val="0"/>
        <w:wordWrap/>
        <w:autoSpaceDE w:val="0"/>
        <w:autoSpaceDN w:val="0"/>
        <w:bidi w:val="0"/>
        <w:adjustRightInd w:val="0"/>
        <w:ind w:left="0" w:leftChars="0" w:right="0" w:rightChars="0" w:firstLine="48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本项目不涉及土壤污染重点污染物（镉、汞、砷、铅、铬、铜、镍、锌），主要污染物为COD、BOD</w:t>
      </w:r>
      <w:r>
        <w:rPr>
          <w:rFonts w:hint="default" w:ascii="Times New Roman" w:hAnsi="Times New Roman" w:eastAsia="宋体" w:cs="Times New Roman"/>
          <w:color w:val="auto"/>
          <w:kern w:val="0"/>
          <w:sz w:val="24"/>
          <w:szCs w:val="24"/>
          <w:highlight w:val="none"/>
          <w:vertAlign w:val="subscript"/>
          <w:lang w:val="en-US" w:eastAsia="zh-CN" w:bidi="ar"/>
        </w:rPr>
        <w:t>5</w:t>
      </w:r>
      <w:r>
        <w:rPr>
          <w:rFonts w:hint="default" w:ascii="Times New Roman" w:hAnsi="Times New Roman" w:eastAsia="宋体" w:cs="Times New Roman"/>
          <w:color w:val="auto"/>
          <w:kern w:val="0"/>
          <w:sz w:val="24"/>
          <w:szCs w:val="24"/>
          <w:highlight w:val="none"/>
          <w:lang w:val="en-US" w:eastAsia="zh-CN" w:bidi="ar"/>
        </w:rPr>
        <w:t>、氨氮等常规污染物，不涉及持久性土壤污染物，易吸附降解。不会对土壤质量产生明显恶化影响，环境影响很小。</w:t>
      </w:r>
    </w:p>
    <w:p>
      <w:pPr>
        <w:pStyle w:val="50"/>
        <w:pageBreakBefore w:val="0"/>
        <w:wordWrap/>
        <w:bidi w:val="0"/>
        <w:adjustRightInd w:val="0"/>
        <w:ind w:left="0" w:leftChars="0" w:right="0" w:rightChars="0"/>
        <w:rPr>
          <w:rFonts w:hint="default" w:ascii="Times New Roman" w:hAnsi="Times New Roman" w:eastAsia="宋体" w:cs="Times New Roman"/>
          <w:color w:val="auto"/>
          <w:sz w:val="21"/>
          <w:szCs w:val="21"/>
          <w:highlight w:val="none"/>
          <w:vertAlign w:val="baseline"/>
          <w:lang w:bidi="ar-SA"/>
        </w:rPr>
      </w:pPr>
      <w:r>
        <w:rPr>
          <w:rFonts w:hint="default" w:ascii="Times New Roman" w:hAnsi="Times New Roman" w:eastAsia="宋体" w:cs="Times New Roman"/>
          <w:color w:val="auto"/>
          <w:sz w:val="21"/>
          <w:szCs w:val="21"/>
          <w:highlight w:val="none"/>
          <w:vertAlign w:val="baseline"/>
          <w:lang w:bidi="ar-SA"/>
        </w:rPr>
        <w:t>表 5.2-</w:t>
      </w:r>
      <w:r>
        <w:rPr>
          <w:rFonts w:hint="default" w:ascii="Times New Roman" w:hAnsi="Times New Roman" w:cs="Times New Roman"/>
          <w:color w:val="auto"/>
          <w:sz w:val="21"/>
          <w:szCs w:val="21"/>
          <w:highlight w:val="none"/>
          <w:vertAlign w:val="baseline"/>
          <w:lang w:val="en-US" w:eastAsia="zh-CN" w:bidi="ar-SA"/>
        </w:rPr>
        <w:t>2</w:t>
      </w:r>
      <w:r>
        <w:rPr>
          <w:rFonts w:hint="eastAsia" w:ascii="Times New Roman" w:hAnsi="Times New Roman" w:cs="Times New Roman"/>
          <w:color w:val="auto"/>
          <w:sz w:val="21"/>
          <w:szCs w:val="21"/>
          <w:highlight w:val="none"/>
          <w:vertAlign w:val="baseline"/>
          <w:lang w:val="en-US" w:eastAsia="zh-CN" w:bidi="ar-SA"/>
        </w:rPr>
        <w:t>5</w:t>
      </w:r>
      <w:r>
        <w:rPr>
          <w:rFonts w:hint="default" w:ascii="Times New Roman" w:hAnsi="Times New Roman" w:eastAsia="宋体" w:cs="Times New Roman"/>
          <w:color w:val="auto"/>
          <w:sz w:val="21"/>
          <w:szCs w:val="21"/>
          <w:highlight w:val="none"/>
          <w:vertAlign w:val="baseline"/>
          <w:lang w:val="en-US" w:eastAsia="zh-CN" w:bidi="ar-SA"/>
        </w:rPr>
        <w:t xml:space="preserve">   </w:t>
      </w:r>
      <w:r>
        <w:rPr>
          <w:rFonts w:hint="default" w:ascii="Times New Roman" w:hAnsi="Times New Roman" w:eastAsia="宋体" w:cs="Times New Roman"/>
          <w:color w:val="auto"/>
          <w:sz w:val="21"/>
          <w:szCs w:val="21"/>
          <w:highlight w:val="none"/>
          <w:vertAlign w:val="baseline"/>
          <w:lang w:bidi="ar-SA"/>
        </w:rPr>
        <w:tab/>
      </w:r>
      <w:r>
        <w:rPr>
          <w:rFonts w:hint="default" w:ascii="Times New Roman" w:hAnsi="Times New Roman" w:eastAsia="宋体" w:cs="Times New Roman"/>
          <w:color w:val="auto"/>
          <w:sz w:val="21"/>
          <w:szCs w:val="21"/>
          <w:highlight w:val="none"/>
          <w:vertAlign w:val="baseline"/>
          <w:lang w:bidi="ar-SA"/>
        </w:rPr>
        <w:t>土壤环境影响评价自查表</w:t>
      </w:r>
    </w:p>
    <w:tbl>
      <w:tblPr>
        <w:tblStyle w:val="39"/>
        <w:tblpPr w:leftFromText="180" w:rightFromText="180" w:vertAnchor="text" w:tblpY="1"/>
        <w:tblOverlap w:val="never"/>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421"/>
        <w:gridCol w:w="1506"/>
        <w:gridCol w:w="1439"/>
        <w:gridCol w:w="490"/>
        <w:gridCol w:w="592"/>
        <w:gridCol w:w="1170"/>
        <w:gridCol w:w="705"/>
        <w:gridCol w:w="1060"/>
        <w:gridCol w:w="119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24" w:type="pct"/>
            <w:gridSpan w:val="2"/>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工作内容</w:t>
            </w:r>
          </w:p>
        </w:tc>
        <w:tc>
          <w:tcPr>
            <w:tcW w:w="3181" w:type="pct"/>
            <w:gridSpan w:val="6"/>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完成情况</w:t>
            </w:r>
          </w:p>
        </w:tc>
        <w:tc>
          <w:tcPr>
            <w:tcW w:w="693"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6" w:type="pct"/>
            <w:vMerge w:val="restar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p>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p>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p>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p>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p>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p>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影响识别</w:t>
            </w:r>
          </w:p>
        </w:tc>
        <w:tc>
          <w:tcPr>
            <w:tcW w:w="878"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影响类型</w:t>
            </w:r>
          </w:p>
        </w:tc>
        <w:tc>
          <w:tcPr>
            <w:tcW w:w="3181" w:type="pct"/>
            <w:gridSpan w:val="6"/>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污染影响型</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bidi="ar-SA"/>
              </w:rPr>
              <w:t>；生态影响型</w:t>
            </w:r>
            <w:r>
              <w:rPr>
                <w:rFonts w:hint="default" w:ascii="Times New Roman" w:hAnsi="Times New Roman" w:cs="Times New Roman"/>
                <w:color w:val="auto"/>
                <w:sz w:val="21"/>
                <w:szCs w:val="21"/>
                <w:highlight w:val="none"/>
              </w:rPr>
              <w:t>□</w:t>
            </w:r>
            <w:r>
              <w:rPr>
                <w:rFonts w:hint="default" w:ascii="Times New Roman" w:hAnsi="Times New Roman" w:eastAsia="宋体" w:cs="Times New Roman"/>
                <w:color w:val="auto"/>
                <w:kern w:val="0"/>
                <w:sz w:val="21"/>
                <w:szCs w:val="21"/>
                <w:highlight w:val="none"/>
                <w:lang w:val="en-US" w:eastAsia="zh-CN" w:bidi="ar-SA"/>
              </w:rPr>
              <w:t>；两种兼有□</w:t>
            </w:r>
          </w:p>
        </w:tc>
        <w:tc>
          <w:tcPr>
            <w:tcW w:w="693"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46" w:type="pct"/>
            <w:vMerge w:val="continue"/>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p>
        </w:tc>
        <w:tc>
          <w:tcPr>
            <w:tcW w:w="878"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土地利用类型</w:t>
            </w:r>
          </w:p>
        </w:tc>
        <w:tc>
          <w:tcPr>
            <w:tcW w:w="3181" w:type="pct"/>
            <w:gridSpan w:val="6"/>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建设用地</w:t>
            </w:r>
            <w:r>
              <w:rPr>
                <w:rFonts w:hint="default" w:ascii="Times New Roman" w:hAnsi="Times New Roman" w:cs="Times New Roman"/>
                <w:color w:val="auto"/>
                <w:sz w:val="21"/>
                <w:szCs w:val="21"/>
                <w:highlight w:val="none"/>
              </w:rPr>
              <w:t>□</w:t>
            </w:r>
            <w:r>
              <w:rPr>
                <w:rFonts w:hint="default" w:ascii="Times New Roman" w:hAnsi="Times New Roman" w:eastAsia="宋体" w:cs="Times New Roman"/>
                <w:color w:val="auto"/>
                <w:kern w:val="0"/>
                <w:sz w:val="21"/>
                <w:szCs w:val="21"/>
                <w:highlight w:val="none"/>
                <w:lang w:val="en-US" w:eastAsia="zh-CN" w:bidi="ar-SA"/>
              </w:rPr>
              <w:t>；</w:t>
            </w:r>
            <w:r>
              <w:rPr>
                <w:rFonts w:hint="default" w:ascii="Times New Roman" w:hAnsi="Times New Roman" w:cs="Times New Roman"/>
                <w:color w:val="auto"/>
                <w:kern w:val="0"/>
                <w:sz w:val="21"/>
                <w:szCs w:val="21"/>
                <w:highlight w:val="none"/>
                <w:lang w:val="en-US" w:eastAsia="zh-CN" w:bidi="ar-SA"/>
              </w:rPr>
              <w:t>农用地</w:t>
            </w:r>
            <w:r>
              <w:rPr>
                <w:rFonts w:hint="default" w:ascii="Times New Roman" w:hAnsi="Times New Roman" w:cs="Times New Roman"/>
                <w:color w:val="auto"/>
                <w:kern w:val="0"/>
                <w:sz w:val="21"/>
                <w:szCs w:val="21"/>
                <w:highlight w:val="none"/>
                <w:lang w:val="en-US" w:eastAsia="zh-CN" w:bidi="ar-SA"/>
              </w:rPr>
              <w:sym w:font="Wingdings 2" w:char="0052"/>
            </w:r>
            <w:r>
              <w:rPr>
                <w:rFonts w:hint="default" w:ascii="Times New Roman" w:hAnsi="Times New Roman" w:eastAsia="宋体" w:cs="Times New Roman"/>
                <w:color w:val="auto"/>
                <w:kern w:val="0"/>
                <w:sz w:val="21"/>
                <w:szCs w:val="21"/>
                <w:highlight w:val="none"/>
                <w:lang w:val="en-US" w:eastAsia="zh-CN" w:bidi="ar-SA"/>
              </w:rPr>
              <w:t>；未利用地</w:t>
            </w:r>
            <w:r>
              <w:rPr>
                <w:rFonts w:hint="eastAsia" w:cs="Times New Roman"/>
                <w:color w:val="auto"/>
                <w:kern w:val="0"/>
                <w:sz w:val="21"/>
                <w:szCs w:val="21"/>
                <w:highlight w:val="none"/>
                <w:lang w:val="en-US" w:eastAsia="zh-CN" w:bidi="ar-SA"/>
              </w:rPr>
              <w:t>□</w:t>
            </w:r>
          </w:p>
        </w:tc>
        <w:tc>
          <w:tcPr>
            <w:tcW w:w="693"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土地利用类型图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6" w:hRule="atLeast"/>
        </w:trPr>
        <w:tc>
          <w:tcPr>
            <w:tcW w:w="246" w:type="pct"/>
            <w:vMerge w:val="continue"/>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p>
        </w:tc>
        <w:tc>
          <w:tcPr>
            <w:tcW w:w="878"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占地规模</w:t>
            </w:r>
          </w:p>
        </w:tc>
        <w:tc>
          <w:tcPr>
            <w:tcW w:w="3181" w:type="pct"/>
            <w:gridSpan w:val="6"/>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r>
              <w:rPr>
                <w:rFonts w:hint="default" w:ascii="Times New Roman" w:hAnsi="Times New Roman" w:cs="Times New Roman"/>
                <w:color w:val="auto"/>
                <w:kern w:val="0"/>
                <w:sz w:val="21"/>
                <w:szCs w:val="21"/>
                <w:highlight w:val="none"/>
                <w:lang w:val="en-US" w:eastAsia="zh-CN" w:bidi="ar-SA"/>
              </w:rPr>
              <w:t>66.7</w:t>
            </w:r>
            <w:r>
              <w:rPr>
                <w:rFonts w:hint="default" w:ascii="Times New Roman" w:hAnsi="Times New Roman" w:eastAsia="宋体" w:cs="Times New Roman"/>
                <w:color w:val="auto"/>
                <w:kern w:val="0"/>
                <w:sz w:val="21"/>
                <w:szCs w:val="21"/>
                <w:highlight w:val="none"/>
                <w:lang w:val="en-US" w:eastAsia="zh-CN" w:bidi="ar-SA"/>
              </w:rPr>
              <w:t>）hm</w:t>
            </w:r>
            <w:r>
              <w:rPr>
                <w:rFonts w:hint="default" w:ascii="Times New Roman" w:hAnsi="Times New Roman" w:eastAsia="宋体" w:cs="Times New Roman"/>
                <w:color w:val="auto"/>
                <w:kern w:val="0"/>
                <w:sz w:val="21"/>
                <w:szCs w:val="21"/>
                <w:highlight w:val="none"/>
                <w:vertAlign w:val="superscript"/>
                <w:lang w:val="en-US" w:eastAsia="zh-CN" w:bidi="ar-SA"/>
              </w:rPr>
              <w:t>2</w:t>
            </w:r>
          </w:p>
        </w:tc>
        <w:tc>
          <w:tcPr>
            <w:tcW w:w="693"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6" w:type="pct"/>
            <w:vMerge w:val="continue"/>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p>
        </w:tc>
        <w:tc>
          <w:tcPr>
            <w:tcW w:w="878"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敏感目标信息</w:t>
            </w:r>
          </w:p>
        </w:tc>
        <w:tc>
          <w:tcPr>
            <w:tcW w:w="3181" w:type="pct"/>
            <w:gridSpan w:val="6"/>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敏感目标（</w:t>
            </w:r>
            <w:r>
              <w:rPr>
                <w:rFonts w:hint="eastAsia" w:cs="Times New Roman"/>
                <w:color w:val="auto"/>
                <w:kern w:val="0"/>
                <w:sz w:val="21"/>
                <w:szCs w:val="21"/>
                <w:highlight w:val="none"/>
                <w:lang w:val="en-US" w:eastAsia="zh-CN" w:bidi="ar-SA"/>
              </w:rPr>
              <w:t>草地</w:t>
            </w:r>
            <w:r>
              <w:rPr>
                <w:rFonts w:hint="default" w:ascii="Times New Roman" w:hAnsi="Times New Roman" w:eastAsia="宋体" w:cs="Times New Roman"/>
                <w:color w:val="auto"/>
                <w:kern w:val="0"/>
                <w:sz w:val="21"/>
                <w:szCs w:val="21"/>
                <w:highlight w:val="none"/>
                <w:lang w:val="en-US" w:eastAsia="zh-CN" w:bidi="ar-SA"/>
              </w:rPr>
              <w:t>）、方位（</w:t>
            </w:r>
            <w:r>
              <w:rPr>
                <w:rFonts w:hint="eastAsia"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）、距离（</w:t>
            </w:r>
            <w:r>
              <w:rPr>
                <w:rFonts w:hint="eastAsia" w:cs="Times New Roman"/>
                <w:color w:val="auto"/>
                <w:kern w:val="0"/>
                <w:sz w:val="21"/>
                <w:szCs w:val="21"/>
                <w:highlight w:val="none"/>
                <w:lang w:val="en-US" w:eastAsia="zh-CN" w:bidi="ar-SA"/>
              </w:rPr>
              <w:t>0m</w:t>
            </w:r>
            <w:r>
              <w:rPr>
                <w:rFonts w:hint="default" w:ascii="Times New Roman" w:hAnsi="Times New Roman" w:eastAsia="宋体" w:cs="Times New Roman"/>
                <w:color w:val="auto"/>
                <w:kern w:val="0"/>
                <w:sz w:val="21"/>
                <w:szCs w:val="21"/>
                <w:highlight w:val="none"/>
                <w:lang w:val="en-US" w:eastAsia="zh-CN" w:bidi="ar-SA"/>
              </w:rPr>
              <w:t>）</w:t>
            </w:r>
          </w:p>
        </w:tc>
        <w:tc>
          <w:tcPr>
            <w:tcW w:w="693"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46" w:type="pct"/>
            <w:vMerge w:val="continue"/>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p>
        </w:tc>
        <w:tc>
          <w:tcPr>
            <w:tcW w:w="878"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影响途径</w:t>
            </w:r>
          </w:p>
        </w:tc>
        <w:tc>
          <w:tcPr>
            <w:tcW w:w="3181" w:type="pct"/>
            <w:gridSpan w:val="6"/>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大气沉降</w:t>
            </w:r>
            <w:r>
              <w:rPr>
                <w:rFonts w:hint="default" w:ascii="Times New Roman" w:hAnsi="Times New Roman" w:cs="Times New Roman"/>
                <w:color w:val="auto"/>
                <w:sz w:val="21"/>
                <w:szCs w:val="21"/>
                <w:highlight w:val="none"/>
              </w:rPr>
              <w:t>□</w:t>
            </w:r>
            <w:r>
              <w:rPr>
                <w:rFonts w:hint="default" w:ascii="Times New Roman" w:hAnsi="Times New Roman" w:eastAsia="宋体" w:cs="Times New Roman"/>
                <w:color w:val="auto"/>
                <w:kern w:val="0"/>
                <w:sz w:val="21"/>
                <w:szCs w:val="21"/>
                <w:highlight w:val="none"/>
                <w:lang w:val="en-US" w:eastAsia="zh-CN" w:bidi="ar-SA"/>
              </w:rPr>
              <w:t>；地面漫流</w:t>
            </w:r>
            <w:r>
              <w:rPr>
                <w:rFonts w:hint="default" w:ascii="Times New Roman" w:hAnsi="Times New Roman" w:cs="Times New Roman"/>
                <w:color w:val="auto"/>
                <w:sz w:val="21"/>
                <w:szCs w:val="21"/>
                <w:highlight w:val="none"/>
              </w:rPr>
              <w:t>□</w:t>
            </w:r>
            <w:r>
              <w:rPr>
                <w:rFonts w:hint="default" w:ascii="Times New Roman" w:hAnsi="Times New Roman" w:eastAsia="宋体" w:cs="Times New Roman"/>
                <w:color w:val="auto"/>
                <w:kern w:val="0"/>
                <w:sz w:val="21"/>
                <w:szCs w:val="21"/>
                <w:highlight w:val="none"/>
                <w:lang w:val="en-US" w:eastAsia="zh-CN" w:bidi="ar-SA"/>
              </w:rPr>
              <w:t>；垂直入渗</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bidi="ar-SA"/>
              </w:rPr>
              <w:t>；地下水位</w:t>
            </w:r>
            <w:r>
              <w:rPr>
                <w:rFonts w:hint="default" w:ascii="Times New Roman" w:hAnsi="Times New Roman" w:cs="Times New Roman"/>
                <w:color w:val="auto"/>
                <w:sz w:val="21"/>
                <w:szCs w:val="21"/>
                <w:highlight w:val="none"/>
              </w:rPr>
              <w:t>□</w:t>
            </w:r>
            <w:r>
              <w:rPr>
                <w:rFonts w:hint="default" w:ascii="Times New Roman" w:hAnsi="Times New Roman" w:eastAsia="宋体" w:cs="Times New Roman"/>
                <w:color w:val="auto"/>
                <w:kern w:val="0"/>
                <w:sz w:val="21"/>
                <w:szCs w:val="21"/>
                <w:highlight w:val="none"/>
                <w:lang w:val="en-US" w:eastAsia="zh-CN" w:bidi="ar-SA"/>
              </w:rPr>
              <w:t>；其他（）</w:t>
            </w:r>
          </w:p>
        </w:tc>
        <w:tc>
          <w:tcPr>
            <w:tcW w:w="693"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6" w:type="pct"/>
            <w:vMerge w:val="continue"/>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p>
        </w:tc>
        <w:tc>
          <w:tcPr>
            <w:tcW w:w="878"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全部污染物</w:t>
            </w:r>
          </w:p>
        </w:tc>
        <w:tc>
          <w:tcPr>
            <w:tcW w:w="3181" w:type="pct"/>
            <w:gridSpan w:val="6"/>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COD、BOD</w:t>
            </w:r>
            <w:r>
              <w:rPr>
                <w:rFonts w:hint="default" w:ascii="Times New Roman" w:hAnsi="Times New Roman" w:eastAsia="宋体" w:cs="Times New Roman"/>
                <w:color w:val="auto"/>
                <w:kern w:val="0"/>
                <w:sz w:val="21"/>
                <w:szCs w:val="21"/>
                <w:highlight w:val="none"/>
                <w:vertAlign w:val="subscript"/>
                <w:lang w:val="en-US" w:eastAsia="zh-CN" w:bidi="ar-SA"/>
              </w:rPr>
              <w:t>5</w:t>
            </w:r>
            <w:r>
              <w:rPr>
                <w:rFonts w:hint="default" w:ascii="Times New Roman" w:hAnsi="Times New Roman" w:eastAsia="宋体" w:cs="Times New Roman"/>
                <w:color w:val="auto"/>
                <w:kern w:val="0"/>
                <w:sz w:val="21"/>
                <w:szCs w:val="21"/>
                <w:highlight w:val="none"/>
                <w:lang w:val="en-US" w:eastAsia="zh-CN" w:bidi="ar-SA"/>
              </w:rPr>
              <w:t>、SS、NH</w:t>
            </w:r>
            <w:r>
              <w:rPr>
                <w:rFonts w:hint="default" w:ascii="Times New Roman" w:hAnsi="Times New Roman" w:eastAsia="宋体" w:cs="Times New Roman"/>
                <w:color w:val="auto"/>
                <w:kern w:val="0"/>
                <w:sz w:val="21"/>
                <w:szCs w:val="21"/>
                <w:highlight w:val="none"/>
                <w:vertAlign w:val="subscript"/>
                <w:lang w:val="en-US" w:eastAsia="zh-CN" w:bidi="ar-SA"/>
              </w:rPr>
              <w:t>3</w:t>
            </w:r>
            <w:r>
              <w:rPr>
                <w:rFonts w:hint="default" w:ascii="Times New Roman" w:hAnsi="Times New Roman" w:eastAsia="宋体" w:cs="Times New Roman"/>
                <w:color w:val="auto"/>
                <w:kern w:val="0"/>
                <w:sz w:val="21"/>
                <w:szCs w:val="21"/>
                <w:highlight w:val="none"/>
                <w:lang w:val="en-US" w:eastAsia="zh-CN" w:bidi="ar-SA"/>
              </w:rPr>
              <w:t>-N</w:t>
            </w:r>
          </w:p>
        </w:tc>
        <w:tc>
          <w:tcPr>
            <w:tcW w:w="693"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6" w:type="pct"/>
            <w:vMerge w:val="continue"/>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p>
        </w:tc>
        <w:tc>
          <w:tcPr>
            <w:tcW w:w="878"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特征因子</w:t>
            </w:r>
          </w:p>
        </w:tc>
        <w:tc>
          <w:tcPr>
            <w:tcW w:w="3181" w:type="pct"/>
            <w:gridSpan w:val="6"/>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无</w:t>
            </w:r>
          </w:p>
        </w:tc>
        <w:tc>
          <w:tcPr>
            <w:tcW w:w="693"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46" w:type="pct"/>
            <w:vMerge w:val="continue"/>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yellow"/>
                <w:lang w:val="en-US" w:eastAsia="zh-CN" w:bidi="ar-SA"/>
              </w:rPr>
            </w:pPr>
          </w:p>
        </w:tc>
        <w:tc>
          <w:tcPr>
            <w:tcW w:w="878"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所属土壤环境影响评价项目类别</w:t>
            </w:r>
          </w:p>
        </w:tc>
        <w:tc>
          <w:tcPr>
            <w:tcW w:w="3181" w:type="pct"/>
            <w:gridSpan w:val="6"/>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Ⅰ类</w:t>
            </w:r>
            <w:r>
              <w:rPr>
                <w:rFonts w:hint="default" w:ascii="Times New Roman" w:hAnsi="Times New Roman" w:cs="Times New Roman"/>
                <w:color w:val="auto"/>
                <w:sz w:val="21"/>
                <w:szCs w:val="21"/>
                <w:highlight w:val="none"/>
              </w:rPr>
              <w:t>□</w:t>
            </w:r>
            <w:r>
              <w:rPr>
                <w:rFonts w:hint="default" w:ascii="Times New Roman" w:hAnsi="Times New Roman" w:eastAsia="宋体" w:cs="Times New Roman"/>
                <w:color w:val="auto"/>
                <w:kern w:val="0"/>
                <w:sz w:val="21"/>
                <w:szCs w:val="21"/>
                <w:highlight w:val="none"/>
                <w:lang w:val="en-US" w:eastAsia="zh-CN" w:bidi="ar-SA"/>
              </w:rPr>
              <w:t>；Ⅱ类</w:t>
            </w:r>
            <w:r>
              <w:rPr>
                <w:rFonts w:hint="default" w:ascii="Times New Roman" w:hAnsi="Times New Roman" w:cs="Times New Roman"/>
                <w:color w:val="auto"/>
                <w:sz w:val="21"/>
                <w:szCs w:val="21"/>
                <w:highlight w:val="none"/>
              </w:rPr>
              <w:t>□</w:t>
            </w:r>
            <w:r>
              <w:rPr>
                <w:rFonts w:hint="default" w:ascii="Times New Roman" w:hAnsi="Times New Roman" w:eastAsia="宋体" w:cs="Times New Roman"/>
                <w:color w:val="auto"/>
                <w:kern w:val="0"/>
                <w:sz w:val="21"/>
                <w:szCs w:val="21"/>
                <w:highlight w:val="none"/>
                <w:lang w:val="en-US" w:eastAsia="zh-CN" w:bidi="ar-SA"/>
              </w:rPr>
              <w:t>；Ⅲ类☑；Ⅳ类□</w:t>
            </w:r>
          </w:p>
        </w:tc>
        <w:tc>
          <w:tcPr>
            <w:tcW w:w="693"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yellow"/>
                <w:lang w:val="en-US" w:eastAsia="zh-CN" w:bidi="ar-S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246" w:type="pct"/>
            <w:vMerge w:val="continue"/>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yellow"/>
                <w:lang w:val="en-US" w:eastAsia="zh-CN" w:bidi="ar-SA"/>
              </w:rPr>
            </w:pPr>
          </w:p>
        </w:tc>
        <w:tc>
          <w:tcPr>
            <w:tcW w:w="878"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敏感程度</w:t>
            </w:r>
          </w:p>
        </w:tc>
        <w:tc>
          <w:tcPr>
            <w:tcW w:w="3181" w:type="pct"/>
            <w:gridSpan w:val="6"/>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敏感☑；较敏感□；不敏感</w:t>
            </w:r>
          </w:p>
        </w:tc>
        <w:tc>
          <w:tcPr>
            <w:tcW w:w="693"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yellow"/>
                <w:lang w:val="en-US" w:eastAsia="zh-CN" w:bidi="ar-S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24" w:type="pct"/>
            <w:gridSpan w:val="2"/>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评价工作等级</w:t>
            </w:r>
          </w:p>
        </w:tc>
        <w:tc>
          <w:tcPr>
            <w:tcW w:w="3181" w:type="pct"/>
            <w:gridSpan w:val="6"/>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一级□；二级□；三级☑</w:t>
            </w:r>
          </w:p>
        </w:tc>
        <w:tc>
          <w:tcPr>
            <w:tcW w:w="693"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yellow"/>
                <w:lang w:val="en-US" w:eastAsia="zh-CN" w:bidi="ar-S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6" w:type="pct"/>
            <w:vMerge w:val="restar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现状调查内容</w:t>
            </w:r>
          </w:p>
        </w:tc>
        <w:tc>
          <w:tcPr>
            <w:tcW w:w="878"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资料收集</w:t>
            </w:r>
          </w:p>
        </w:tc>
        <w:tc>
          <w:tcPr>
            <w:tcW w:w="3181" w:type="pct"/>
            <w:gridSpan w:val="6"/>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yellow"/>
                <w:lang w:val="en-US" w:eastAsia="zh-CN" w:bidi="ar-SA"/>
              </w:rPr>
            </w:pPr>
            <w:r>
              <w:rPr>
                <w:rFonts w:hint="default" w:ascii="Times New Roman" w:hAnsi="Times New Roman" w:eastAsia="宋体" w:cs="Times New Roman"/>
                <w:color w:val="auto"/>
                <w:kern w:val="0"/>
                <w:sz w:val="21"/>
                <w:szCs w:val="21"/>
                <w:highlight w:val="none"/>
                <w:lang w:val="en-US" w:eastAsia="zh-CN" w:bidi="ar-SA"/>
              </w:rPr>
              <w:t>a）☑；b）☑；c）☑；d）☑</w:t>
            </w:r>
          </w:p>
        </w:tc>
        <w:tc>
          <w:tcPr>
            <w:tcW w:w="693"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yellow"/>
                <w:lang w:val="en-US" w:eastAsia="zh-CN" w:bidi="ar-S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6" w:type="pct"/>
            <w:vMerge w:val="continue"/>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p>
        </w:tc>
        <w:tc>
          <w:tcPr>
            <w:tcW w:w="878"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理化特性</w:t>
            </w:r>
          </w:p>
        </w:tc>
        <w:tc>
          <w:tcPr>
            <w:tcW w:w="3181" w:type="pct"/>
            <w:gridSpan w:val="6"/>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见</w:t>
            </w:r>
            <w:r>
              <w:rPr>
                <w:rFonts w:hint="default" w:ascii="Times New Roman" w:hAnsi="Times New Roman" w:eastAsia="宋体" w:cs="Times New Roman"/>
                <w:color w:val="auto"/>
                <w:sz w:val="21"/>
                <w:szCs w:val="21"/>
                <w:highlight w:val="none"/>
              </w:rPr>
              <w:t>表4.2-</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 xml:space="preserve">      土壤理化性质 </w:t>
            </w:r>
          </w:p>
        </w:tc>
        <w:tc>
          <w:tcPr>
            <w:tcW w:w="693"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同附录 C</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6" w:type="pct"/>
            <w:vMerge w:val="continue"/>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p>
        </w:tc>
        <w:tc>
          <w:tcPr>
            <w:tcW w:w="878" w:type="pct"/>
            <w:vMerge w:val="restar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现状监测点位</w:t>
            </w:r>
          </w:p>
        </w:tc>
        <w:tc>
          <w:tcPr>
            <w:tcW w:w="839"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p>
        </w:tc>
        <w:tc>
          <w:tcPr>
            <w:tcW w:w="631" w:type="pct"/>
            <w:gridSpan w:val="2"/>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占地范围内</w:t>
            </w:r>
          </w:p>
        </w:tc>
        <w:tc>
          <w:tcPr>
            <w:tcW w:w="1093" w:type="pct"/>
            <w:gridSpan w:val="2"/>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占地范围外</w:t>
            </w:r>
          </w:p>
        </w:tc>
        <w:tc>
          <w:tcPr>
            <w:tcW w:w="616"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深度</w:t>
            </w:r>
          </w:p>
        </w:tc>
        <w:tc>
          <w:tcPr>
            <w:tcW w:w="693" w:type="pct"/>
            <w:vMerge w:val="restar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点位布置图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46" w:type="pct"/>
            <w:vMerge w:val="continue"/>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p>
        </w:tc>
        <w:tc>
          <w:tcPr>
            <w:tcW w:w="878" w:type="pct"/>
            <w:vMerge w:val="continue"/>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p>
        </w:tc>
        <w:tc>
          <w:tcPr>
            <w:tcW w:w="839"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表层样点数</w:t>
            </w:r>
          </w:p>
        </w:tc>
        <w:tc>
          <w:tcPr>
            <w:tcW w:w="631" w:type="pct"/>
            <w:gridSpan w:val="2"/>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w:t>
            </w:r>
          </w:p>
        </w:tc>
        <w:tc>
          <w:tcPr>
            <w:tcW w:w="1093" w:type="pct"/>
            <w:gridSpan w:val="2"/>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0</w:t>
            </w:r>
          </w:p>
        </w:tc>
        <w:tc>
          <w:tcPr>
            <w:tcW w:w="616"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0-0.2m</w:t>
            </w:r>
          </w:p>
        </w:tc>
        <w:tc>
          <w:tcPr>
            <w:tcW w:w="693" w:type="pct"/>
            <w:vMerge w:val="continue"/>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yellow"/>
                <w:lang w:val="en-US" w:eastAsia="zh-CN" w:bidi="ar-S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46" w:type="pct"/>
            <w:vMerge w:val="continue"/>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p>
        </w:tc>
        <w:tc>
          <w:tcPr>
            <w:tcW w:w="878" w:type="pct"/>
            <w:vMerge w:val="continue"/>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p>
        </w:tc>
        <w:tc>
          <w:tcPr>
            <w:tcW w:w="839"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柱状样点数</w:t>
            </w:r>
          </w:p>
        </w:tc>
        <w:tc>
          <w:tcPr>
            <w:tcW w:w="631" w:type="pct"/>
            <w:gridSpan w:val="2"/>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0</w:t>
            </w:r>
          </w:p>
        </w:tc>
        <w:tc>
          <w:tcPr>
            <w:tcW w:w="1093" w:type="pct"/>
            <w:gridSpan w:val="2"/>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0</w:t>
            </w:r>
          </w:p>
        </w:tc>
        <w:tc>
          <w:tcPr>
            <w:tcW w:w="616"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w:t>
            </w:r>
          </w:p>
        </w:tc>
        <w:tc>
          <w:tcPr>
            <w:tcW w:w="693" w:type="pct"/>
            <w:vMerge w:val="continue"/>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yellow"/>
                <w:lang w:val="en-US" w:eastAsia="zh-CN" w:bidi="ar-S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246" w:type="pct"/>
            <w:vMerge w:val="continue"/>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p>
        </w:tc>
        <w:tc>
          <w:tcPr>
            <w:tcW w:w="878"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现状监测因子</w:t>
            </w:r>
          </w:p>
        </w:tc>
        <w:tc>
          <w:tcPr>
            <w:tcW w:w="3181" w:type="pct"/>
            <w:gridSpan w:val="6"/>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pH、砷、铅、汞、镉、铜、镍、锌、铬</w:t>
            </w:r>
          </w:p>
        </w:tc>
        <w:tc>
          <w:tcPr>
            <w:tcW w:w="693"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yellow"/>
                <w:lang w:val="en-US" w:eastAsia="zh-CN" w:bidi="ar-S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6" w:type="pct"/>
            <w:vMerge w:val="restar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p>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现状评价</w:t>
            </w:r>
          </w:p>
        </w:tc>
        <w:tc>
          <w:tcPr>
            <w:tcW w:w="878"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评价因子</w:t>
            </w:r>
          </w:p>
        </w:tc>
        <w:tc>
          <w:tcPr>
            <w:tcW w:w="3181" w:type="pct"/>
            <w:gridSpan w:val="6"/>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pH、砷、铅、汞、镉、铜、镍、锌、铬</w:t>
            </w:r>
          </w:p>
        </w:tc>
        <w:tc>
          <w:tcPr>
            <w:tcW w:w="693"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yellow"/>
                <w:lang w:val="en-US" w:eastAsia="zh-CN" w:bidi="ar-S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6" w:type="pct"/>
            <w:vMerge w:val="continue"/>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p>
        </w:tc>
        <w:tc>
          <w:tcPr>
            <w:tcW w:w="878"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评价标准</w:t>
            </w:r>
          </w:p>
        </w:tc>
        <w:tc>
          <w:tcPr>
            <w:tcW w:w="3181" w:type="pct"/>
            <w:gridSpan w:val="6"/>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GB 15618☑；GB 36600□；表D.1□；表D.2□；其他（</w:t>
            </w:r>
            <w:r>
              <w:rPr>
                <w:rFonts w:hint="default" w:ascii="Times New Roman" w:hAnsi="Times New Roman" w:cs="Times New Roman"/>
                <w:color w:val="auto"/>
                <w:sz w:val="21"/>
                <w:szCs w:val="21"/>
                <w:highlight w:val="none"/>
                <w:lang w:val="zh-CN"/>
              </w:rPr>
              <w:t>《</w:t>
            </w:r>
            <w:r>
              <w:rPr>
                <w:rFonts w:hint="default" w:ascii="Times New Roman" w:hAnsi="Times New Roman" w:cs="Times New Roman"/>
                <w:color w:val="auto"/>
                <w:sz w:val="21"/>
                <w:szCs w:val="21"/>
                <w:highlight w:val="none"/>
              </w:rPr>
              <w:t>畜禽场环境质量及卫生控制规范</w:t>
            </w:r>
            <w:r>
              <w:rPr>
                <w:rFonts w:hint="default" w:ascii="Times New Roman" w:hAnsi="Times New Roman" w:cs="Times New Roman"/>
                <w:color w:val="auto"/>
                <w:sz w:val="21"/>
                <w:szCs w:val="21"/>
                <w:highlight w:val="none"/>
                <w:lang w:val="zh-CN"/>
              </w:rPr>
              <w:t>》（</w:t>
            </w:r>
            <w:r>
              <w:rPr>
                <w:rFonts w:hint="default" w:ascii="Times New Roman" w:hAnsi="Times New Roman" w:cs="Times New Roman"/>
                <w:color w:val="auto"/>
                <w:sz w:val="21"/>
                <w:szCs w:val="21"/>
                <w:highlight w:val="none"/>
              </w:rPr>
              <w:t>NY</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T 1167-2006）和</w:t>
            </w:r>
            <w:r>
              <w:rPr>
                <w:rFonts w:hint="default" w:ascii="Times New Roman" w:hAnsi="Times New Roman" w:cs="Times New Roman"/>
                <w:color w:val="auto"/>
                <w:sz w:val="21"/>
                <w:szCs w:val="21"/>
                <w:highlight w:val="none"/>
                <w:lang w:val="zh-CN"/>
              </w:rPr>
              <w:t>《</w:t>
            </w:r>
            <w:r>
              <w:rPr>
                <w:rFonts w:hint="default" w:ascii="Times New Roman" w:hAnsi="Times New Roman" w:cs="Times New Roman"/>
                <w:color w:val="auto"/>
                <w:sz w:val="21"/>
                <w:szCs w:val="21"/>
                <w:highlight w:val="none"/>
              </w:rPr>
              <w:t>畜禽养殖产地环境评价规范</w:t>
            </w:r>
            <w:r>
              <w:rPr>
                <w:rFonts w:hint="default" w:ascii="Times New Roman" w:hAnsi="Times New Roman" w:cs="Times New Roman"/>
                <w:color w:val="auto"/>
                <w:sz w:val="21"/>
                <w:szCs w:val="21"/>
                <w:highlight w:val="none"/>
                <w:lang w:val="zh-CN"/>
              </w:rPr>
              <w:t>》（</w:t>
            </w:r>
            <w:r>
              <w:rPr>
                <w:rFonts w:hint="default" w:ascii="Times New Roman" w:hAnsi="Times New Roman" w:cs="Times New Roman"/>
                <w:color w:val="auto"/>
                <w:sz w:val="21"/>
                <w:szCs w:val="21"/>
                <w:highlight w:val="none"/>
              </w:rPr>
              <w:t>HJ</w:t>
            </w:r>
            <w:r>
              <w:rPr>
                <w:rFonts w:hint="default" w:ascii="Times New Roman" w:hAnsi="Times New Roman" w:cs="Times New Roman"/>
                <w:color w:val="auto"/>
                <w:sz w:val="21"/>
                <w:szCs w:val="21"/>
                <w:highlight w:val="none"/>
                <w:lang w:eastAsia="zh-CN"/>
              </w:rPr>
              <w:t>568-2010</w:t>
            </w:r>
            <w:r>
              <w:rPr>
                <w:rFonts w:hint="default" w:ascii="Times New Roman" w:hAnsi="Times New Roman" w:cs="Times New Roman"/>
                <w:color w:val="auto"/>
                <w:sz w:val="21"/>
                <w:szCs w:val="21"/>
                <w:highlight w:val="none"/>
              </w:rPr>
              <w:t>）</w:t>
            </w:r>
            <w:r>
              <w:rPr>
                <w:rFonts w:hint="default" w:ascii="Times New Roman" w:hAnsi="Times New Roman" w:eastAsia="宋体" w:cs="Times New Roman"/>
                <w:color w:val="auto"/>
                <w:kern w:val="0"/>
                <w:sz w:val="21"/>
                <w:szCs w:val="21"/>
                <w:highlight w:val="none"/>
                <w:lang w:val="en-US" w:eastAsia="zh-CN" w:bidi="ar-SA"/>
              </w:rPr>
              <w:t xml:space="preserve"> ）</w:t>
            </w:r>
          </w:p>
        </w:tc>
        <w:tc>
          <w:tcPr>
            <w:tcW w:w="693"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yellow"/>
                <w:lang w:val="en-US" w:eastAsia="zh-CN" w:bidi="ar-S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46" w:type="pct"/>
            <w:vMerge w:val="continue"/>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p>
        </w:tc>
        <w:tc>
          <w:tcPr>
            <w:tcW w:w="878"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现状评价结论</w:t>
            </w:r>
          </w:p>
        </w:tc>
        <w:tc>
          <w:tcPr>
            <w:tcW w:w="3181" w:type="pct"/>
            <w:gridSpan w:val="6"/>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 xml:space="preserve">满足《土壤环境质量 </w:t>
            </w:r>
            <w:r>
              <w:rPr>
                <w:rFonts w:hint="default" w:ascii="Times New Roman" w:hAnsi="Times New Roman" w:cs="Times New Roman"/>
                <w:color w:val="auto"/>
                <w:kern w:val="0"/>
                <w:sz w:val="21"/>
                <w:szCs w:val="21"/>
                <w:highlight w:val="none"/>
                <w:lang w:val="en-US" w:eastAsia="zh-CN" w:bidi="ar-SA"/>
              </w:rPr>
              <w:t>农用地土壤污染风险管控标准（试行）</w:t>
            </w:r>
            <w:r>
              <w:rPr>
                <w:rFonts w:hint="default" w:ascii="Times New Roman" w:hAnsi="Times New Roman" w:eastAsia="宋体" w:cs="Times New Roman"/>
                <w:color w:val="auto"/>
                <w:kern w:val="0"/>
                <w:sz w:val="21"/>
                <w:szCs w:val="21"/>
                <w:highlight w:val="none"/>
                <w:lang w:val="en-US" w:eastAsia="zh-CN" w:bidi="ar-SA"/>
              </w:rPr>
              <w:t>》（GB15618-2018）</w:t>
            </w:r>
            <w:r>
              <w:rPr>
                <w:rFonts w:hint="default" w:ascii="Times New Roman" w:hAnsi="Times New Roman" w:cs="Times New Roman"/>
                <w:color w:val="auto"/>
                <w:sz w:val="21"/>
                <w:szCs w:val="21"/>
                <w:highlight w:val="none"/>
              </w:rPr>
              <w:t>，且镉、砷、铜、铅、铬、锌、汞、镍要满足</w:t>
            </w:r>
            <w:r>
              <w:rPr>
                <w:rFonts w:hint="default" w:ascii="Times New Roman" w:hAnsi="Times New Roman" w:cs="Times New Roman"/>
                <w:color w:val="auto"/>
                <w:sz w:val="21"/>
                <w:szCs w:val="21"/>
                <w:highlight w:val="none"/>
                <w:lang w:val="zh-CN"/>
              </w:rPr>
              <w:t>《</w:t>
            </w:r>
            <w:r>
              <w:rPr>
                <w:rFonts w:hint="default" w:ascii="Times New Roman" w:hAnsi="Times New Roman" w:cs="Times New Roman"/>
                <w:color w:val="auto"/>
                <w:sz w:val="21"/>
                <w:szCs w:val="21"/>
                <w:highlight w:val="none"/>
              </w:rPr>
              <w:t>畜禽场环境质量及卫生控制规范</w:t>
            </w:r>
            <w:r>
              <w:rPr>
                <w:rFonts w:hint="default" w:ascii="Times New Roman" w:hAnsi="Times New Roman" w:cs="Times New Roman"/>
                <w:color w:val="auto"/>
                <w:sz w:val="21"/>
                <w:szCs w:val="21"/>
                <w:highlight w:val="none"/>
                <w:lang w:val="zh-CN"/>
              </w:rPr>
              <w:t>》（</w:t>
            </w:r>
            <w:r>
              <w:rPr>
                <w:rFonts w:hint="default" w:ascii="Times New Roman" w:hAnsi="Times New Roman" w:cs="Times New Roman"/>
                <w:color w:val="auto"/>
                <w:sz w:val="21"/>
                <w:szCs w:val="21"/>
                <w:highlight w:val="none"/>
              </w:rPr>
              <w:t>NY</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T 1167-2006）中“表1”和</w:t>
            </w:r>
            <w:r>
              <w:rPr>
                <w:rFonts w:hint="default" w:ascii="Times New Roman" w:hAnsi="Times New Roman" w:cs="Times New Roman"/>
                <w:color w:val="auto"/>
                <w:sz w:val="21"/>
                <w:szCs w:val="21"/>
                <w:highlight w:val="none"/>
                <w:lang w:val="zh-CN"/>
              </w:rPr>
              <w:t>《</w:t>
            </w:r>
            <w:r>
              <w:rPr>
                <w:rFonts w:hint="default" w:ascii="Times New Roman" w:hAnsi="Times New Roman" w:cs="Times New Roman"/>
                <w:color w:val="auto"/>
                <w:sz w:val="21"/>
                <w:szCs w:val="21"/>
                <w:highlight w:val="none"/>
              </w:rPr>
              <w:t>畜禽养殖产地环境评价规范</w:t>
            </w:r>
            <w:r>
              <w:rPr>
                <w:rFonts w:hint="default" w:ascii="Times New Roman" w:hAnsi="Times New Roman" w:cs="Times New Roman"/>
                <w:color w:val="auto"/>
                <w:sz w:val="21"/>
                <w:szCs w:val="21"/>
                <w:highlight w:val="none"/>
                <w:lang w:val="zh-CN"/>
              </w:rPr>
              <w:t>》（</w:t>
            </w:r>
            <w:r>
              <w:rPr>
                <w:rFonts w:hint="default" w:ascii="Times New Roman" w:hAnsi="Times New Roman" w:cs="Times New Roman"/>
                <w:color w:val="auto"/>
                <w:sz w:val="21"/>
                <w:szCs w:val="21"/>
                <w:highlight w:val="none"/>
              </w:rPr>
              <w:t>HJ</w:t>
            </w:r>
            <w:r>
              <w:rPr>
                <w:rFonts w:hint="default" w:ascii="Times New Roman" w:hAnsi="Times New Roman" w:cs="Times New Roman"/>
                <w:color w:val="auto"/>
                <w:sz w:val="21"/>
                <w:szCs w:val="21"/>
                <w:highlight w:val="none"/>
                <w:lang w:eastAsia="zh-CN"/>
              </w:rPr>
              <w:t>568-2010</w:t>
            </w:r>
            <w:r>
              <w:rPr>
                <w:rFonts w:hint="default" w:ascii="Times New Roman" w:hAnsi="Times New Roman" w:cs="Times New Roman"/>
                <w:color w:val="auto"/>
                <w:sz w:val="21"/>
                <w:szCs w:val="21"/>
                <w:highlight w:val="none"/>
              </w:rPr>
              <w:t>）中“表4”</w:t>
            </w:r>
          </w:p>
        </w:tc>
        <w:tc>
          <w:tcPr>
            <w:tcW w:w="693"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yellow"/>
                <w:lang w:val="en-US" w:eastAsia="zh-CN" w:bidi="ar-S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6" w:hRule="atLeast"/>
        </w:trPr>
        <w:tc>
          <w:tcPr>
            <w:tcW w:w="246" w:type="pct"/>
            <w:vMerge w:val="restar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影响预测</w:t>
            </w:r>
          </w:p>
        </w:tc>
        <w:tc>
          <w:tcPr>
            <w:tcW w:w="878"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预测因子</w:t>
            </w:r>
          </w:p>
        </w:tc>
        <w:tc>
          <w:tcPr>
            <w:tcW w:w="3181" w:type="pct"/>
            <w:gridSpan w:val="6"/>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无</w:t>
            </w:r>
          </w:p>
        </w:tc>
        <w:tc>
          <w:tcPr>
            <w:tcW w:w="693"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yellow"/>
                <w:lang w:val="en-US" w:eastAsia="zh-CN" w:bidi="ar-S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6" w:type="pct"/>
            <w:vMerge w:val="continue"/>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p>
        </w:tc>
        <w:tc>
          <w:tcPr>
            <w:tcW w:w="878"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预测方法</w:t>
            </w:r>
          </w:p>
        </w:tc>
        <w:tc>
          <w:tcPr>
            <w:tcW w:w="3181" w:type="pct"/>
            <w:gridSpan w:val="6"/>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附录E□；附录F□；其他（</w:t>
            </w:r>
            <w:r>
              <w:rPr>
                <w:rFonts w:hint="default" w:ascii="Times New Roman" w:hAnsi="Times New Roman" w:eastAsia="宋体" w:cs="Times New Roman"/>
                <w:color w:val="auto"/>
                <w:kern w:val="0"/>
                <w:sz w:val="21"/>
                <w:szCs w:val="21"/>
                <w:highlight w:val="none"/>
                <w:lang w:val="en-US" w:eastAsia="zh-CN" w:bidi="ar-SA"/>
              </w:rPr>
              <w:tab/>
            </w:r>
            <w:r>
              <w:rPr>
                <w:rFonts w:hint="default" w:ascii="Times New Roman" w:hAnsi="Times New Roman" w:eastAsia="宋体" w:cs="Times New Roman"/>
                <w:color w:val="auto"/>
                <w:kern w:val="0"/>
                <w:sz w:val="21"/>
                <w:szCs w:val="21"/>
                <w:highlight w:val="none"/>
                <w:lang w:val="en-US" w:eastAsia="zh-CN" w:bidi="ar-SA"/>
              </w:rPr>
              <w:t>）</w:t>
            </w:r>
          </w:p>
        </w:tc>
        <w:tc>
          <w:tcPr>
            <w:tcW w:w="693"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yellow"/>
                <w:lang w:val="en-US" w:eastAsia="zh-CN" w:bidi="ar-S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246" w:type="pct"/>
            <w:vMerge w:val="continue"/>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p>
        </w:tc>
        <w:tc>
          <w:tcPr>
            <w:tcW w:w="878"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预测分析内容</w:t>
            </w:r>
          </w:p>
        </w:tc>
        <w:tc>
          <w:tcPr>
            <w:tcW w:w="3181" w:type="pct"/>
            <w:gridSpan w:val="6"/>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影响范围（</w:t>
            </w:r>
            <w:r>
              <w:rPr>
                <w:rFonts w:hint="default" w:ascii="Times New Roman" w:hAnsi="Times New Roman" w:eastAsia="宋体" w:cs="Times New Roman"/>
                <w:color w:val="auto"/>
                <w:kern w:val="0"/>
                <w:sz w:val="21"/>
                <w:szCs w:val="21"/>
                <w:highlight w:val="none"/>
                <w:lang w:val="en-US" w:eastAsia="zh-CN" w:bidi="ar-SA"/>
              </w:rPr>
              <w:tab/>
            </w:r>
            <w:r>
              <w:rPr>
                <w:rFonts w:hint="default" w:ascii="Times New Roman" w:hAnsi="Times New Roman" w:eastAsia="宋体" w:cs="Times New Roman"/>
                <w:color w:val="auto"/>
                <w:kern w:val="0"/>
                <w:sz w:val="21"/>
                <w:szCs w:val="21"/>
                <w:highlight w:val="none"/>
                <w:lang w:val="en-US" w:eastAsia="zh-CN" w:bidi="ar-SA"/>
              </w:rPr>
              <w:t>）</w:t>
            </w:r>
          </w:p>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影响程度（</w:t>
            </w:r>
            <w:r>
              <w:rPr>
                <w:rFonts w:hint="default" w:ascii="Times New Roman" w:hAnsi="Times New Roman" w:eastAsia="宋体" w:cs="Times New Roman"/>
                <w:color w:val="auto"/>
                <w:kern w:val="0"/>
                <w:sz w:val="21"/>
                <w:szCs w:val="21"/>
                <w:highlight w:val="none"/>
                <w:lang w:val="en-US" w:eastAsia="zh-CN" w:bidi="ar-SA"/>
              </w:rPr>
              <w:tab/>
            </w:r>
            <w:r>
              <w:rPr>
                <w:rFonts w:hint="default" w:ascii="Times New Roman" w:hAnsi="Times New Roman" w:eastAsia="宋体" w:cs="Times New Roman"/>
                <w:color w:val="auto"/>
                <w:kern w:val="0"/>
                <w:sz w:val="21"/>
                <w:szCs w:val="21"/>
                <w:highlight w:val="none"/>
                <w:lang w:val="en-US" w:eastAsia="zh-CN" w:bidi="ar-SA"/>
              </w:rPr>
              <w:t>）</w:t>
            </w:r>
          </w:p>
        </w:tc>
        <w:tc>
          <w:tcPr>
            <w:tcW w:w="693"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yellow"/>
                <w:lang w:val="en-US" w:eastAsia="zh-CN" w:bidi="ar-S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246" w:type="pct"/>
            <w:vMerge w:val="continue"/>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p>
        </w:tc>
        <w:tc>
          <w:tcPr>
            <w:tcW w:w="878"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预测结论</w:t>
            </w:r>
          </w:p>
        </w:tc>
        <w:tc>
          <w:tcPr>
            <w:tcW w:w="3181" w:type="pct"/>
            <w:gridSpan w:val="6"/>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达标结论：a）□；b）□；c）□ 不达标结论：a）□；b）□</w:t>
            </w:r>
          </w:p>
        </w:tc>
        <w:tc>
          <w:tcPr>
            <w:tcW w:w="693"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yellow"/>
                <w:lang w:val="en-US" w:eastAsia="zh-CN" w:bidi="ar-S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246" w:type="pct"/>
            <w:vMerge w:val="restar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防治措施</w:t>
            </w:r>
          </w:p>
        </w:tc>
        <w:tc>
          <w:tcPr>
            <w:tcW w:w="878"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防控措施</w:t>
            </w:r>
          </w:p>
        </w:tc>
        <w:tc>
          <w:tcPr>
            <w:tcW w:w="3181" w:type="pct"/>
            <w:gridSpan w:val="6"/>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pacing w:val="-6"/>
                <w:kern w:val="0"/>
                <w:sz w:val="21"/>
                <w:szCs w:val="21"/>
                <w:highlight w:val="none"/>
                <w:lang w:val="en-US" w:eastAsia="zh-CN" w:bidi="ar-SA"/>
              </w:rPr>
              <w:t>土壤环境质量现状保障□；源头控制☑；过程防控☑；其他（）</w:t>
            </w:r>
          </w:p>
        </w:tc>
        <w:tc>
          <w:tcPr>
            <w:tcW w:w="693"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yellow"/>
                <w:lang w:val="en-US" w:eastAsia="zh-CN" w:bidi="ar-S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246" w:type="pct"/>
            <w:vMerge w:val="continue"/>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p>
        </w:tc>
        <w:tc>
          <w:tcPr>
            <w:tcW w:w="878" w:type="pct"/>
            <w:vMerge w:val="restar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跟踪监测</w:t>
            </w:r>
          </w:p>
        </w:tc>
        <w:tc>
          <w:tcPr>
            <w:tcW w:w="1125" w:type="pct"/>
            <w:gridSpan w:val="2"/>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监测点数</w:t>
            </w:r>
          </w:p>
        </w:tc>
        <w:tc>
          <w:tcPr>
            <w:tcW w:w="1027" w:type="pct"/>
            <w:gridSpan w:val="2"/>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监测指标</w:t>
            </w:r>
          </w:p>
        </w:tc>
        <w:tc>
          <w:tcPr>
            <w:tcW w:w="1027" w:type="pct"/>
            <w:gridSpan w:val="2"/>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监测频次</w:t>
            </w:r>
          </w:p>
        </w:tc>
        <w:tc>
          <w:tcPr>
            <w:tcW w:w="693" w:type="pct"/>
            <w:vMerge w:val="restar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yellow"/>
                <w:lang w:val="en-US" w:eastAsia="zh-CN" w:bidi="ar-S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0" w:hRule="atLeast"/>
        </w:trPr>
        <w:tc>
          <w:tcPr>
            <w:tcW w:w="246" w:type="pct"/>
            <w:vMerge w:val="continue"/>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p>
        </w:tc>
        <w:tc>
          <w:tcPr>
            <w:tcW w:w="878" w:type="pct"/>
            <w:vMerge w:val="continue"/>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p>
        </w:tc>
        <w:tc>
          <w:tcPr>
            <w:tcW w:w="1125" w:type="pct"/>
            <w:gridSpan w:val="2"/>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yellow"/>
                <w:lang w:val="en-US" w:eastAsia="zh-CN" w:bidi="ar-SA"/>
              </w:rPr>
            </w:pPr>
          </w:p>
        </w:tc>
        <w:tc>
          <w:tcPr>
            <w:tcW w:w="1027" w:type="pct"/>
            <w:gridSpan w:val="2"/>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yellow"/>
                <w:lang w:val="en-US" w:eastAsia="zh-CN" w:bidi="ar-SA"/>
              </w:rPr>
            </w:pPr>
          </w:p>
        </w:tc>
        <w:tc>
          <w:tcPr>
            <w:tcW w:w="1027" w:type="pct"/>
            <w:gridSpan w:val="2"/>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yellow"/>
                <w:lang w:val="en-US" w:eastAsia="zh-CN" w:bidi="ar-SA"/>
              </w:rPr>
            </w:pPr>
          </w:p>
        </w:tc>
        <w:tc>
          <w:tcPr>
            <w:tcW w:w="693" w:type="pct"/>
            <w:vMerge w:val="continue"/>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yellow"/>
                <w:lang w:val="en-US" w:eastAsia="zh-CN" w:bidi="ar-S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246" w:type="pct"/>
            <w:vMerge w:val="continue"/>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p>
        </w:tc>
        <w:tc>
          <w:tcPr>
            <w:tcW w:w="878"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信息公开指标</w:t>
            </w:r>
          </w:p>
        </w:tc>
        <w:tc>
          <w:tcPr>
            <w:tcW w:w="3181" w:type="pct"/>
            <w:gridSpan w:val="6"/>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yellow"/>
                <w:lang w:val="en-US" w:eastAsia="zh-CN" w:bidi="ar-SA"/>
              </w:rPr>
            </w:pPr>
          </w:p>
        </w:tc>
        <w:tc>
          <w:tcPr>
            <w:tcW w:w="693" w:type="pct"/>
            <w:vMerge w:val="continue"/>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yellow"/>
                <w:lang w:val="en-US" w:eastAsia="zh-CN" w:bidi="ar-S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1124" w:type="pct"/>
            <w:gridSpan w:val="2"/>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评价结论</w:t>
            </w:r>
          </w:p>
        </w:tc>
        <w:tc>
          <w:tcPr>
            <w:tcW w:w="3181" w:type="pct"/>
            <w:gridSpan w:val="6"/>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不会对土壤质量产生明显恶化影响，环境影响很小。</w:t>
            </w:r>
          </w:p>
        </w:tc>
        <w:tc>
          <w:tcPr>
            <w:tcW w:w="693" w:type="pct"/>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78" w:hRule="atLeast"/>
        </w:trPr>
        <w:tc>
          <w:tcPr>
            <w:tcW w:w="5000" w:type="pct"/>
            <w:gridSpan w:val="9"/>
            <w:tcBorders>
              <w:tl2br w:val="nil"/>
              <w:tr2bl w:val="nil"/>
            </w:tcBorders>
            <w:noWrap w:val="0"/>
            <w:vAlign w:val="center"/>
          </w:tcPr>
          <w:p>
            <w:pPr>
              <w:pStyle w:val="55"/>
              <w:pageBreakBefore w:val="0"/>
              <w:wordWrap/>
              <w:bidi w:val="0"/>
              <w:adjustRightInd w:val="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注 1：“□”为勾选项，可√；“（ ）”为内容填写项；“备注”为其他补充内容。注 2：需要分别开展土壤环境影响评级工作的，分别填写自查表。</w:t>
            </w:r>
          </w:p>
        </w:tc>
      </w:tr>
    </w:tbl>
    <w:p>
      <w:pPr>
        <w:pStyle w:val="5"/>
        <w:keepNext/>
        <w:keepLines/>
        <w:pageBreakBefore w:val="0"/>
        <w:widowControl w:val="0"/>
        <w:kinsoku/>
        <w:wordWrap/>
        <w:overflowPunct/>
        <w:topLinePunct w:val="0"/>
        <w:autoSpaceDE/>
        <w:autoSpaceDN/>
        <w:bidi w:val="0"/>
        <w:adjustRightInd w:val="0"/>
        <w:snapToGrid w:val="0"/>
        <w:spacing w:before="157" w:beforeLines="50"/>
        <w:ind w:left="0" w:leftChars="0" w:right="0" w:rightChars="0" w:firstLine="0" w:firstLineChars="0"/>
        <w:textAlignment w:val="auto"/>
        <w:rPr>
          <w:rFonts w:hint="default" w:ascii="Times New Roman" w:hAnsi="Times New Roman" w:cs="Times New Roman"/>
          <w:color w:val="auto"/>
          <w:highlight w:val="none"/>
        </w:rPr>
      </w:pPr>
      <w:bookmarkStart w:id="302" w:name="_Toc22212"/>
      <w:r>
        <w:rPr>
          <w:rFonts w:hint="default" w:ascii="Times New Roman" w:hAnsi="Times New Roman" w:cs="Times New Roman"/>
          <w:color w:val="auto"/>
          <w:highlight w:val="none"/>
        </w:rPr>
        <w:t>生态影响</w:t>
      </w:r>
      <w:bookmarkEnd w:id="298"/>
      <w:bookmarkEnd w:id="299"/>
      <w:r>
        <w:rPr>
          <w:rFonts w:hint="default" w:ascii="Times New Roman" w:hAnsi="Times New Roman" w:cs="Times New Roman"/>
          <w:color w:val="auto"/>
          <w:highlight w:val="none"/>
        </w:rPr>
        <w:t>分析</w:t>
      </w:r>
      <w:bookmarkEnd w:id="300"/>
      <w:bookmarkEnd w:id="301"/>
      <w:bookmarkEnd w:id="302"/>
    </w:p>
    <w:p>
      <w:pPr>
        <w:pStyle w:val="6"/>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303" w:name="_Toc182022402"/>
      <w:bookmarkStart w:id="304" w:name="_Toc202248831"/>
      <w:r>
        <w:rPr>
          <w:rFonts w:hint="default" w:ascii="Times New Roman" w:hAnsi="Times New Roman" w:cs="Times New Roman"/>
          <w:color w:val="auto"/>
          <w:highlight w:val="none"/>
        </w:rPr>
        <w:t>土地利用对生态影响</w:t>
      </w:r>
      <w:bookmarkEnd w:id="303"/>
      <w:bookmarkEnd w:id="304"/>
      <w:r>
        <w:rPr>
          <w:rFonts w:hint="default" w:ascii="Times New Roman" w:hAnsi="Times New Roman" w:cs="Times New Roman"/>
          <w:color w:val="auto"/>
          <w:highlight w:val="none"/>
        </w:rPr>
        <w:t>分析</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本项目土地利用现状为</w:t>
      </w:r>
      <w:r>
        <w:rPr>
          <w:rFonts w:hint="default" w:ascii="Times New Roman" w:hAnsi="Times New Roman" w:cs="Times New Roman"/>
          <w:color w:val="auto"/>
          <w:highlight w:val="none"/>
          <w:lang w:eastAsia="zh-CN"/>
        </w:rPr>
        <w:t>草地</w:t>
      </w:r>
      <w:r>
        <w:rPr>
          <w:rFonts w:hint="default" w:ascii="Times New Roman" w:hAnsi="Times New Roman" w:cs="Times New Roman"/>
          <w:color w:val="auto"/>
          <w:highlight w:val="none"/>
          <w:lang w:val="en-US" w:eastAsia="zh-CN"/>
        </w:rPr>
        <w:t>及裸地</w:t>
      </w:r>
      <w:r>
        <w:rPr>
          <w:rFonts w:hint="default" w:ascii="Times New Roman" w:hAnsi="Times New Roman" w:cs="Times New Roman"/>
          <w:color w:val="auto"/>
          <w:highlight w:val="none"/>
        </w:rPr>
        <w:t>，投产后的</w:t>
      </w:r>
      <w:r>
        <w:rPr>
          <w:rFonts w:hint="eastAsia" w:cs="Times New Roman"/>
          <w:color w:val="auto"/>
          <w:highlight w:val="none"/>
          <w:lang w:val="en-US" w:eastAsia="zh-CN"/>
        </w:rPr>
        <w:t>本项目场</w:t>
      </w:r>
      <w:r>
        <w:rPr>
          <w:rFonts w:hint="default" w:ascii="Times New Roman" w:hAnsi="Times New Roman" w:cs="Times New Roman"/>
          <w:color w:val="auto"/>
          <w:highlight w:val="none"/>
          <w:lang w:eastAsia="zh-CN"/>
        </w:rPr>
        <w:t>地</w:t>
      </w:r>
      <w:r>
        <w:rPr>
          <w:rFonts w:hint="default" w:ascii="Times New Roman" w:hAnsi="Times New Roman" w:cs="Times New Roman"/>
          <w:color w:val="auto"/>
          <w:highlight w:val="none"/>
        </w:rPr>
        <w:t>部分建成混凝土地面，本项目的实施可以提高土地利用率和生产力，</w:t>
      </w:r>
      <w:r>
        <w:rPr>
          <w:rFonts w:hint="default" w:ascii="Times New Roman" w:hAnsi="Times New Roman" w:eastAsia="宋体" w:cs="Times New Roman"/>
          <w:color w:val="auto"/>
          <w:sz w:val="24"/>
          <w:szCs w:val="24"/>
          <w:highlight w:val="none"/>
        </w:rPr>
        <w:t>部分地段釆取种植绿化树木等措施进行</w:t>
      </w:r>
      <w:r>
        <w:rPr>
          <w:rFonts w:hint="default" w:ascii="Times New Roman" w:hAnsi="Times New Roman" w:eastAsia="宋体" w:cs="Times New Roman"/>
          <w:color w:val="auto"/>
          <w:sz w:val="24"/>
          <w:szCs w:val="24"/>
          <w:highlight w:val="none"/>
          <w:lang w:eastAsia="zh-CN"/>
        </w:rPr>
        <w:t>场区</w:t>
      </w:r>
      <w:r>
        <w:rPr>
          <w:rFonts w:hint="default" w:ascii="Times New Roman" w:hAnsi="Times New Roman" w:eastAsia="宋体" w:cs="Times New Roman"/>
          <w:color w:val="auto"/>
          <w:sz w:val="24"/>
          <w:szCs w:val="24"/>
          <w:highlight w:val="none"/>
        </w:rPr>
        <w:t>绿化</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cs="Times New Roman"/>
          <w:color w:val="auto"/>
          <w:highlight w:val="none"/>
        </w:rPr>
        <w:t>绿化种植可以起到降噪降恶臭的环境功能，</w:t>
      </w:r>
      <w:r>
        <w:rPr>
          <w:rFonts w:hint="eastAsia"/>
          <w:color w:val="auto"/>
          <w:lang w:val="en-US" w:eastAsia="zh-CN"/>
        </w:rPr>
        <w:t>且</w:t>
      </w:r>
      <w:r>
        <w:rPr>
          <w:rFonts w:hint="default" w:ascii="Times New Roman" w:hAnsi="Times New Roman" w:cs="Times New Roman"/>
          <w:color w:val="auto"/>
          <w:highlight w:val="none"/>
        </w:rPr>
        <w:t>有利于水土保持，减少土壤侵蚀。</w:t>
      </w:r>
    </w:p>
    <w:bookmarkEnd w:id="244"/>
    <w:bookmarkEnd w:id="245"/>
    <w:p>
      <w:pPr>
        <w:pStyle w:val="6"/>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305" w:name="_Toc263850729"/>
      <w:r>
        <w:rPr>
          <w:rFonts w:hint="default" w:ascii="Times New Roman" w:hAnsi="Times New Roman" w:cs="Times New Roman"/>
          <w:color w:val="auto"/>
          <w:highlight w:val="none"/>
        </w:rPr>
        <w:t>对动、植物的影响分析</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在施工过程中，占地范围内所有植被都被去除，地表植被就遭到了短期破坏，但由于受破坏的植被类型均为常见类型，且所破坏的植物种类亦为评价区内的常见种类或广布种，无国家重点保护的珍稀濒危植物和野生植物。因此，本项目的建设对植物区系、植被类型的影响不大，不会导致区域内现有植物种类和类型的消失灭绝。本项目建成后部分表面地表硬化，减少了水土流失。项目区及其可能影响范围内，野生动物的种类和数量非常有限，常见麻雀、喜鹊等鸟类、小家鼠等活动</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无国家重点保护的珍稀濒危</w:t>
      </w:r>
      <w:r>
        <w:rPr>
          <w:rFonts w:hint="default" w:ascii="Times New Roman" w:hAnsi="Times New Roman" w:cs="Times New Roman"/>
          <w:color w:val="auto"/>
          <w:highlight w:val="none"/>
          <w:lang w:val="en-US" w:eastAsia="zh-CN"/>
        </w:rPr>
        <w:t>动物</w:t>
      </w:r>
      <w:r>
        <w:rPr>
          <w:rFonts w:hint="default" w:ascii="Times New Roman" w:hAnsi="Times New Roman" w:cs="Times New Roman"/>
          <w:color w:val="auto"/>
          <w:highlight w:val="none"/>
        </w:rPr>
        <w:t>和野生</w:t>
      </w:r>
      <w:r>
        <w:rPr>
          <w:rFonts w:hint="default" w:ascii="Times New Roman" w:hAnsi="Times New Roman" w:cs="Times New Roman"/>
          <w:color w:val="auto"/>
          <w:highlight w:val="none"/>
          <w:lang w:val="en-US" w:eastAsia="zh-CN"/>
        </w:rPr>
        <w:t>动物</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本项目为畜禽养殖，饲养的</w:t>
      </w:r>
      <w:r>
        <w:rPr>
          <w:rFonts w:hint="default" w:ascii="Times New Roman" w:hAnsi="Times New Roman" w:eastAsia="宋体" w:cs="Times New Roman"/>
          <w:color w:val="auto"/>
          <w:highlight w:val="none"/>
          <w:lang w:val="en-US" w:eastAsia="zh-CN"/>
        </w:rPr>
        <w:t>牛为常见家畜，不对当地生物多样性产生影响。</w:t>
      </w:r>
    </w:p>
    <w:p>
      <w:pPr>
        <w:pStyle w:val="6"/>
        <w:pageBreakBefore w:val="0"/>
        <w:wordWrap/>
        <w:bidi w:val="0"/>
        <w:adjustRightInd w:val="0"/>
        <w:ind w:left="0" w:leftChars="0"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水土流失影响分析</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本项目建成后随着道路硬化、绿化可有效防止水土流失，运营期不会加重水土流失情况。</w:t>
      </w:r>
    </w:p>
    <w:p>
      <w:pPr>
        <w:pStyle w:val="6"/>
        <w:pageBreakBefore w:val="0"/>
        <w:wordWrap/>
        <w:bidi w:val="0"/>
        <w:adjustRightInd w:val="0"/>
        <w:ind w:left="0" w:leftChars="0"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生态</w:t>
      </w:r>
      <w:r>
        <w:rPr>
          <w:rFonts w:hint="default" w:ascii="Times New Roman" w:hAnsi="Times New Roman" w:cs="Times New Roman"/>
          <w:color w:val="auto"/>
          <w:highlight w:val="none"/>
          <w:lang w:val="en-US" w:eastAsia="zh-CN"/>
        </w:rPr>
        <w:t>保护措施</w:t>
      </w:r>
    </w:p>
    <w:p>
      <w:pPr>
        <w:pageBreakBefore w:val="0"/>
        <w:wordWrap/>
        <w:bidi w:val="0"/>
        <w:adjustRightInd w:val="0"/>
        <w:spacing w:line="360" w:lineRule="auto"/>
        <w:ind w:left="0" w:leftChars="0" w:right="0" w:rightChars="0" w:firstLine="480"/>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本项目建设对评价区的生态环境不可避免地产生影响，项目建设区域</w:t>
      </w:r>
      <w:r>
        <w:rPr>
          <w:rFonts w:hint="default" w:ascii="Times New Roman" w:hAnsi="Times New Roman" w:cs="Times New Roman"/>
          <w:color w:val="auto"/>
          <w:highlight w:val="none"/>
        </w:rPr>
        <w:t>现状为</w:t>
      </w:r>
      <w:r>
        <w:rPr>
          <w:rFonts w:hint="default" w:ascii="Times New Roman" w:hAnsi="Times New Roman" w:cs="Times New Roman"/>
          <w:color w:val="auto"/>
          <w:highlight w:val="none"/>
          <w:lang w:eastAsia="zh-CN"/>
        </w:rPr>
        <w:t>草地</w:t>
      </w:r>
      <w:r>
        <w:rPr>
          <w:rFonts w:hint="default" w:ascii="Times New Roman" w:hAnsi="Times New Roman" w:cs="Times New Roman"/>
          <w:color w:val="auto"/>
          <w:highlight w:val="none"/>
          <w:lang w:val="en-US" w:eastAsia="zh-CN"/>
        </w:rPr>
        <w:t>及裸地</w:t>
      </w:r>
      <w:r>
        <w:rPr>
          <w:rFonts w:hint="default" w:ascii="Times New Roman" w:hAnsi="Times New Roman" w:eastAsia="宋体" w:cs="Times New Roman"/>
          <w:color w:val="auto"/>
          <w:sz w:val="24"/>
          <w:szCs w:val="24"/>
          <w:highlight w:val="none"/>
        </w:rPr>
        <w:t>，生产能力较低，建设区土地功能由于</w:t>
      </w:r>
      <w:r>
        <w:rPr>
          <w:rFonts w:hint="default" w:ascii="Times New Roman" w:hAnsi="Times New Roman" w:cs="Times New Roman"/>
          <w:color w:val="auto"/>
          <w:sz w:val="24"/>
          <w:szCs w:val="24"/>
          <w:highlight w:val="none"/>
          <w:lang w:val="en-US" w:eastAsia="zh-CN"/>
        </w:rPr>
        <w:t>牛舍</w:t>
      </w:r>
      <w:r>
        <w:rPr>
          <w:rFonts w:hint="default" w:ascii="Times New Roman" w:hAnsi="Times New Roman" w:eastAsia="宋体" w:cs="Times New Roman"/>
          <w:color w:val="auto"/>
          <w:sz w:val="24"/>
          <w:szCs w:val="24"/>
          <w:highlight w:val="none"/>
        </w:rPr>
        <w:t>、青贮窖、道路等的建设而永久性地发生变化，</w:t>
      </w:r>
      <w:r>
        <w:rPr>
          <w:rFonts w:hint="default" w:ascii="Times New Roman" w:hAnsi="Times New Roman" w:cs="Times New Roman"/>
          <w:color w:val="auto"/>
          <w:sz w:val="24"/>
          <w:szCs w:val="24"/>
          <w:highlight w:val="none"/>
          <w:lang w:val="en-US" w:eastAsia="zh-CN"/>
        </w:rPr>
        <w:t>本项目采取措施如下：</w:t>
      </w:r>
    </w:p>
    <w:p>
      <w:pPr>
        <w:pageBreakBefore w:val="0"/>
        <w:wordWrap/>
        <w:bidi w:val="0"/>
        <w:adjustRightInd w:val="0"/>
        <w:spacing w:line="360" w:lineRule="auto"/>
        <w:ind w:left="0" w:leftChars="0" w:right="0" w:rightChars="0"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（1）避让措施：在满足设计和施工要求的前提下，对项目区选址及占地避让生态敏感区，优先采用生态友好的工程建设技术。</w:t>
      </w:r>
    </w:p>
    <w:p>
      <w:pPr>
        <w:pageBreakBefore w:val="0"/>
        <w:wordWrap/>
        <w:bidi w:val="0"/>
        <w:adjustRightInd w:val="0"/>
        <w:spacing w:line="360" w:lineRule="auto"/>
        <w:ind w:left="0" w:leftChars="0" w:right="0" w:rightChars="0"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减缓措施：严格遵守环境保护规章制度，运输车辆在规定路线范围内行使，禁止乱碾乱轧，最大程度的减缓对地表稳定结皮的破坏。施工过程中，采取绿色施工工艺，减少地表开挖，减少对脆弱生态的扰动。严格控制施工范围，施工过程中要做到随挖、随运、随铺、随压，不留疏松地面，提高施工效率，尽可能缩短施工工期。尽量减少对动植物的伤害和生境占用。提高施工效率，缩短施工时间，尽量减少对周边环境的影响。</w:t>
      </w:r>
    </w:p>
    <w:p>
      <w:pPr>
        <w:keepNext w:val="0"/>
        <w:keepLines w:val="0"/>
        <w:widowControl/>
        <w:suppressLineNumbers w:val="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w:t>
      </w:r>
      <w:r>
        <w:rPr>
          <w:rFonts w:hint="eastAsia"/>
          <w:color w:val="auto"/>
          <w:lang w:val="en-US" w:eastAsia="zh-CN"/>
        </w:rPr>
        <w:t>修复</w:t>
      </w:r>
      <w:r>
        <w:rPr>
          <w:rFonts w:hint="default" w:ascii="Times New Roman" w:hAnsi="Times New Roman" w:eastAsia="宋体" w:cs="Times New Roman"/>
          <w:color w:val="auto"/>
          <w:sz w:val="24"/>
          <w:szCs w:val="24"/>
          <w:highlight w:val="none"/>
          <w:lang w:val="en-US" w:eastAsia="zh-CN"/>
        </w:rPr>
        <w:t>措施：施工期固体废物全部妥善处置，禁止现场遗留，项目区</w:t>
      </w:r>
      <w:r>
        <w:rPr>
          <w:rFonts w:hint="default" w:ascii="Times New Roman" w:hAnsi="Times New Roman" w:cs="Times New Roman"/>
          <w:color w:val="auto"/>
          <w:sz w:val="24"/>
          <w:szCs w:val="24"/>
          <w:highlight w:val="none"/>
          <w:lang w:val="en-US" w:eastAsia="zh-CN"/>
        </w:rPr>
        <w:t>土地平整、道路硬化</w:t>
      </w:r>
      <w:r>
        <w:rPr>
          <w:rFonts w:hint="default" w:ascii="Times New Roman" w:hAnsi="Times New Roman" w:eastAsia="宋体" w:cs="Times New Roman"/>
          <w:color w:val="auto"/>
          <w:sz w:val="24"/>
          <w:szCs w:val="24"/>
          <w:highlight w:val="none"/>
          <w:lang w:val="en-US" w:eastAsia="zh-CN"/>
        </w:rPr>
        <w:t>。项目区内绿化</w:t>
      </w:r>
      <w:r>
        <w:rPr>
          <w:rFonts w:hint="eastAsia" w:ascii="Times New Roman" w:hAnsi="Times New Roman" w:eastAsia="宋体" w:cs="Times New Roman"/>
          <w:color w:val="auto"/>
          <w:sz w:val="24"/>
          <w:szCs w:val="24"/>
          <w:highlight w:val="none"/>
          <w:lang w:val="en-US" w:eastAsia="zh-CN"/>
        </w:rPr>
        <w:t>，优先使用原生表土和选用乡土物种。</w:t>
      </w:r>
      <w:r>
        <w:rPr>
          <w:rFonts w:hint="default" w:ascii="Times New Roman" w:hAnsi="Times New Roman" w:eastAsia="宋体" w:cs="Times New Roman"/>
          <w:color w:val="auto"/>
          <w:sz w:val="24"/>
          <w:szCs w:val="24"/>
          <w:highlight w:val="none"/>
          <w:lang w:val="en-US" w:eastAsia="zh-CN"/>
        </w:rPr>
        <w:t xml:space="preserve"> </w:t>
      </w:r>
    </w:p>
    <w:p>
      <w:pPr>
        <w:pageBreakBefore w:val="0"/>
        <w:wordWrap/>
        <w:bidi w:val="0"/>
        <w:adjustRightInd w:val="0"/>
        <w:spacing w:line="360" w:lineRule="auto"/>
        <w:ind w:left="0" w:leftChars="0" w:right="0" w:rightChars="0"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（4）补偿措施：</w:t>
      </w:r>
      <w:r>
        <w:rPr>
          <w:rFonts w:hint="eastAsia" w:cs="Times New Roman"/>
          <w:color w:val="auto"/>
          <w:sz w:val="24"/>
          <w:szCs w:val="24"/>
          <w:highlight w:val="none"/>
          <w:lang w:val="en-US" w:eastAsia="zh-CN"/>
        </w:rPr>
        <w:t>支付</w:t>
      </w:r>
      <w:r>
        <w:rPr>
          <w:rFonts w:hint="eastAsia" w:cs="Times New Roman"/>
          <w:color w:val="auto"/>
          <w:sz w:val="24"/>
          <w:szCs w:val="24"/>
          <w:highlight w:val="none"/>
          <w:lang w:eastAsia="zh-CN"/>
        </w:rPr>
        <w:t>草场占用</w:t>
      </w:r>
      <w:r>
        <w:rPr>
          <w:rFonts w:hint="default" w:ascii="Times New Roman" w:hAnsi="Times New Roman" w:eastAsia="宋体" w:cs="Times New Roman"/>
          <w:color w:val="auto"/>
          <w:sz w:val="24"/>
          <w:szCs w:val="24"/>
          <w:highlight w:val="none"/>
          <w:lang w:val="en-US" w:eastAsia="zh-CN"/>
        </w:rPr>
        <w:t>补偿。</w:t>
      </w:r>
    </w:p>
    <w:p>
      <w:pPr>
        <w:pageBreakBefore w:val="0"/>
        <w:wordWrap/>
        <w:bidi w:val="0"/>
        <w:adjustRightInd w:val="0"/>
        <w:spacing w:line="360" w:lineRule="auto"/>
        <w:ind w:left="0" w:leftChars="0" w:right="0" w:rightChars="0"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（5）管理措施</w:t>
      </w:r>
    </w:p>
    <w:p>
      <w:pPr>
        <w:pageBreakBefore w:val="0"/>
        <w:wordWrap/>
        <w:bidi w:val="0"/>
        <w:adjustRightInd w:val="0"/>
        <w:spacing w:line="360" w:lineRule="auto"/>
        <w:ind w:left="0" w:leftChars="0" w:right="0" w:rightChars="0"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①严格遵守环境保护规章制度，严格划定车辆行驶路线及临时道路开拓路线，禁止乱碾乱轧；严格规定各类工作人员的活动范围，最大限度减少对植物生存环境的踩踏破坏和对野生动物栖息地的侵扰。</w:t>
      </w:r>
    </w:p>
    <w:p>
      <w:pPr>
        <w:pageBreakBefore w:val="0"/>
        <w:wordWrap/>
        <w:bidi w:val="0"/>
        <w:adjustRightInd w:val="0"/>
        <w:spacing w:line="360" w:lineRule="auto"/>
        <w:ind w:left="0" w:leftChars="0" w:right="0" w:rightChars="0"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②加强环境保护宣传工作，提高环保意识，特别是注意对野生动物和自然植被的保护。严禁在施工场地外砍伐植被。</w:t>
      </w:r>
    </w:p>
    <w:p>
      <w:pPr>
        <w:pageBreakBefore w:val="0"/>
        <w:wordWrap/>
        <w:bidi w:val="0"/>
        <w:adjustRightInd w:val="0"/>
        <w:spacing w:line="360" w:lineRule="auto"/>
        <w:ind w:left="0" w:leftChars="0" w:right="0" w:rightChars="0"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③加强对大气质量的保护力度，运输易飞扬的物料时用篷布覆盖严密。配备洒水车，对施工现场和运输道路经常进行洒水湿润，减少施工扬尘。</w:t>
      </w:r>
    </w:p>
    <w:p>
      <w:pPr>
        <w:pStyle w:val="6"/>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306" w:name="_Toc17138"/>
      <w:r>
        <w:rPr>
          <w:rFonts w:hint="default" w:ascii="Times New Roman" w:hAnsi="Times New Roman" w:cs="Times New Roman"/>
          <w:color w:val="auto"/>
          <w:highlight w:val="none"/>
        </w:rPr>
        <w:t>小结</w:t>
      </w:r>
      <w:bookmarkEnd w:id="306"/>
    </w:p>
    <w:p>
      <w:pPr>
        <w:pageBreakBefore w:val="0"/>
        <w:wordWrap/>
        <w:bidi w:val="0"/>
        <w:adjustRightInd w:val="0"/>
        <w:spacing w:line="360" w:lineRule="auto"/>
        <w:ind w:left="0" w:leftChars="0" w:right="0" w:rightChars="0"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根据项目占地、排污等生态影响特征，结合生态</w:t>
      </w:r>
      <w:r>
        <w:rPr>
          <w:rFonts w:hint="default" w:ascii="Times New Roman" w:hAnsi="Times New Roman" w:cs="Times New Roman"/>
          <w:color w:val="auto"/>
          <w:highlight w:val="none"/>
          <w:lang w:eastAsia="zh-CN"/>
        </w:rPr>
        <w:t>影响</w:t>
      </w:r>
      <w:r>
        <w:rPr>
          <w:rFonts w:hint="default" w:ascii="Times New Roman" w:hAnsi="Times New Roman" w:eastAsia="宋体" w:cs="Times New Roman"/>
          <w:color w:val="auto"/>
          <w:sz w:val="24"/>
          <w:szCs w:val="24"/>
          <w:highlight w:val="none"/>
        </w:rPr>
        <w:t>评价导则的要求，本项目重点是占地对生态的影响。根据调查，项目区现状植被生长情况较差，项目实施后将对项目区部分地面进行硬化</w:t>
      </w:r>
      <w:r>
        <w:rPr>
          <w:rFonts w:hint="default" w:ascii="Times New Roman" w:hAnsi="Times New Roman" w:cs="Times New Roman"/>
          <w:color w:val="auto"/>
          <w:sz w:val="24"/>
          <w:szCs w:val="24"/>
          <w:highlight w:val="none"/>
          <w:lang w:val="en-US" w:eastAsia="zh-CN"/>
        </w:rPr>
        <w:t>及项目区内绿化</w:t>
      </w:r>
      <w:r>
        <w:rPr>
          <w:rFonts w:hint="default" w:ascii="Times New Roman" w:hAnsi="Times New Roman" w:cs="Times New Roman"/>
          <w:color w:val="auto"/>
        </w:rPr>
        <w:t>可有效</w:t>
      </w:r>
      <w:r>
        <w:rPr>
          <w:rFonts w:hint="eastAsia" w:cs="Times New Roman"/>
          <w:color w:val="auto"/>
          <w:lang w:val="en-US" w:eastAsia="zh-CN"/>
        </w:rPr>
        <w:t>减少</w:t>
      </w:r>
      <w:r>
        <w:rPr>
          <w:rFonts w:hint="default" w:ascii="Times New Roman" w:hAnsi="Times New Roman" w:cs="Times New Roman"/>
          <w:color w:val="auto"/>
        </w:rPr>
        <w:t>水土流失</w:t>
      </w:r>
      <w:r>
        <w:rPr>
          <w:rFonts w:hint="default" w:ascii="Times New Roman" w:hAnsi="Times New Roman" w:cs="Times New Roman"/>
          <w:color w:val="auto"/>
          <w:lang w:eastAsia="zh-CN"/>
        </w:rPr>
        <w:t>；</w:t>
      </w:r>
      <w:r>
        <w:rPr>
          <w:rFonts w:hint="eastAsia" w:cs="Times New Roman"/>
          <w:color w:val="auto"/>
          <w:lang w:val="en-US" w:eastAsia="zh-CN"/>
        </w:rPr>
        <w:t>评价</w:t>
      </w:r>
      <w:r>
        <w:rPr>
          <w:rFonts w:hint="default" w:ascii="Times New Roman" w:hAnsi="Times New Roman" w:cs="Times New Roman"/>
          <w:color w:val="auto"/>
        </w:rPr>
        <w:t>范围内的植被和动物均为当地常见和广布种，虽然受到运营期人为扰动的影响，但不会使整个区域动植物群落的种类组成发生明显变化，也不会造成某一动植物物种的消失</w:t>
      </w:r>
      <w:r>
        <w:rPr>
          <w:rFonts w:hint="eastAsia" w:cs="Times New Roman"/>
          <w:color w:val="auto"/>
          <w:lang w:eastAsia="zh-CN"/>
        </w:rPr>
        <w:t>。</w:t>
      </w:r>
      <w:r>
        <w:rPr>
          <w:rFonts w:hint="default" w:ascii="Times New Roman" w:hAnsi="Times New Roman" w:eastAsia="宋体" w:cs="Times New Roman"/>
          <w:color w:val="auto"/>
          <w:sz w:val="24"/>
          <w:szCs w:val="24"/>
          <w:highlight w:val="none"/>
        </w:rPr>
        <w:t>从总体上看，工程建设对生态的影响较小，要求各污染物（废水、废气、固废）按照</w:t>
      </w:r>
      <w:r>
        <w:rPr>
          <w:rFonts w:hint="eastAsia" w:cs="Times New Roman"/>
          <w:color w:val="auto"/>
          <w:sz w:val="24"/>
          <w:szCs w:val="24"/>
          <w:highlight w:val="none"/>
          <w:lang w:val="en-US" w:eastAsia="zh-CN"/>
        </w:rPr>
        <w:t>相对应的</w:t>
      </w:r>
      <w:r>
        <w:rPr>
          <w:rFonts w:hint="default" w:ascii="Times New Roman" w:hAnsi="Times New Roman" w:eastAsia="宋体" w:cs="Times New Roman"/>
          <w:color w:val="auto"/>
          <w:sz w:val="24"/>
          <w:szCs w:val="24"/>
          <w:highlight w:val="none"/>
        </w:rPr>
        <w:t>处理措施严格</w:t>
      </w:r>
      <w:r>
        <w:rPr>
          <w:rFonts w:hint="eastAsia" w:cs="Times New Roman"/>
          <w:color w:val="auto"/>
          <w:sz w:val="24"/>
          <w:szCs w:val="24"/>
          <w:highlight w:val="none"/>
          <w:lang w:val="en-US" w:eastAsia="zh-CN"/>
        </w:rPr>
        <w:t>实施</w:t>
      </w:r>
      <w:r>
        <w:rPr>
          <w:rFonts w:hint="default" w:ascii="Times New Roman" w:hAnsi="Times New Roman" w:eastAsia="宋体" w:cs="Times New Roman"/>
          <w:color w:val="auto"/>
          <w:sz w:val="24"/>
          <w:szCs w:val="24"/>
          <w:highlight w:val="none"/>
        </w:rPr>
        <w:t>，这样才能保证生态环境不会受到严重破坏。</w:t>
      </w:r>
    </w:p>
    <w:p>
      <w:pPr>
        <w:pStyle w:val="6"/>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生态影响评价自查表</w:t>
      </w:r>
    </w:p>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eastAsia="zh-CN"/>
        </w:rPr>
        <w:t>表</w:t>
      </w:r>
      <w:r>
        <w:rPr>
          <w:rFonts w:hint="default" w:ascii="Times New Roman" w:hAnsi="Times New Roman" w:eastAsia="宋体" w:cs="Times New Roman"/>
          <w:b/>
          <w:bCs/>
          <w:color w:val="auto"/>
          <w:sz w:val="21"/>
          <w:szCs w:val="21"/>
          <w:highlight w:val="none"/>
          <w:lang w:val="en-US" w:eastAsia="zh-CN"/>
        </w:rPr>
        <w:t>5.2-2</w:t>
      </w:r>
      <w:r>
        <w:rPr>
          <w:rFonts w:hint="eastAsia" w:cs="Times New Roman"/>
          <w:b/>
          <w:bCs/>
          <w:color w:val="auto"/>
          <w:sz w:val="21"/>
          <w:szCs w:val="21"/>
          <w:highlight w:val="none"/>
          <w:lang w:val="en-US" w:eastAsia="zh-CN"/>
        </w:rPr>
        <w:t>6</w:t>
      </w:r>
      <w:r>
        <w:rPr>
          <w:rFonts w:hint="default" w:ascii="Times New Roman" w:hAnsi="Times New Roman" w:eastAsia="宋体" w:cs="Times New Roman"/>
          <w:b/>
          <w:bCs/>
          <w:color w:val="auto"/>
          <w:sz w:val="21"/>
          <w:szCs w:val="21"/>
          <w:highlight w:val="none"/>
          <w:lang w:val="en-US" w:eastAsia="zh-CN"/>
        </w:rPr>
        <w:t xml:space="preserve">     生态影响评价自查表</w:t>
      </w:r>
    </w:p>
    <w:tbl>
      <w:tblPr>
        <w:tblStyle w:val="3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000000" w:sz="6" w:space="0"/>
        </w:tblBorders>
        <w:tblLayout w:type="autofit"/>
        <w:tblCellMar>
          <w:top w:w="0" w:type="dxa"/>
          <w:left w:w="0" w:type="dxa"/>
          <w:bottom w:w="0" w:type="dxa"/>
          <w:right w:w="0" w:type="dxa"/>
        </w:tblCellMar>
      </w:tblPr>
      <w:tblGrid>
        <w:gridCol w:w="1120"/>
        <w:gridCol w:w="1151"/>
        <w:gridCol w:w="6304"/>
      </w:tblGrid>
      <w:tr>
        <w:tblPrEx>
          <w:tblBorders>
            <w:top w:val="single" w:color="auto" w:sz="12" w:space="0"/>
            <w:left w:val="none" w:color="auto" w:sz="0" w:space="0"/>
            <w:bottom w:val="single" w:color="auto" w:sz="12" w:space="0"/>
            <w:right w:val="none" w:color="auto" w:sz="0" w:space="0"/>
            <w:insideH w:val="single" w:color="auto" w:sz="4" w:space="0"/>
            <w:insideV w:val="single" w:color="000000" w:sz="6" w:space="0"/>
          </w:tblBorders>
          <w:tblCellMar>
            <w:top w:w="0" w:type="dxa"/>
            <w:left w:w="0" w:type="dxa"/>
            <w:bottom w:w="0" w:type="dxa"/>
            <w:right w:w="0" w:type="dxa"/>
          </w:tblCellMar>
        </w:tblPrEx>
        <w:trPr>
          <w:trHeight w:val="260" w:hRule="atLeast"/>
          <w:tblHeader/>
          <w:jc w:val="center"/>
        </w:trPr>
        <w:tc>
          <w:tcPr>
            <w:tcW w:w="1324" w:type="pct"/>
            <w:gridSpan w:val="2"/>
            <w:tcBorders>
              <w:tl2br w:val="nil"/>
              <w:tr2bl w:val="nil"/>
            </w:tcBorders>
            <w:noWrap w:val="0"/>
            <w:vAlign w:val="center"/>
          </w:tcPr>
          <w:p>
            <w:pPr>
              <w:pStyle w:val="98"/>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工作内容</w:t>
            </w:r>
          </w:p>
        </w:tc>
        <w:tc>
          <w:tcPr>
            <w:tcW w:w="3675" w:type="pct"/>
            <w:tcBorders>
              <w:tl2br w:val="nil"/>
              <w:tr2bl w:val="nil"/>
            </w:tcBorders>
            <w:noWrap w:val="0"/>
            <w:vAlign w:val="center"/>
          </w:tcPr>
          <w:p>
            <w:pPr>
              <w:pStyle w:val="98"/>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自查项目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6" w:space="0"/>
          </w:tblBorders>
          <w:tblCellMar>
            <w:top w:w="0" w:type="dxa"/>
            <w:left w:w="0" w:type="dxa"/>
            <w:bottom w:w="0" w:type="dxa"/>
            <w:right w:w="0" w:type="dxa"/>
          </w:tblCellMar>
        </w:tblPrEx>
        <w:trPr>
          <w:trHeight w:val="402" w:hRule="atLeast"/>
          <w:jc w:val="center"/>
        </w:trPr>
        <w:tc>
          <w:tcPr>
            <w:tcW w:w="653" w:type="pct"/>
            <w:vMerge w:val="restart"/>
            <w:tcBorders>
              <w:tl2br w:val="nil"/>
              <w:tr2bl w:val="nil"/>
            </w:tcBorders>
            <w:noWrap w:val="0"/>
            <w:vAlign w:val="center"/>
          </w:tcPr>
          <w:p>
            <w:pPr>
              <w:pStyle w:val="98"/>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生态影</w:t>
            </w:r>
          </w:p>
          <w:p>
            <w:pPr>
              <w:pStyle w:val="98"/>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响识别</w:t>
            </w:r>
          </w:p>
        </w:tc>
        <w:tc>
          <w:tcPr>
            <w:tcW w:w="671" w:type="pct"/>
            <w:tcBorders>
              <w:tl2br w:val="nil"/>
              <w:tr2bl w:val="nil"/>
            </w:tcBorders>
            <w:noWrap w:val="0"/>
            <w:vAlign w:val="center"/>
          </w:tcPr>
          <w:p>
            <w:pPr>
              <w:pStyle w:val="98"/>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生态保护</w:t>
            </w:r>
          </w:p>
          <w:p>
            <w:pPr>
              <w:pStyle w:val="98"/>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目标</w:t>
            </w:r>
          </w:p>
        </w:tc>
        <w:tc>
          <w:tcPr>
            <w:tcW w:w="3675" w:type="pct"/>
            <w:tcBorders>
              <w:tl2br w:val="nil"/>
              <w:tr2bl w:val="nil"/>
            </w:tcBorders>
            <w:noWrap w:val="0"/>
            <w:vAlign w:val="center"/>
          </w:tcPr>
          <w:p>
            <w:pPr>
              <w:pStyle w:val="98"/>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重要物种</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；国家公园</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；自然保护区</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；自然公园</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；世界自然遗产</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；生态保护红线</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 xml:space="preserve"> 重要生境</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；其他具有重要生态功能、对保护生物多样性具有重要意义的区域</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；其他</w:t>
            </w:r>
            <w:r>
              <w:rPr>
                <w:rFonts w:hint="default" w:ascii="Times New Roman" w:hAnsi="Times New Roman" w:eastAsia="宋体" w:cs="Times New Roman"/>
                <w:color w:val="auto"/>
                <w:sz w:val="21"/>
                <w:szCs w:val="21"/>
                <w:highlight w:val="none"/>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6" w:space="0"/>
          </w:tblBorders>
          <w:tblCellMar>
            <w:top w:w="0" w:type="dxa"/>
            <w:left w:w="0" w:type="dxa"/>
            <w:bottom w:w="0" w:type="dxa"/>
            <w:right w:w="0" w:type="dxa"/>
          </w:tblCellMar>
        </w:tblPrEx>
        <w:trPr>
          <w:trHeight w:val="442" w:hRule="atLeast"/>
          <w:jc w:val="center"/>
        </w:trPr>
        <w:tc>
          <w:tcPr>
            <w:tcW w:w="653" w:type="pct"/>
            <w:vMerge w:val="continue"/>
            <w:tcBorders>
              <w:tl2br w:val="nil"/>
              <w:tr2bl w:val="nil"/>
            </w:tcBorders>
            <w:noWrap w:val="0"/>
            <w:vAlign w:val="center"/>
          </w:tcPr>
          <w:p>
            <w:pPr>
              <w:pStyle w:val="98"/>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671" w:type="pct"/>
            <w:tcBorders>
              <w:tl2br w:val="nil"/>
              <w:tr2bl w:val="nil"/>
            </w:tcBorders>
            <w:noWrap w:val="0"/>
            <w:vAlign w:val="center"/>
          </w:tcPr>
          <w:p>
            <w:pPr>
              <w:pStyle w:val="98"/>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影响方式</w:t>
            </w:r>
          </w:p>
        </w:tc>
        <w:tc>
          <w:tcPr>
            <w:tcW w:w="3675" w:type="pct"/>
            <w:tcBorders>
              <w:tl2br w:val="nil"/>
              <w:tr2bl w:val="nil"/>
            </w:tcBorders>
            <w:noWrap w:val="0"/>
            <w:vAlign w:val="center"/>
          </w:tcPr>
          <w:p>
            <w:pPr>
              <w:pStyle w:val="98"/>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工程占用</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 xml:space="preserve">      施工活动干扰</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 xml:space="preserve">     改变环境条件</w:t>
            </w:r>
            <w:r>
              <w:rPr>
                <w:rFonts w:hint="default" w:ascii="Times New Roman" w:hAnsi="Times New Roman" w:eastAsia="宋体" w:cs="Times New Roman"/>
                <w:color w:val="auto"/>
                <w:sz w:val="21"/>
                <w:szCs w:val="21"/>
                <w:highlight w:val="none"/>
              </w:rPr>
              <w:sym w:font="Wingdings 2" w:char="0052"/>
            </w:r>
            <w:r>
              <w:rPr>
                <w:rFonts w:hint="default" w:ascii="Times New Roman" w:hAnsi="Times New Roman" w:eastAsia="宋体" w:cs="Times New Roman"/>
                <w:color w:val="auto"/>
                <w:sz w:val="21"/>
                <w:szCs w:val="21"/>
                <w:highlight w:val="none"/>
                <w:lang w:val="en-US" w:eastAsia="zh-CN"/>
              </w:rPr>
              <w:t xml:space="preserve">    其他</w:t>
            </w:r>
            <w:r>
              <w:rPr>
                <w:rFonts w:hint="default" w:ascii="Times New Roman" w:hAnsi="Times New Roman" w:eastAsia="宋体"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6" w:space="0"/>
          </w:tblBorders>
          <w:tblCellMar>
            <w:top w:w="0" w:type="dxa"/>
            <w:left w:w="0" w:type="dxa"/>
            <w:bottom w:w="0" w:type="dxa"/>
            <w:right w:w="0" w:type="dxa"/>
          </w:tblCellMar>
        </w:tblPrEx>
        <w:trPr>
          <w:trHeight w:val="372" w:hRule="atLeast"/>
          <w:jc w:val="center"/>
        </w:trPr>
        <w:tc>
          <w:tcPr>
            <w:tcW w:w="65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671" w:type="pct"/>
            <w:tcBorders>
              <w:tl2br w:val="nil"/>
              <w:tr2bl w:val="nil"/>
            </w:tcBorders>
            <w:noWrap w:val="0"/>
            <w:vAlign w:val="center"/>
          </w:tcPr>
          <w:p>
            <w:pPr>
              <w:pStyle w:val="98"/>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w:t>
            </w:r>
            <w:r>
              <w:rPr>
                <w:rFonts w:hint="default" w:ascii="Times New Roman" w:hAnsi="Times New Roman" w:eastAsia="宋体" w:cs="Times New Roman"/>
                <w:color w:val="auto"/>
                <w:sz w:val="21"/>
                <w:szCs w:val="21"/>
                <w:highlight w:val="none"/>
                <w:lang w:eastAsia="zh-CN"/>
              </w:rPr>
              <w:t>因子</w:t>
            </w:r>
          </w:p>
        </w:tc>
        <w:tc>
          <w:tcPr>
            <w:tcW w:w="3675" w:type="pct"/>
            <w:tcBorders>
              <w:tl2br w:val="nil"/>
              <w:tr2bl w:val="nil"/>
            </w:tcBorders>
            <w:noWrap w:val="0"/>
            <w:vAlign w:val="center"/>
          </w:tcPr>
          <w:p>
            <w:pPr>
              <w:pStyle w:val="98"/>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物种</w:t>
            </w:r>
            <w:r>
              <w:rPr>
                <w:rFonts w:hint="default" w:ascii="Times New Roman" w:hAnsi="Times New Roman" w:eastAsia="宋体" w:cs="Times New Roman"/>
                <w:color w:val="auto"/>
                <w:sz w:val="21"/>
                <w:szCs w:val="21"/>
                <w:highlight w:val="none"/>
              </w:rPr>
              <w:sym w:font="Wingdings 2" w:char="0052"/>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eastAsia="zh-CN"/>
              </w:rPr>
              <w:t>）</w:t>
            </w:r>
          </w:p>
          <w:p>
            <w:pPr>
              <w:pStyle w:val="98"/>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生境</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    ）</w:t>
            </w:r>
          </w:p>
          <w:p>
            <w:pPr>
              <w:pStyle w:val="98"/>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生物群落</w:t>
            </w:r>
            <w:r>
              <w:rPr>
                <w:rFonts w:hint="default" w:ascii="Times New Roman" w:hAnsi="Times New Roman" w:eastAsia="宋体" w:cs="Times New Roman"/>
                <w:color w:val="auto"/>
                <w:sz w:val="21"/>
                <w:szCs w:val="21"/>
                <w:highlight w:val="none"/>
              </w:rPr>
              <w:sym w:font="Wingdings 2" w:char="0052"/>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eastAsia="zh-CN"/>
              </w:rPr>
              <w:t>）</w:t>
            </w:r>
          </w:p>
          <w:p>
            <w:pPr>
              <w:pStyle w:val="98"/>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生态系统</w:t>
            </w:r>
            <w:r>
              <w:rPr>
                <w:rFonts w:hint="default" w:ascii="Times New Roman" w:hAnsi="Times New Roman" w:eastAsia="宋体" w:cs="Times New Roman"/>
                <w:color w:val="auto"/>
                <w:sz w:val="21"/>
                <w:szCs w:val="21"/>
                <w:highlight w:val="none"/>
              </w:rPr>
              <w:sym w:font="Wingdings 2" w:char="0052"/>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eastAsia="zh-CN"/>
              </w:rPr>
              <w:t>）</w:t>
            </w:r>
          </w:p>
          <w:p>
            <w:pPr>
              <w:pStyle w:val="98"/>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生物多样性</w:t>
            </w:r>
            <w:r>
              <w:rPr>
                <w:rFonts w:hint="default" w:ascii="Times New Roman" w:hAnsi="Times New Roman" w:eastAsia="宋体" w:cs="Times New Roman"/>
                <w:color w:val="auto"/>
                <w:sz w:val="21"/>
                <w:szCs w:val="21"/>
                <w:highlight w:val="none"/>
              </w:rPr>
              <w:sym w:font="Wingdings 2" w:char="0052"/>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eastAsia="zh-CN"/>
              </w:rPr>
              <w:t>）</w:t>
            </w:r>
          </w:p>
          <w:p>
            <w:pPr>
              <w:pStyle w:val="98"/>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生态敏感区</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eastAsia="zh-CN"/>
              </w:rPr>
              <w:t>）</w:t>
            </w:r>
          </w:p>
          <w:p>
            <w:pPr>
              <w:pStyle w:val="98"/>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自然景观</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eastAsia="zh-CN"/>
              </w:rPr>
              <w:t>）</w:t>
            </w:r>
          </w:p>
          <w:p>
            <w:pPr>
              <w:pStyle w:val="98"/>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自然遗迹</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eastAsia="zh-CN"/>
              </w:rPr>
              <w:t>）</w:t>
            </w:r>
          </w:p>
          <w:p>
            <w:pPr>
              <w:pStyle w:val="98"/>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其他</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6" w:space="0"/>
          </w:tblBorders>
          <w:tblCellMar>
            <w:top w:w="0" w:type="dxa"/>
            <w:left w:w="0" w:type="dxa"/>
            <w:bottom w:w="0" w:type="dxa"/>
            <w:right w:w="0" w:type="dxa"/>
          </w:tblCellMar>
        </w:tblPrEx>
        <w:trPr>
          <w:trHeight w:val="271" w:hRule="atLeast"/>
          <w:jc w:val="center"/>
        </w:trPr>
        <w:tc>
          <w:tcPr>
            <w:tcW w:w="1324" w:type="pct"/>
            <w:gridSpan w:val="2"/>
            <w:tcBorders>
              <w:tl2br w:val="nil"/>
              <w:tr2bl w:val="nil"/>
            </w:tcBorders>
            <w:noWrap w:val="0"/>
            <w:vAlign w:val="center"/>
          </w:tcPr>
          <w:p>
            <w:pPr>
              <w:pStyle w:val="98"/>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评价等级</w:t>
            </w:r>
          </w:p>
        </w:tc>
        <w:tc>
          <w:tcPr>
            <w:tcW w:w="3675" w:type="pct"/>
            <w:tcBorders>
              <w:tl2br w:val="nil"/>
              <w:tr2bl w:val="nil"/>
            </w:tcBorders>
            <w:noWrap w:val="0"/>
            <w:vAlign w:val="center"/>
          </w:tcPr>
          <w:p>
            <w:pPr>
              <w:pStyle w:val="98"/>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一级</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 xml:space="preserve">       二级</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 xml:space="preserve">       三级</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 xml:space="preserve">       生态影响简单分析</w:t>
            </w:r>
            <w:r>
              <w:rPr>
                <w:rFonts w:hint="default" w:ascii="Times New Roman" w:hAnsi="Times New Roman" w:eastAsia="宋体"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6" w:space="0"/>
          </w:tblBorders>
          <w:tblCellMar>
            <w:top w:w="0" w:type="dxa"/>
            <w:left w:w="0" w:type="dxa"/>
            <w:bottom w:w="0" w:type="dxa"/>
            <w:right w:w="0" w:type="dxa"/>
          </w:tblCellMar>
        </w:tblPrEx>
        <w:trPr>
          <w:trHeight w:val="175" w:hRule="atLeast"/>
          <w:jc w:val="center"/>
        </w:trPr>
        <w:tc>
          <w:tcPr>
            <w:tcW w:w="1324" w:type="pct"/>
            <w:gridSpan w:val="2"/>
            <w:tcBorders>
              <w:tl2br w:val="nil"/>
              <w:tr2bl w:val="nil"/>
            </w:tcBorders>
            <w:noWrap w:val="0"/>
            <w:vAlign w:val="center"/>
          </w:tcPr>
          <w:p>
            <w:pPr>
              <w:pStyle w:val="98"/>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w:t>
            </w:r>
            <w:r>
              <w:rPr>
                <w:rFonts w:hint="default" w:ascii="Times New Roman" w:hAnsi="Times New Roman" w:eastAsia="宋体" w:cs="Times New Roman"/>
                <w:color w:val="auto"/>
                <w:sz w:val="21"/>
                <w:szCs w:val="21"/>
                <w:highlight w:val="none"/>
                <w:lang w:eastAsia="zh-CN"/>
              </w:rPr>
              <w:t>范围</w:t>
            </w:r>
          </w:p>
        </w:tc>
        <w:tc>
          <w:tcPr>
            <w:tcW w:w="3675" w:type="pct"/>
            <w:tcBorders>
              <w:tl2br w:val="nil"/>
              <w:tr2bl w:val="nil"/>
            </w:tcBorders>
            <w:noWrap w:val="0"/>
            <w:vAlign w:val="center"/>
          </w:tcPr>
          <w:p>
            <w:pPr>
              <w:pStyle w:val="98"/>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陆域面积：（0.</w:t>
            </w:r>
            <w:r>
              <w:rPr>
                <w:rFonts w:hint="default" w:ascii="Times New Roman" w:hAnsi="Times New Roman" w:cs="Times New Roman"/>
                <w:color w:val="auto"/>
                <w:sz w:val="21"/>
                <w:szCs w:val="21"/>
                <w:highlight w:val="none"/>
                <w:lang w:val="en-US" w:eastAsia="zh-CN"/>
              </w:rPr>
              <w:t>667</w:t>
            </w:r>
            <w:r>
              <w:rPr>
                <w:rFonts w:hint="default" w:ascii="Times New Roman" w:hAnsi="Times New Roman" w:eastAsia="宋体" w:cs="Times New Roman"/>
                <w:color w:val="auto"/>
                <w:sz w:val="21"/>
                <w:szCs w:val="21"/>
                <w:highlight w:val="none"/>
                <w:lang w:val="en-US" w:eastAsia="zh-CN"/>
              </w:rPr>
              <w:t>）km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position w:val="1"/>
                <w:sz w:val="21"/>
                <w:szCs w:val="21"/>
                <w:highlight w:val="none"/>
                <w:lang w:val="en-US" w:eastAsia="zh-CN"/>
              </w:rPr>
              <w:t xml:space="preserve">        水域面积：</w:t>
            </w:r>
            <w:r>
              <w:rPr>
                <w:rFonts w:hint="default" w:ascii="Times New Roman" w:hAnsi="Times New Roman" w:eastAsia="宋体" w:cs="Times New Roman"/>
                <w:color w:val="auto"/>
                <w:sz w:val="21"/>
                <w:szCs w:val="21"/>
                <w:highlight w:val="none"/>
                <w:lang w:val="en-US" w:eastAsia="zh-CN"/>
              </w:rPr>
              <w:t>（      ）km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6" w:space="0"/>
          </w:tblBorders>
          <w:tblCellMar>
            <w:top w:w="0" w:type="dxa"/>
            <w:left w:w="0" w:type="dxa"/>
            <w:bottom w:w="0" w:type="dxa"/>
            <w:right w:w="0" w:type="dxa"/>
          </w:tblCellMar>
        </w:tblPrEx>
        <w:trPr>
          <w:trHeight w:val="260" w:hRule="atLeast"/>
          <w:jc w:val="center"/>
        </w:trPr>
        <w:tc>
          <w:tcPr>
            <w:tcW w:w="653" w:type="pct"/>
            <w:vMerge w:val="restart"/>
            <w:tcBorders>
              <w:tl2br w:val="nil"/>
              <w:tr2bl w:val="nil"/>
            </w:tcBorders>
            <w:noWrap w:val="0"/>
            <w:vAlign w:val="center"/>
          </w:tcPr>
          <w:p>
            <w:pPr>
              <w:pStyle w:val="98"/>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生态现状调查与评价</w:t>
            </w:r>
          </w:p>
        </w:tc>
        <w:tc>
          <w:tcPr>
            <w:tcW w:w="671" w:type="pct"/>
            <w:tcBorders>
              <w:tl2br w:val="nil"/>
              <w:tr2bl w:val="nil"/>
            </w:tcBorders>
            <w:noWrap w:val="0"/>
            <w:vAlign w:val="center"/>
          </w:tcPr>
          <w:p>
            <w:pPr>
              <w:pStyle w:val="98"/>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调查方法</w:t>
            </w:r>
          </w:p>
        </w:tc>
        <w:tc>
          <w:tcPr>
            <w:tcW w:w="3675" w:type="pct"/>
            <w:tcBorders>
              <w:tl2br w:val="nil"/>
              <w:tr2bl w:val="nil"/>
            </w:tcBorders>
            <w:noWrap w:val="0"/>
            <w:vAlign w:val="center"/>
          </w:tcPr>
          <w:p>
            <w:pPr>
              <w:pStyle w:val="98"/>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资料收集</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eastAsia="zh-CN"/>
              </w:rPr>
              <w:t>遥感调查</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eastAsia="zh-CN"/>
              </w:rPr>
              <w:t>调查样方、样线</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eastAsia="zh-CN"/>
              </w:rPr>
              <w:t>调查点位、断面口</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p>
          <w:p>
            <w:pPr>
              <w:pStyle w:val="98"/>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专家和公众咨询法</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eastAsia="zh-CN"/>
              </w:rPr>
              <w:t>其他</w:t>
            </w:r>
            <w:r>
              <w:rPr>
                <w:rFonts w:hint="default" w:ascii="Times New Roman" w:hAnsi="Times New Roman" w:eastAsia="宋体"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6" w:space="0"/>
          </w:tblBorders>
          <w:tblCellMar>
            <w:top w:w="0" w:type="dxa"/>
            <w:left w:w="0" w:type="dxa"/>
            <w:bottom w:w="0" w:type="dxa"/>
            <w:right w:w="0" w:type="dxa"/>
          </w:tblCellMar>
        </w:tblPrEx>
        <w:trPr>
          <w:trHeight w:val="258" w:hRule="atLeast"/>
          <w:jc w:val="center"/>
        </w:trPr>
        <w:tc>
          <w:tcPr>
            <w:tcW w:w="65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671" w:type="pct"/>
            <w:tcBorders>
              <w:tl2br w:val="nil"/>
              <w:tr2bl w:val="nil"/>
            </w:tcBorders>
            <w:noWrap w:val="0"/>
            <w:vAlign w:val="center"/>
          </w:tcPr>
          <w:p>
            <w:pPr>
              <w:pStyle w:val="98"/>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调查时间</w:t>
            </w:r>
          </w:p>
        </w:tc>
        <w:tc>
          <w:tcPr>
            <w:tcW w:w="3675" w:type="pct"/>
            <w:tcBorders>
              <w:tl2br w:val="nil"/>
              <w:tr2bl w:val="nil"/>
            </w:tcBorders>
            <w:noWrap w:val="0"/>
            <w:vAlign w:val="center"/>
          </w:tcPr>
          <w:p>
            <w:pPr>
              <w:pStyle w:val="98"/>
              <w:keepNext w:val="0"/>
              <w:keepLines w:val="0"/>
              <w:pageBreakBefore w:val="0"/>
              <w:widowControl w:val="0"/>
              <w:tabs>
                <w:tab w:val="left" w:pos="658"/>
              </w:tabs>
              <w:kinsoku/>
              <w:wordWrap/>
              <w:overflowPunct/>
              <w:topLinePunct w:val="0"/>
              <w:autoSpaceDE w:val="0"/>
              <w:autoSpaceDN w:val="0"/>
              <w:bidi w:val="0"/>
              <w:adjustRightInd w:val="0"/>
              <w:snapToGrid w:val="0"/>
              <w:spacing w:before="0"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春季</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 xml:space="preserve">       夏季</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 xml:space="preserve">      秋季</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 xml:space="preserve">     冬季</w:t>
            </w:r>
            <w:r>
              <w:rPr>
                <w:rFonts w:hint="default" w:ascii="Times New Roman" w:hAnsi="Times New Roman" w:eastAsia="宋体" w:cs="Times New Roman"/>
                <w:color w:val="auto"/>
                <w:sz w:val="21"/>
                <w:szCs w:val="21"/>
                <w:highlight w:val="none"/>
              </w:rPr>
              <w:t>□</w:t>
            </w:r>
          </w:p>
          <w:p>
            <w:pPr>
              <w:pStyle w:val="98"/>
              <w:keepNext w:val="0"/>
              <w:keepLines w:val="0"/>
              <w:pageBreakBefore w:val="0"/>
              <w:widowControl w:val="0"/>
              <w:tabs>
                <w:tab w:val="left" w:pos="658"/>
              </w:tabs>
              <w:kinsoku/>
              <w:wordWrap/>
              <w:overflowPunct/>
              <w:topLinePunct w:val="0"/>
              <w:autoSpaceDE w:val="0"/>
              <w:autoSpaceDN w:val="0"/>
              <w:bidi w:val="0"/>
              <w:adjustRightInd w:val="0"/>
              <w:snapToGrid w:val="0"/>
              <w:spacing w:before="0"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丰水期</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 xml:space="preserve">     枯水期</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 xml:space="preserve">    平水期</w:t>
            </w:r>
            <w:r>
              <w:rPr>
                <w:rFonts w:hint="default" w:ascii="Times New Roman" w:hAnsi="Times New Roman" w:eastAsia="宋体"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6" w:space="0"/>
          </w:tblBorders>
          <w:tblCellMar>
            <w:top w:w="0" w:type="dxa"/>
            <w:left w:w="0" w:type="dxa"/>
            <w:bottom w:w="0" w:type="dxa"/>
            <w:right w:w="0" w:type="dxa"/>
          </w:tblCellMar>
        </w:tblPrEx>
        <w:trPr>
          <w:trHeight w:val="325" w:hRule="atLeast"/>
          <w:jc w:val="center"/>
        </w:trPr>
        <w:tc>
          <w:tcPr>
            <w:tcW w:w="65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671" w:type="pct"/>
            <w:tcBorders>
              <w:tl2br w:val="nil"/>
              <w:tr2bl w:val="nil"/>
            </w:tcBorders>
            <w:noWrap w:val="0"/>
            <w:vAlign w:val="center"/>
          </w:tcPr>
          <w:p>
            <w:pPr>
              <w:pStyle w:val="98"/>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所在区域的生态问题</w:t>
            </w:r>
          </w:p>
        </w:tc>
        <w:tc>
          <w:tcPr>
            <w:tcW w:w="3675" w:type="pct"/>
            <w:tcBorders>
              <w:tl2br w:val="nil"/>
              <w:tr2bl w:val="nil"/>
            </w:tcBorders>
            <w:noWrap w:val="0"/>
            <w:vAlign w:val="center"/>
          </w:tcPr>
          <w:p>
            <w:pPr>
              <w:pStyle w:val="98"/>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水土流失</w:t>
            </w:r>
            <w:r>
              <w:rPr>
                <w:rFonts w:hint="default" w:ascii="Times New Roman" w:hAnsi="Times New Roman" w:eastAsia="宋体" w:cs="Times New Roman"/>
                <w:color w:val="auto"/>
                <w:sz w:val="21"/>
                <w:szCs w:val="21"/>
                <w:highlight w:val="none"/>
              </w:rPr>
              <w:sym w:font="Wingdings 2" w:char="0052"/>
            </w:r>
            <w:r>
              <w:rPr>
                <w:rFonts w:hint="default" w:ascii="Times New Roman" w:hAnsi="Times New Roman" w:eastAsia="宋体" w:cs="Times New Roman"/>
                <w:color w:val="auto"/>
                <w:sz w:val="21"/>
                <w:szCs w:val="21"/>
                <w:highlight w:val="none"/>
                <w:lang w:val="en-US" w:eastAsia="zh-CN"/>
              </w:rPr>
              <w:t xml:space="preserve">     沙漠化</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 xml:space="preserve">    石漠化</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 xml:space="preserve">     盐渍化</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 xml:space="preserve">   生物入侵</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 xml:space="preserve">   污染危害</w:t>
            </w:r>
            <w:r>
              <w:rPr>
                <w:rFonts w:hint="default" w:ascii="Times New Roman" w:hAnsi="Times New Roman" w:eastAsia="宋体" w:cs="Times New Roman"/>
                <w:color w:val="auto"/>
                <w:sz w:val="21"/>
                <w:szCs w:val="21"/>
                <w:highlight w:val="none"/>
              </w:rPr>
              <w:sym w:font="Wingdings 2" w:char="0052"/>
            </w:r>
            <w:r>
              <w:rPr>
                <w:rFonts w:hint="default" w:ascii="Times New Roman" w:hAnsi="Times New Roman" w:eastAsia="宋体" w:cs="Times New Roman"/>
                <w:color w:val="auto"/>
                <w:sz w:val="21"/>
                <w:szCs w:val="21"/>
                <w:highlight w:val="none"/>
                <w:lang w:val="en-US" w:eastAsia="zh-CN"/>
              </w:rPr>
              <w:t xml:space="preserve">      其他</w:t>
            </w:r>
            <w:r>
              <w:rPr>
                <w:rFonts w:hint="default" w:ascii="Times New Roman" w:hAnsi="Times New Roman" w:eastAsia="宋体"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6" w:space="0"/>
          </w:tblBorders>
          <w:tblCellMar>
            <w:top w:w="0" w:type="dxa"/>
            <w:left w:w="0" w:type="dxa"/>
            <w:bottom w:w="0" w:type="dxa"/>
            <w:right w:w="0" w:type="dxa"/>
          </w:tblCellMar>
        </w:tblPrEx>
        <w:trPr>
          <w:trHeight w:val="260" w:hRule="atLeast"/>
          <w:jc w:val="center"/>
        </w:trPr>
        <w:tc>
          <w:tcPr>
            <w:tcW w:w="65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671" w:type="pct"/>
            <w:tcBorders>
              <w:tl2br w:val="nil"/>
              <w:tr2bl w:val="nil"/>
            </w:tcBorders>
            <w:noWrap w:val="0"/>
            <w:vAlign w:val="center"/>
          </w:tcPr>
          <w:p>
            <w:pPr>
              <w:pStyle w:val="98"/>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评价内容</w:t>
            </w:r>
          </w:p>
        </w:tc>
        <w:tc>
          <w:tcPr>
            <w:tcW w:w="3675" w:type="pct"/>
            <w:tcBorders>
              <w:tl2br w:val="nil"/>
              <w:tr2bl w:val="nil"/>
            </w:tcBorders>
            <w:noWrap w:val="0"/>
            <w:vAlign w:val="center"/>
          </w:tcPr>
          <w:p>
            <w:pPr>
              <w:pStyle w:val="98"/>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植被/植物群落</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 xml:space="preserve">    土地利用</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 xml:space="preserve">      生态系统</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 xml:space="preserve">   生物多样性</w:t>
            </w:r>
            <w:r>
              <w:rPr>
                <w:rFonts w:hint="default" w:ascii="Times New Roman" w:hAnsi="Times New Roman" w:eastAsia="宋体" w:cs="Times New Roman"/>
                <w:color w:val="auto"/>
                <w:sz w:val="21"/>
                <w:szCs w:val="21"/>
                <w:highlight w:val="none"/>
              </w:rPr>
              <w:t>□</w:t>
            </w:r>
          </w:p>
          <w:p>
            <w:pPr>
              <w:pStyle w:val="98"/>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重要物种</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 xml:space="preserve">         生态敏感区</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 xml:space="preserve">    其他</w:t>
            </w:r>
            <w:r>
              <w:rPr>
                <w:rFonts w:hint="default" w:ascii="Times New Roman" w:hAnsi="Times New Roman" w:eastAsia="宋体"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6" w:space="0"/>
          </w:tblBorders>
          <w:tblCellMar>
            <w:top w:w="0" w:type="dxa"/>
            <w:left w:w="0" w:type="dxa"/>
            <w:bottom w:w="0" w:type="dxa"/>
            <w:right w:w="0" w:type="dxa"/>
          </w:tblCellMar>
        </w:tblPrEx>
        <w:trPr>
          <w:trHeight w:val="305" w:hRule="atLeast"/>
          <w:jc w:val="center"/>
        </w:trPr>
        <w:tc>
          <w:tcPr>
            <w:tcW w:w="653" w:type="pct"/>
            <w:vMerge w:val="restart"/>
            <w:tcBorders>
              <w:tl2br w:val="nil"/>
              <w:tr2bl w:val="nil"/>
            </w:tcBorders>
            <w:noWrap w:val="0"/>
            <w:vAlign w:val="center"/>
          </w:tcPr>
          <w:p>
            <w:pPr>
              <w:pStyle w:val="98"/>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生态</w:t>
            </w:r>
            <w:r>
              <w:rPr>
                <w:rFonts w:hint="default" w:ascii="Times New Roman" w:hAnsi="Times New Roman" w:eastAsia="宋体" w:cs="Times New Roman"/>
                <w:color w:val="auto"/>
                <w:sz w:val="21"/>
                <w:szCs w:val="21"/>
                <w:highlight w:val="none"/>
              </w:rPr>
              <w:t>影响预测与评价</w:t>
            </w:r>
          </w:p>
        </w:tc>
        <w:tc>
          <w:tcPr>
            <w:tcW w:w="671" w:type="pct"/>
            <w:tcBorders>
              <w:tl2br w:val="nil"/>
              <w:tr2bl w:val="nil"/>
            </w:tcBorders>
            <w:noWrap w:val="0"/>
            <w:vAlign w:val="center"/>
          </w:tcPr>
          <w:p>
            <w:pPr>
              <w:pStyle w:val="98"/>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评价方法</w:t>
            </w:r>
          </w:p>
        </w:tc>
        <w:tc>
          <w:tcPr>
            <w:tcW w:w="3675" w:type="pct"/>
            <w:tcBorders>
              <w:tl2br w:val="nil"/>
              <w:tr2bl w:val="nil"/>
            </w:tcBorders>
            <w:noWrap w:val="0"/>
            <w:vAlign w:val="center"/>
          </w:tcPr>
          <w:p>
            <w:pPr>
              <w:pStyle w:val="98"/>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定性</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 xml:space="preserve">                 定性和定量</w:t>
            </w:r>
            <w:r>
              <w:rPr>
                <w:rFonts w:hint="default" w:ascii="Times New Roman" w:hAnsi="Times New Roman" w:eastAsia="宋体"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6" w:space="0"/>
          </w:tblBorders>
          <w:tblCellMar>
            <w:top w:w="0" w:type="dxa"/>
            <w:left w:w="0" w:type="dxa"/>
            <w:bottom w:w="0" w:type="dxa"/>
            <w:right w:w="0" w:type="dxa"/>
          </w:tblCellMar>
        </w:tblPrEx>
        <w:trPr>
          <w:trHeight w:val="270" w:hRule="atLeast"/>
          <w:jc w:val="center"/>
        </w:trPr>
        <w:tc>
          <w:tcPr>
            <w:tcW w:w="65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671" w:type="pct"/>
            <w:tcBorders>
              <w:tl2br w:val="nil"/>
              <w:tr2bl w:val="nil"/>
            </w:tcBorders>
            <w:noWrap w:val="0"/>
            <w:vAlign w:val="center"/>
          </w:tcPr>
          <w:p>
            <w:pPr>
              <w:pStyle w:val="98"/>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评价内容</w:t>
            </w:r>
          </w:p>
        </w:tc>
        <w:tc>
          <w:tcPr>
            <w:tcW w:w="3675" w:type="pct"/>
            <w:tcBorders>
              <w:tl2br w:val="nil"/>
              <w:tr2bl w:val="nil"/>
            </w:tcBorders>
            <w:noWrap w:val="0"/>
            <w:vAlign w:val="center"/>
          </w:tcPr>
          <w:p>
            <w:pPr>
              <w:pStyle w:val="98"/>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植被/植物群落</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 xml:space="preserve">     土地利用</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 xml:space="preserve">    生态系统</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 xml:space="preserve">   生物多样性</w:t>
            </w:r>
            <w:r>
              <w:rPr>
                <w:rFonts w:hint="default" w:ascii="Times New Roman" w:hAnsi="Times New Roman" w:cs="Times New Roman"/>
                <w:color w:val="auto"/>
                <w:sz w:val="21"/>
                <w:szCs w:val="21"/>
                <w:highlight w:val="none"/>
                <w:lang w:eastAsia="zh-CN"/>
              </w:rPr>
              <w:t>☑</w:t>
            </w:r>
          </w:p>
          <w:p>
            <w:pPr>
              <w:pStyle w:val="98"/>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重要物种</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 xml:space="preserve">          生态敏感区</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 xml:space="preserve">   生物入侵风险</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 xml:space="preserve">      其他</w:t>
            </w:r>
            <w:r>
              <w:rPr>
                <w:rFonts w:hint="default" w:ascii="Times New Roman" w:hAnsi="Times New Roman" w:eastAsia="宋体"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6" w:space="0"/>
          </w:tblBorders>
          <w:tblCellMar>
            <w:top w:w="0" w:type="dxa"/>
            <w:left w:w="0" w:type="dxa"/>
            <w:bottom w:w="0" w:type="dxa"/>
            <w:right w:w="0" w:type="dxa"/>
          </w:tblCellMar>
        </w:tblPrEx>
        <w:trPr>
          <w:trHeight w:val="237" w:hRule="atLeast"/>
          <w:jc w:val="center"/>
        </w:trPr>
        <w:tc>
          <w:tcPr>
            <w:tcW w:w="653"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生态保护对策措施</w:t>
            </w:r>
          </w:p>
        </w:tc>
        <w:tc>
          <w:tcPr>
            <w:tcW w:w="671" w:type="pct"/>
            <w:tcBorders>
              <w:tl2br w:val="nil"/>
              <w:tr2bl w:val="nil"/>
            </w:tcBorders>
            <w:noWrap w:val="0"/>
            <w:vAlign w:val="center"/>
          </w:tcPr>
          <w:p>
            <w:pPr>
              <w:pStyle w:val="98"/>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对策措施</w:t>
            </w:r>
          </w:p>
        </w:tc>
        <w:tc>
          <w:tcPr>
            <w:tcW w:w="3675" w:type="pct"/>
            <w:tcBorders>
              <w:tl2br w:val="nil"/>
              <w:tr2bl w:val="nil"/>
            </w:tcBorders>
            <w:noWrap w:val="0"/>
            <w:vAlign w:val="center"/>
          </w:tcPr>
          <w:p>
            <w:pPr>
              <w:pStyle w:val="98"/>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避让</w:t>
            </w:r>
            <w:r>
              <w:rPr>
                <w:rFonts w:hint="default" w:ascii="Times New Roman" w:hAnsi="Times New Roman" w:eastAsia="宋体" w:cs="Times New Roman"/>
                <w:color w:val="auto"/>
                <w:sz w:val="21"/>
                <w:szCs w:val="21"/>
                <w:highlight w:val="none"/>
              </w:rPr>
              <w:sym w:font="Wingdings 2" w:char="0052"/>
            </w:r>
            <w:r>
              <w:rPr>
                <w:rFonts w:hint="default" w:ascii="Times New Roman" w:hAnsi="Times New Roman" w:eastAsia="宋体" w:cs="Times New Roman"/>
                <w:color w:val="auto"/>
                <w:sz w:val="21"/>
                <w:szCs w:val="21"/>
                <w:highlight w:val="none"/>
                <w:lang w:val="en-US" w:eastAsia="zh-CN"/>
              </w:rPr>
              <w:t xml:space="preserve">   减缓</w:t>
            </w:r>
            <w:r>
              <w:rPr>
                <w:rFonts w:hint="default" w:ascii="Times New Roman" w:hAnsi="Times New Roman" w:eastAsia="宋体" w:cs="Times New Roman"/>
                <w:color w:val="auto"/>
                <w:sz w:val="21"/>
                <w:szCs w:val="21"/>
                <w:highlight w:val="none"/>
              </w:rPr>
              <w:sym w:font="Wingdings 2" w:char="0052"/>
            </w:r>
            <w:r>
              <w:rPr>
                <w:rFonts w:hint="default" w:ascii="Times New Roman" w:hAnsi="Times New Roman" w:eastAsia="宋体" w:cs="Times New Roman"/>
                <w:color w:val="auto"/>
                <w:sz w:val="21"/>
                <w:szCs w:val="21"/>
                <w:highlight w:val="none"/>
                <w:lang w:val="en-US" w:eastAsia="zh-CN"/>
              </w:rPr>
              <w:t xml:space="preserve">   生态修复</w:t>
            </w:r>
            <w:r>
              <w:rPr>
                <w:rFonts w:hint="default" w:ascii="Times New Roman" w:hAnsi="Times New Roman" w:eastAsia="宋体" w:cs="Times New Roman"/>
                <w:color w:val="auto"/>
                <w:sz w:val="21"/>
                <w:szCs w:val="21"/>
                <w:highlight w:val="none"/>
              </w:rPr>
              <w:sym w:font="Wingdings 2" w:char="0052"/>
            </w:r>
            <w:r>
              <w:rPr>
                <w:rFonts w:hint="default" w:ascii="Times New Roman" w:hAnsi="Times New Roman" w:eastAsia="宋体" w:cs="Times New Roman"/>
                <w:color w:val="auto"/>
                <w:sz w:val="21"/>
                <w:szCs w:val="21"/>
                <w:highlight w:val="none"/>
                <w:lang w:val="en-US" w:eastAsia="zh-CN"/>
              </w:rPr>
              <w:t xml:space="preserve">   生态补偿</w:t>
            </w:r>
            <w:r>
              <w:rPr>
                <w:rFonts w:hint="default" w:ascii="Times New Roman" w:hAnsi="Times New Roman" w:eastAsia="宋体" w:cs="Times New Roman"/>
                <w:color w:val="auto"/>
                <w:sz w:val="21"/>
                <w:szCs w:val="21"/>
                <w:highlight w:val="none"/>
              </w:rPr>
              <w:sym w:font="Wingdings 2" w:char="0052"/>
            </w:r>
            <w:r>
              <w:rPr>
                <w:rFonts w:hint="default" w:ascii="Times New Roman" w:hAnsi="Times New Roman" w:eastAsia="宋体" w:cs="Times New Roman"/>
                <w:color w:val="auto"/>
                <w:sz w:val="21"/>
                <w:szCs w:val="21"/>
                <w:highlight w:val="none"/>
                <w:lang w:val="en-US" w:eastAsia="zh-CN"/>
              </w:rPr>
              <w:t xml:space="preserve">   科研</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 xml:space="preserve">     其他</w:t>
            </w:r>
            <w:r>
              <w:rPr>
                <w:rFonts w:hint="default" w:ascii="Times New Roman" w:hAnsi="Times New Roman" w:eastAsia="宋体"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6" w:space="0"/>
          </w:tblBorders>
          <w:tblCellMar>
            <w:top w:w="0" w:type="dxa"/>
            <w:left w:w="0" w:type="dxa"/>
            <w:bottom w:w="0" w:type="dxa"/>
            <w:right w:w="0" w:type="dxa"/>
          </w:tblCellMar>
        </w:tblPrEx>
        <w:trPr>
          <w:trHeight w:val="245" w:hRule="atLeast"/>
          <w:jc w:val="center"/>
        </w:trPr>
        <w:tc>
          <w:tcPr>
            <w:tcW w:w="65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671" w:type="pct"/>
            <w:tcBorders>
              <w:tl2br w:val="nil"/>
              <w:tr2bl w:val="nil"/>
            </w:tcBorders>
            <w:noWrap w:val="0"/>
            <w:vAlign w:val="center"/>
          </w:tcPr>
          <w:p>
            <w:pPr>
              <w:pStyle w:val="98"/>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11"/>
                <w:sz w:val="21"/>
                <w:szCs w:val="21"/>
                <w:highlight w:val="none"/>
                <w:lang w:eastAsia="zh-CN"/>
              </w:rPr>
              <w:t>生态监测计划</w:t>
            </w:r>
          </w:p>
        </w:tc>
        <w:tc>
          <w:tcPr>
            <w:tcW w:w="3675" w:type="pct"/>
            <w:tcBorders>
              <w:tl2br w:val="nil"/>
              <w:tr2bl w:val="nil"/>
            </w:tcBorders>
            <w:noWrap w:val="0"/>
            <w:vAlign w:val="center"/>
          </w:tcPr>
          <w:p>
            <w:pPr>
              <w:pStyle w:val="98"/>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生命权周期</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 xml:space="preserve">         长期跟踪</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 xml:space="preserve">     常规</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 xml:space="preserve">       无</w:t>
            </w:r>
            <w:r>
              <w:rPr>
                <w:rFonts w:hint="default" w:ascii="Times New Roman" w:hAnsi="Times New Roman" w:eastAsia="宋体" w:cs="Times New Roman"/>
                <w:color w:val="auto"/>
                <w:sz w:val="21"/>
                <w:szCs w:val="21"/>
                <w:highlight w:val="none"/>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6" w:space="0"/>
          </w:tblBorders>
          <w:tblCellMar>
            <w:top w:w="0" w:type="dxa"/>
            <w:left w:w="0" w:type="dxa"/>
            <w:bottom w:w="0" w:type="dxa"/>
            <w:right w:w="0" w:type="dxa"/>
          </w:tblCellMar>
        </w:tblPrEx>
        <w:trPr>
          <w:trHeight w:val="201" w:hRule="atLeast"/>
          <w:jc w:val="center"/>
        </w:trPr>
        <w:tc>
          <w:tcPr>
            <w:tcW w:w="65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671" w:type="pct"/>
            <w:tcBorders>
              <w:tl2br w:val="nil"/>
              <w:tr2bl w:val="nil"/>
            </w:tcBorders>
            <w:noWrap w:val="0"/>
            <w:vAlign w:val="center"/>
          </w:tcPr>
          <w:p>
            <w:pPr>
              <w:pStyle w:val="98"/>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环境管理</w:t>
            </w:r>
          </w:p>
        </w:tc>
        <w:tc>
          <w:tcPr>
            <w:tcW w:w="3675" w:type="pct"/>
            <w:tcBorders>
              <w:tl2br w:val="nil"/>
              <w:tr2bl w:val="nil"/>
            </w:tcBorders>
            <w:noWrap w:val="0"/>
            <w:vAlign w:val="center"/>
          </w:tcPr>
          <w:p>
            <w:pPr>
              <w:pStyle w:val="98"/>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环境监理</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 xml:space="preserve">           环境影响后评价</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 xml:space="preserve">              其他</w:t>
            </w:r>
            <w:r>
              <w:rPr>
                <w:rFonts w:hint="default" w:ascii="Times New Roman" w:hAnsi="Times New Roman" w:eastAsia="宋体" w:cs="Times New Roman"/>
                <w:color w:val="auto"/>
                <w:sz w:val="21"/>
                <w:szCs w:val="21"/>
                <w:highlight w:val="none"/>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6" w:space="0"/>
          </w:tblBorders>
          <w:tblCellMar>
            <w:top w:w="0" w:type="dxa"/>
            <w:left w:w="0" w:type="dxa"/>
            <w:bottom w:w="0" w:type="dxa"/>
            <w:right w:w="0" w:type="dxa"/>
          </w:tblCellMar>
        </w:tblPrEx>
        <w:trPr>
          <w:trHeight w:val="204" w:hRule="atLeast"/>
          <w:jc w:val="center"/>
        </w:trPr>
        <w:tc>
          <w:tcPr>
            <w:tcW w:w="653" w:type="pct"/>
            <w:tcBorders>
              <w:tl2br w:val="nil"/>
              <w:tr2bl w:val="nil"/>
            </w:tcBorders>
            <w:noWrap w:val="0"/>
            <w:vAlign w:val="center"/>
          </w:tcPr>
          <w:p>
            <w:pPr>
              <w:pStyle w:val="98"/>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评价结论</w:t>
            </w:r>
          </w:p>
        </w:tc>
        <w:tc>
          <w:tcPr>
            <w:tcW w:w="671" w:type="pct"/>
            <w:tcBorders>
              <w:tl2br w:val="nil"/>
              <w:tr2bl w:val="nil"/>
            </w:tcBorders>
            <w:noWrap w:val="0"/>
            <w:vAlign w:val="center"/>
          </w:tcPr>
          <w:p>
            <w:pPr>
              <w:pStyle w:val="98"/>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生态</w:t>
            </w:r>
            <w:r>
              <w:rPr>
                <w:rFonts w:hint="default" w:ascii="Times New Roman" w:hAnsi="Times New Roman" w:eastAsia="宋体" w:cs="Times New Roman"/>
                <w:color w:val="auto"/>
                <w:sz w:val="21"/>
                <w:szCs w:val="21"/>
                <w:highlight w:val="none"/>
              </w:rPr>
              <w:t>影响</w:t>
            </w:r>
          </w:p>
        </w:tc>
        <w:tc>
          <w:tcPr>
            <w:tcW w:w="3675" w:type="pct"/>
            <w:tcBorders>
              <w:tl2br w:val="nil"/>
              <w:tr2bl w:val="nil"/>
            </w:tcBorders>
            <w:noWrap w:val="0"/>
            <w:vAlign w:val="center"/>
          </w:tcPr>
          <w:p>
            <w:pPr>
              <w:pStyle w:val="98"/>
              <w:keepNext w:val="0"/>
              <w:keepLines w:val="0"/>
              <w:pageBreakBefore w:val="0"/>
              <w:widowControl w:val="0"/>
              <w:tabs>
                <w:tab w:val="left" w:pos="3582"/>
              </w:tabs>
              <w:kinsoku/>
              <w:wordWrap/>
              <w:overflowPunct/>
              <w:topLinePunct w:val="0"/>
              <w:autoSpaceDE w:val="0"/>
              <w:autoSpaceDN w:val="0"/>
              <w:bidi w:val="0"/>
              <w:adjustRightInd w:val="0"/>
              <w:snapToGrid w:val="0"/>
              <w:spacing w:before="0"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可</w:t>
            </w:r>
            <w:r>
              <w:rPr>
                <w:rFonts w:hint="default" w:ascii="Times New Roman" w:hAnsi="Times New Roman" w:eastAsia="宋体" w:cs="Times New Roman"/>
                <w:color w:val="auto"/>
                <w:sz w:val="21"/>
                <w:szCs w:val="21"/>
                <w:highlight w:val="none"/>
                <w:lang w:eastAsia="zh-CN"/>
              </w:rPr>
              <w:t>行</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rPr>
              <w:tab/>
            </w:r>
            <w:r>
              <w:rPr>
                <w:rFonts w:hint="default" w:ascii="Times New Roman" w:hAnsi="Times New Roman" w:eastAsia="宋体" w:cs="Times New Roman"/>
                <w:color w:val="auto"/>
                <w:sz w:val="21"/>
                <w:szCs w:val="21"/>
                <w:highlight w:val="none"/>
              </w:rPr>
              <w:t>不</w:t>
            </w:r>
            <w:r>
              <w:rPr>
                <w:rFonts w:hint="default" w:ascii="Times New Roman" w:hAnsi="Times New Roman" w:eastAsia="宋体" w:cs="Times New Roman"/>
                <w:color w:val="auto"/>
                <w:sz w:val="21"/>
                <w:szCs w:val="21"/>
                <w:highlight w:val="none"/>
                <w:lang w:eastAsia="zh-CN"/>
              </w:rPr>
              <w:t>可行</w:t>
            </w:r>
            <w:r>
              <w:rPr>
                <w:rFonts w:hint="default" w:ascii="Times New Roman" w:hAnsi="Times New Roman" w:eastAsia="宋体"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6" w:space="0"/>
          </w:tblBorders>
          <w:tblCellMar>
            <w:top w:w="0" w:type="dxa"/>
            <w:left w:w="0" w:type="dxa"/>
            <w:bottom w:w="0" w:type="dxa"/>
            <w:right w:w="0" w:type="dxa"/>
          </w:tblCellMar>
        </w:tblPrEx>
        <w:trPr>
          <w:trHeight w:val="224" w:hRule="atLeast"/>
          <w:jc w:val="center"/>
        </w:trPr>
        <w:tc>
          <w:tcPr>
            <w:tcW w:w="5000" w:type="pct"/>
            <w:gridSpan w:val="3"/>
            <w:tcBorders>
              <w:tl2br w:val="nil"/>
              <w:tr2bl w:val="nil"/>
            </w:tcBorders>
            <w:noWrap w:val="0"/>
            <w:vAlign w:val="center"/>
          </w:tcPr>
          <w:p>
            <w:pPr>
              <w:pStyle w:val="98"/>
              <w:keepNext w:val="0"/>
              <w:keepLines w:val="0"/>
              <w:pageBreakBefore w:val="0"/>
              <w:widowControl w:val="0"/>
              <w:tabs>
                <w:tab w:val="left" w:pos="3439"/>
              </w:tabs>
              <w:kinsoku/>
              <w:wordWrap/>
              <w:overflowPunct/>
              <w:topLinePunct w:val="0"/>
              <w:autoSpaceDE w:val="0"/>
              <w:autoSpaceDN w:val="0"/>
              <w:bidi w:val="0"/>
              <w:adjustRightInd w:val="0"/>
              <w:snapToGrid w:val="0"/>
              <w:spacing w:before="0"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注</w:t>
            </w:r>
            <w:r>
              <w:rPr>
                <w:rFonts w:hint="default" w:ascii="Times New Roman" w:hAnsi="Times New Roman" w:eastAsia="宋体" w:cs="Times New Roman"/>
                <w:color w:val="auto"/>
                <w:spacing w:val="-92"/>
                <w:sz w:val="21"/>
                <w:szCs w:val="21"/>
                <w:highlight w:val="none"/>
              </w:rPr>
              <w:t>：</w:t>
            </w:r>
            <w:r>
              <w:rPr>
                <w:rFonts w:hint="default" w:ascii="Times New Roman" w:hAnsi="Times New Roman" w:eastAsia="宋体" w:cs="Times New Roman"/>
                <w:color w:val="auto"/>
                <w:w w:val="210"/>
                <w:sz w:val="21"/>
                <w:szCs w:val="21"/>
                <w:highlight w:val="none"/>
              </w:rPr>
              <w:t>“</w:t>
            </w:r>
            <w:r>
              <w:rPr>
                <w:rFonts w:hint="default" w:ascii="Times New Roman" w:hAnsi="Times New Roman" w:eastAsia="宋体" w:cs="Times New Roman"/>
                <w:color w:val="auto"/>
                <w:spacing w:val="2"/>
                <w:sz w:val="21"/>
                <w:szCs w:val="21"/>
                <w:highlight w:val="none"/>
              </w:rPr>
              <w:t>□</w:t>
            </w:r>
            <w:r>
              <w:rPr>
                <w:rFonts w:hint="default" w:ascii="Times New Roman" w:hAnsi="Times New Roman" w:eastAsia="宋体" w:cs="Times New Roman"/>
                <w:color w:val="auto"/>
                <w:w w:val="210"/>
                <w:sz w:val="21"/>
                <w:szCs w:val="21"/>
                <w:highlight w:val="none"/>
              </w:rPr>
              <w:t>”</w:t>
            </w:r>
            <w:r>
              <w:rPr>
                <w:rFonts w:hint="default" w:ascii="Times New Roman" w:hAnsi="Times New Roman" w:eastAsia="宋体" w:cs="Times New Roman"/>
                <w:color w:val="auto"/>
                <w:sz w:val="21"/>
                <w:szCs w:val="21"/>
                <w:highlight w:val="none"/>
              </w:rPr>
              <w:t xml:space="preserve"> </w:t>
            </w:r>
            <w:r>
              <w:rPr>
                <w:rFonts w:hint="default" w:ascii="Times New Roman" w:hAnsi="Times New Roman" w:eastAsia="宋体" w:cs="Times New Roman"/>
                <w:color w:val="auto"/>
                <w:spacing w:val="10"/>
                <w:sz w:val="21"/>
                <w:szCs w:val="21"/>
                <w:highlight w:val="none"/>
              </w:rPr>
              <w:t xml:space="preserve"> </w:t>
            </w:r>
            <w:r>
              <w:rPr>
                <w:rFonts w:hint="default" w:ascii="Times New Roman" w:hAnsi="Times New Roman" w:eastAsia="宋体" w:cs="Times New Roman"/>
                <w:color w:val="auto"/>
                <w:sz w:val="21"/>
                <w:szCs w:val="21"/>
                <w:highlight w:val="none"/>
              </w:rPr>
              <w:t xml:space="preserve">为勾选项 </w:t>
            </w:r>
            <w:r>
              <w:rPr>
                <w:rFonts w:hint="default" w:ascii="Times New Roman" w:hAnsi="Times New Roman" w:eastAsia="宋体" w:cs="Times New Roman"/>
                <w:color w:val="auto"/>
                <w:spacing w:val="10"/>
                <w:sz w:val="21"/>
                <w:szCs w:val="21"/>
                <w:highlight w:val="none"/>
              </w:rPr>
              <w:t xml:space="preserve"> </w:t>
            </w:r>
            <w:r>
              <w:rPr>
                <w:rFonts w:hint="default" w:ascii="Times New Roman" w:hAnsi="Times New Roman" w:eastAsia="宋体" w:cs="Times New Roman"/>
                <w:color w:val="auto"/>
                <w:sz w:val="21"/>
                <w:szCs w:val="21"/>
                <w:highlight w:val="none"/>
              </w:rPr>
              <w:t>，填</w:t>
            </w:r>
            <w:r>
              <w:rPr>
                <w:rFonts w:hint="default" w:ascii="Times New Roman" w:hAnsi="Times New Roman" w:eastAsia="宋体" w:cs="Times New Roman"/>
                <w:color w:val="auto"/>
                <w:w w:val="135"/>
                <w:sz w:val="21"/>
                <w:szCs w:val="21"/>
                <w:highlight w:val="none"/>
              </w:rPr>
              <w:t>“</w:t>
            </w:r>
            <w:r>
              <w:rPr>
                <w:rFonts w:hint="default" w:ascii="Times New Roman" w:hAnsi="Times New Roman" w:eastAsia="宋体" w:cs="Times New Roman"/>
                <w:color w:val="auto"/>
                <w:spacing w:val="-3"/>
                <w:w w:val="135"/>
                <w:sz w:val="21"/>
                <w:szCs w:val="21"/>
                <w:highlight w:val="none"/>
              </w:rPr>
              <w:t>√</w:t>
            </w:r>
            <w:r>
              <w:rPr>
                <w:rFonts w:hint="default" w:ascii="Times New Roman" w:hAnsi="Times New Roman" w:eastAsia="宋体" w:cs="Times New Roman"/>
                <w:color w:val="auto"/>
                <w:w w:val="210"/>
                <w:sz w:val="21"/>
                <w:szCs w:val="21"/>
                <w:highlight w:val="none"/>
              </w:rPr>
              <w:t>”</w:t>
            </w:r>
            <w:r>
              <w:rPr>
                <w:rFonts w:hint="default" w:ascii="Times New Roman" w:hAnsi="Times New Roman" w:eastAsia="宋体" w:cs="Times New Roman"/>
                <w:color w:val="auto"/>
                <w:sz w:val="21"/>
                <w:szCs w:val="21"/>
                <w:highlight w:val="none"/>
              </w:rPr>
              <w:t xml:space="preserve"> </w:t>
            </w:r>
            <w:r>
              <w:rPr>
                <w:rFonts w:hint="default" w:ascii="Times New Roman" w:hAnsi="Times New Roman" w:eastAsia="宋体" w:cs="Times New Roman"/>
                <w:color w:val="auto"/>
                <w:spacing w:val="11"/>
                <w:sz w:val="21"/>
                <w:szCs w:val="21"/>
                <w:highlight w:val="none"/>
              </w:rPr>
              <w:t xml:space="preserve"> </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pacing w:val="-1"/>
                <w:sz w:val="21"/>
                <w:szCs w:val="21"/>
                <w:highlight w:val="none"/>
              </w:rPr>
              <w:t>“</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rPr>
              <w:tab/>
            </w:r>
            <w:r>
              <w:rPr>
                <w:rFonts w:hint="default" w:ascii="Times New Roman" w:hAnsi="Times New Roman" w:eastAsia="宋体" w:cs="Times New Roman"/>
                <w:color w:val="auto"/>
                <w:sz w:val="21"/>
                <w:szCs w:val="21"/>
                <w:highlight w:val="none"/>
              </w:rPr>
              <w:t>）”  为内容填写项</w:t>
            </w:r>
            <w:r>
              <w:rPr>
                <w:rFonts w:hint="default" w:ascii="Times New Roman" w:hAnsi="Times New Roman" w:eastAsia="宋体" w:cs="Times New Roman"/>
                <w:color w:val="auto"/>
                <w:sz w:val="21"/>
                <w:szCs w:val="21"/>
                <w:highlight w:val="none"/>
                <w:lang w:eastAsia="zh-CN"/>
              </w:rPr>
              <w:t>。</w:t>
            </w:r>
          </w:p>
        </w:tc>
      </w:tr>
    </w:tbl>
    <w:p>
      <w:pPr>
        <w:pStyle w:val="4"/>
        <w:keepNext/>
        <w:keepLines/>
        <w:pageBreakBefore w:val="0"/>
        <w:widowControl w:val="0"/>
        <w:kinsoku/>
        <w:wordWrap/>
        <w:overflowPunct/>
        <w:topLinePunct w:val="0"/>
        <w:autoSpaceDE/>
        <w:autoSpaceDN/>
        <w:bidi w:val="0"/>
        <w:adjustRightInd w:val="0"/>
        <w:snapToGrid w:val="0"/>
        <w:spacing w:before="157" w:beforeLines="50"/>
        <w:ind w:left="0" w:leftChars="0" w:right="0" w:rightChars="0" w:firstLine="0" w:firstLineChars="0"/>
        <w:textAlignment w:val="auto"/>
        <w:rPr>
          <w:rFonts w:hint="default" w:ascii="Times New Roman" w:hAnsi="Times New Roman" w:cs="Times New Roman"/>
          <w:color w:val="auto"/>
          <w:highlight w:val="none"/>
        </w:rPr>
      </w:pPr>
      <w:bookmarkStart w:id="307" w:name="_Toc31740"/>
      <w:bookmarkStart w:id="308" w:name="_Toc2481"/>
      <w:bookmarkStart w:id="309" w:name="_Toc7179"/>
      <w:r>
        <w:rPr>
          <w:rFonts w:hint="default" w:ascii="Times New Roman" w:hAnsi="Times New Roman" w:cs="Times New Roman"/>
          <w:color w:val="auto"/>
          <w:highlight w:val="none"/>
        </w:rPr>
        <w:t>环境风险</w:t>
      </w:r>
      <w:bookmarkEnd w:id="305"/>
      <w:bookmarkEnd w:id="307"/>
      <w:r>
        <w:rPr>
          <w:rFonts w:hint="default" w:ascii="Times New Roman" w:hAnsi="Times New Roman" w:cs="Times New Roman"/>
          <w:color w:val="auto"/>
          <w:highlight w:val="none"/>
          <w:lang w:val="en-US" w:eastAsia="zh-CN"/>
        </w:rPr>
        <w:t>分析</w:t>
      </w:r>
      <w:bookmarkEnd w:id="308"/>
      <w:bookmarkEnd w:id="309"/>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根据《建设项目环境风险评价技术导则》（HJ</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169-2018），建设项目环境风险评价是对建设项目的环境风险进行分析、预测和评估，提出环境风险预防、控制、减缓措施，明确环境风险监控及应急建议要求，为建设项目环境风险防控提供科学依据。</w:t>
      </w:r>
    </w:p>
    <w:p>
      <w:pPr>
        <w:pageBreakBefore w:val="0"/>
        <w:widowControl/>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本次环境风险评价将把风险事故引起</w:t>
      </w:r>
      <w:r>
        <w:rPr>
          <w:rFonts w:hint="default" w:ascii="Times New Roman" w:hAnsi="Times New Roman" w:cs="Times New Roman"/>
          <w:color w:val="auto"/>
          <w:highlight w:val="none"/>
          <w:lang w:eastAsia="zh-CN"/>
        </w:rPr>
        <w:t>场界</w:t>
      </w:r>
      <w:r>
        <w:rPr>
          <w:rFonts w:hint="default" w:ascii="Times New Roman" w:hAnsi="Times New Roman" w:cs="Times New Roman"/>
          <w:color w:val="auto"/>
          <w:highlight w:val="none"/>
        </w:rPr>
        <w:t>外环境质量的恶化及对人群健康影响的预测和防护作为评价工作重点。按照《建设项目环境风险评价技术导则》（HJ</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169-2018）的方法，通过分析</w:t>
      </w:r>
      <w:r>
        <w:rPr>
          <w:rFonts w:hint="default" w:ascii="Times New Roman" w:hAnsi="Times New Roman" w:cs="Times New Roman"/>
          <w:color w:val="auto"/>
          <w:highlight w:val="none"/>
          <w:lang w:val="en-US" w:eastAsia="zh-CN"/>
        </w:rPr>
        <w:t>本</w:t>
      </w:r>
      <w:r>
        <w:rPr>
          <w:rFonts w:hint="default" w:ascii="Times New Roman" w:hAnsi="Times New Roman" w:cs="Times New Roman"/>
          <w:color w:val="auto"/>
          <w:highlight w:val="none"/>
        </w:rPr>
        <w:t>项目中主要物料的危险性和毒性，识别其潜在危险源并提出防治措施，达到降低风险性、降低危害程度，保护环境的目的。</w:t>
      </w:r>
    </w:p>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评价依据</w:t>
      </w:r>
    </w:p>
    <w:p>
      <w:pPr>
        <w:pStyle w:val="6"/>
        <w:pageBreakBefore w:val="0"/>
        <w:wordWrap/>
        <w:bidi w:val="0"/>
        <w:adjustRightInd w:val="0"/>
        <w:ind w:left="0" w:leftChars="0"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风险调查</w:t>
      </w:r>
      <w:r>
        <w:rPr>
          <w:rFonts w:hint="eastAsia" w:ascii="Times New Roman" w:hAnsi="Times New Roman" w:cs="Times New Roman"/>
          <w:color w:val="auto"/>
          <w:highlight w:val="none"/>
          <w:lang w:val="en-US" w:eastAsia="zh-CN"/>
        </w:rPr>
        <w:t>及</w:t>
      </w:r>
      <w:r>
        <w:rPr>
          <w:rFonts w:hint="default" w:ascii="Times New Roman" w:hAnsi="Times New Roman" w:cs="Times New Roman"/>
          <w:color w:val="auto"/>
          <w:highlight w:val="none"/>
          <w:lang w:val="en-US" w:eastAsia="zh-CN"/>
        </w:rPr>
        <w:t>风险潜势初判</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本项目为</w:t>
      </w:r>
      <w:r>
        <w:rPr>
          <w:rFonts w:hint="default" w:ascii="Times New Roman" w:hAnsi="Times New Roman" w:cs="Times New Roman"/>
          <w:color w:val="auto"/>
          <w:highlight w:val="none"/>
          <w:lang w:eastAsia="zh-CN"/>
        </w:rPr>
        <w:t>奶牛养殖基地</w:t>
      </w:r>
      <w:r>
        <w:rPr>
          <w:rFonts w:hint="default" w:ascii="Times New Roman" w:hAnsi="Times New Roman" w:cs="Times New Roman"/>
          <w:color w:val="auto"/>
          <w:highlight w:val="none"/>
        </w:rPr>
        <w:t>项目，不涉及有毒有害和易燃易爆危险物质的生产、使用、储存。</w:t>
      </w:r>
      <w:r>
        <w:rPr>
          <w:rFonts w:hint="eastAsia"/>
          <w:color w:val="auto"/>
          <w:lang w:val="en-US" w:eastAsia="zh-CN"/>
        </w:rPr>
        <w:t>医疗</w:t>
      </w:r>
      <w:r>
        <w:rPr>
          <w:rFonts w:hint="default" w:ascii="Times New Roman" w:hAnsi="Times New Roman" w:cs="Times New Roman"/>
          <w:color w:val="auto"/>
          <w:highlight w:val="none"/>
        </w:rPr>
        <w:t>废物等可列入固废管理，可不作为风险源</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粪污</w:t>
      </w:r>
      <w:r>
        <w:rPr>
          <w:rFonts w:hint="default" w:ascii="Times New Roman" w:hAnsi="Times New Roman" w:cs="Times New Roman"/>
          <w:color w:val="auto"/>
          <w:highlight w:val="none"/>
        </w:rPr>
        <w:t>事故排放将污染周边土壤及地下水环境</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sz w:val="24"/>
          <w:szCs w:val="24"/>
          <w:highlight w:val="none"/>
        </w:rPr>
        <w:t>使用的饲料为食用作物</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没有任何毒性</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但大量的饲料堆放可能引发的火灾风险</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cs="Times New Roman"/>
          <w:color w:val="auto"/>
          <w:highlight w:val="none"/>
          <w:lang w:val="en-US" w:eastAsia="zh-CN"/>
        </w:rPr>
        <w:t>本项目Q&lt;1。环境风险潜势为I。</w:t>
      </w:r>
    </w:p>
    <w:p>
      <w:pPr>
        <w:pStyle w:val="6"/>
        <w:pageBreakBefore w:val="0"/>
        <w:wordWrap/>
        <w:bidi w:val="0"/>
        <w:adjustRightInd w:val="0"/>
        <w:ind w:left="0" w:leftChars="0"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评价等级</w:t>
      </w:r>
    </w:p>
    <w:p>
      <w:pPr>
        <w:pageBreakBefore w:val="0"/>
        <w:wordWrap/>
        <w:bidi w:val="0"/>
        <w:adjustRightInd w:val="0"/>
        <w:ind w:left="0" w:leftChars="0" w:right="0" w:rightChars="0" w:firstLine="48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《建设项目环境风险评价技术导则》（HJ</w:t>
      </w:r>
      <w:r>
        <w:rPr>
          <w:rFonts w:hint="eastAsia" w:cs="Times New Roman"/>
          <w:bCs/>
          <w:color w:val="auto"/>
          <w:highlight w:val="none"/>
          <w:lang w:val="en-US" w:eastAsia="zh-CN"/>
        </w:rPr>
        <w:t xml:space="preserve"> </w:t>
      </w:r>
      <w:r>
        <w:rPr>
          <w:rFonts w:hint="default" w:ascii="Times New Roman" w:hAnsi="Times New Roman" w:cs="Times New Roman"/>
          <w:bCs/>
          <w:color w:val="auto"/>
          <w:highlight w:val="none"/>
        </w:rPr>
        <w:t>169-2018）中环境风险评价工作级别划分的判据见表</w:t>
      </w:r>
      <w:r>
        <w:rPr>
          <w:rFonts w:hint="default" w:ascii="Times New Roman" w:hAnsi="Times New Roman" w:cs="Times New Roman"/>
          <w:bCs/>
          <w:color w:val="auto"/>
          <w:highlight w:val="none"/>
          <w:lang w:val="en-US" w:eastAsia="zh-CN"/>
        </w:rPr>
        <w:t>5.3-</w:t>
      </w:r>
      <w:r>
        <w:rPr>
          <w:rFonts w:hint="eastAsia" w:cs="Times New Roman"/>
          <w:bCs/>
          <w:color w:val="auto"/>
          <w:highlight w:val="none"/>
          <w:lang w:val="en-US" w:eastAsia="zh-CN"/>
        </w:rPr>
        <w:t>1</w:t>
      </w:r>
      <w:r>
        <w:rPr>
          <w:rFonts w:hint="default" w:ascii="Times New Roman" w:hAnsi="Times New Roman" w:cs="Times New Roman"/>
          <w:bCs/>
          <w:color w:val="auto"/>
          <w:highlight w:val="none"/>
        </w:rPr>
        <w:t>。</w:t>
      </w:r>
    </w:p>
    <w:p>
      <w:pPr>
        <w:pStyle w:val="50"/>
        <w:pageBreakBefore w:val="0"/>
        <w:wordWrap/>
        <w:bidi w:val="0"/>
        <w:adjustRightInd w:val="0"/>
        <w:ind w:left="0" w:leftChars="0" w:right="0" w:rightChars="0"/>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表5.3-</w:t>
      </w:r>
      <w:r>
        <w:rPr>
          <w:rFonts w:hint="eastAsia" w:ascii="Times New Roman" w:hAnsi="Times New Roman" w:cs="Times New Roman"/>
          <w:color w:val="auto"/>
          <w:spacing w:val="2"/>
          <w:sz w:val="21"/>
          <w:szCs w:val="21"/>
          <w:highlight w:val="none"/>
          <w:lang w:val="en-US" w:eastAsia="zh-CN"/>
        </w:rPr>
        <w:t>1</w:t>
      </w:r>
      <w:r>
        <w:rPr>
          <w:rFonts w:hint="default" w:ascii="Times New Roman" w:hAnsi="Times New Roman" w:eastAsia="宋体" w:cs="Times New Roman"/>
          <w:color w:val="auto"/>
          <w:spacing w:val="2"/>
          <w:sz w:val="21"/>
          <w:szCs w:val="21"/>
          <w:highlight w:val="none"/>
          <w:lang w:val="en-US" w:eastAsia="zh-CN"/>
        </w:rPr>
        <w:t xml:space="preserve">  环境风险评价工作级别划分一览表</w:t>
      </w:r>
    </w:p>
    <w:tbl>
      <w:tblPr>
        <w:tblStyle w:val="39"/>
        <w:tblW w:w="5001"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55"/>
        <w:gridCol w:w="1756"/>
        <w:gridCol w:w="1756"/>
        <w:gridCol w:w="1757"/>
        <w:gridCol w:w="17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998" w:type="pct"/>
            <w:tcBorders>
              <w:tl2br w:val="nil"/>
              <w:tr2bl w:val="nil"/>
            </w:tcBorders>
            <w:noWrap w:val="0"/>
            <w:vAlign w:val="top"/>
          </w:tcPr>
          <w:p>
            <w:pPr>
              <w:pageBreakBefore w:val="0"/>
              <w:wordWrap/>
              <w:bidi w:val="0"/>
              <w:adjustRightInd w:val="0"/>
              <w:spacing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环境风险潜势</w:t>
            </w:r>
          </w:p>
        </w:tc>
        <w:tc>
          <w:tcPr>
            <w:tcW w:w="998" w:type="pct"/>
            <w:tcBorders>
              <w:tl2br w:val="nil"/>
              <w:tr2bl w:val="nil"/>
            </w:tcBorders>
            <w:noWrap w:val="0"/>
            <w:vAlign w:val="top"/>
          </w:tcPr>
          <w:p>
            <w:pPr>
              <w:pageBreakBefore w:val="0"/>
              <w:wordWrap/>
              <w:bidi w:val="0"/>
              <w:adjustRightInd w:val="0"/>
              <w:spacing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IV</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rPr>
              <w:t>、IV</w:t>
            </w:r>
          </w:p>
        </w:tc>
        <w:tc>
          <w:tcPr>
            <w:tcW w:w="998" w:type="pct"/>
            <w:tcBorders>
              <w:tl2br w:val="nil"/>
              <w:tr2bl w:val="nil"/>
            </w:tcBorders>
            <w:noWrap w:val="0"/>
            <w:vAlign w:val="top"/>
          </w:tcPr>
          <w:p>
            <w:pPr>
              <w:pageBreakBefore w:val="0"/>
              <w:wordWrap/>
              <w:bidi w:val="0"/>
              <w:adjustRightInd w:val="0"/>
              <w:spacing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III</w:t>
            </w:r>
          </w:p>
        </w:tc>
        <w:tc>
          <w:tcPr>
            <w:tcW w:w="999" w:type="pct"/>
            <w:tcBorders>
              <w:tl2br w:val="nil"/>
              <w:tr2bl w:val="nil"/>
            </w:tcBorders>
            <w:noWrap w:val="0"/>
            <w:vAlign w:val="top"/>
          </w:tcPr>
          <w:p>
            <w:pPr>
              <w:pageBreakBefore w:val="0"/>
              <w:wordWrap/>
              <w:bidi w:val="0"/>
              <w:adjustRightInd w:val="0"/>
              <w:spacing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II</w:t>
            </w:r>
          </w:p>
        </w:tc>
        <w:tc>
          <w:tcPr>
            <w:tcW w:w="1006" w:type="pct"/>
            <w:tcBorders>
              <w:tl2br w:val="nil"/>
              <w:tr2bl w:val="nil"/>
            </w:tcBorders>
            <w:noWrap w:val="0"/>
            <w:vAlign w:val="top"/>
          </w:tcPr>
          <w:p>
            <w:pPr>
              <w:pageBreakBefore w:val="0"/>
              <w:wordWrap/>
              <w:bidi w:val="0"/>
              <w:adjustRightInd w:val="0"/>
              <w:spacing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998" w:type="pct"/>
            <w:tcBorders>
              <w:tl2br w:val="nil"/>
              <w:tr2bl w:val="nil"/>
            </w:tcBorders>
            <w:noWrap w:val="0"/>
            <w:vAlign w:val="top"/>
          </w:tcPr>
          <w:p>
            <w:pPr>
              <w:pageBreakBefore w:val="0"/>
              <w:wordWrap/>
              <w:bidi w:val="0"/>
              <w:adjustRightInd w:val="0"/>
              <w:spacing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评价工作等级</w:t>
            </w:r>
          </w:p>
        </w:tc>
        <w:tc>
          <w:tcPr>
            <w:tcW w:w="998" w:type="pct"/>
            <w:tcBorders>
              <w:tl2br w:val="nil"/>
              <w:tr2bl w:val="nil"/>
            </w:tcBorders>
            <w:noWrap w:val="0"/>
            <w:vAlign w:val="top"/>
          </w:tcPr>
          <w:p>
            <w:pPr>
              <w:pageBreakBefore w:val="0"/>
              <w:wordWrap/>
              <w:bidi w:val="0"/>
              <w:adjustRightInd w:val="0"/>
              <w:spacing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w:t>
            </w:r>
          </w:p>
        </w:tc>
        <w:tc>
          <w:tcPr>
            <w:tcW w:w="998" w:type="pct"/>
            <w:tcBorders>
              <w:tl2br w:val="nil"/>
              <w:tr2bl w:val="nil"/>
            </w:tcBorders>
            <w:noWrap w:val="0"/>
            <w:vAlign w:val="top"/>
          </w:tcPr>
          <w:p>
            <w:pPr>
              <w:pageBreakBefore w:val="0"/>
              <w:wordWrap/>
              <w:bidi w:val="0"/>
              <w:adjustRightInd w:val="0"/>
              <w:spacing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w:t>
            </w:r>
          </w:p>
        </w:tc>
        <w:tc>
          <w:tcPr>
            <w:tcW w:w="999" w:type="pct"/>
            <w:tcBorders>
              <w:tl2br w:val="nil"/>
              <w:tr2bl w:val="nil"/>
            </w:tcBorders>
            <w:noWrap w:val="0"/>
            <w:vAlign w:val="top"/>
          </w:tcPr>
          <w:p>
            <w:pPr>
              <w:pageBreakBefore w:val="0"/>
              <w:wordWrap/>
              <w:bidi w:val="0"/>
              <w:adjustRightInd w:val="0"/>
              <w:spacing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w:t>
            </w:r>
          </w:p>
        </w:tc>
        <w:tc>
          <w:tcPr>
            <w:tcW w:w="1006" w:type="pct"/>
            <w:tcBorders>
              <w:tl2br w:val="nil"/>
              <w:tr2bl w:val="nil"/>
            </w:tcBorders>
            <w:noWrap w:val="0"/>
            <w:vAlign w:val="top"/>
          </w:tcPr>
          <w:p>
            <w:pPr>
              <w:pageBreakBefore w:val="0"/>
              <w:wordWrap/>
              <w:bidi w:val="0"/>
              <w:adjustRightInd w:val="0"/>
              <w:spacing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简单分析</w:t>
            </w:r>
            <w:r>
              <w:rPr>
                <w:rFonts w:hint="default" w:ascii="Times New Roman" w:hAnsi="Times New Roman" w:cs="Times New Roman"/>
                <w:color w:val="auto"/>
                <w:sz w:val="21"/>
                <w:szCs w:val="21"/>
                <w:highlight w:val="none"/>
                <w:vertAlign w:val="superscript"/>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5000" w:type="pct"/>
            <w:gridSpan w:val="5"/>
            <w:tcBorders>
              <w:tl2br w:val="nil"/>
              <w:tr2bl w:val="nil"/>
            </w:tcBorders>
            <w:noWrap w:val="0"/>
            <w:vAlign w:val="top"/>
          </w:tcPr>
          <w:p>
            <w:pPr>
              <w:pageBreakBefore w:val="0"/>
              <w:wordWrap/>
              <w:bidi w:val="0"/>
              <w:adjustRightInd w:val="0"/>
              <w:spacing w:line="240" w:lineRule="auto"/>
              <w:ind w:left="0" w:leftChars="0" w:right="0" w:rightChars="0"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a：是相对于详细评价工作内容而言，在描述危险物质、环境影响途径、环境危害后果、风险防范措施等方面给出定性的说明，见附录A</w:t>
            </w:r>
          </w:p>
        </w:tc>
      </w:tr>
    </w:tbl>
    <w:p>
      <w:pPr>
        <w:pageBreakBefore w:val="0"/>
        <w:wordWrap/>
        <w:bidi w:val="0"/>
        <w:adjustRightInd w:val="0"/>
        <w:ind w:left="0" w:leftChars="0" w:right="0" w:rightChars="0" w:firstLine="48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本项目环境风险潜势为Ⅰ级，根据《建设项目环境风险评价技术导则》（HJ</w:t>
      </w:r>
      <w:r>
        <w:rPr>
          <w:rFonts w:hint="default" w:ascii="Times New Roman" w:hAnsi="Times New Roman" w:cs="Times New Roman"/>
          <w:bCs/>
          <w:color w:val="auto"/>
          <w:highlight w:val="none"/>
          <w:lang w:val="en-US" w:eastAsia="zh-CN"/>
        </w:rPr>
        <w:t xml:space="preserve"> </w:t>
      </w:r>
      <w:r>
        <w:rPr>
          <w:rFonts w:hint="default" w:ascii="Times New Roman" w:hAnsi="Times New Roman" w:cs="Times New Roman"/>
          <w:bCs/>
          <w:color w:val="auto"/>
          <w:highlight w:val="none"/>
        </w:rPr>
        <w:t>169-2018）环境风险评价工作级别划分的判据，确定本</w:t>
      </w:r>
      <w:r>
        <w:rPr>
          <w:rFonts w:hint="default" w:ascii="Times New Roman" w:hAnsi="Times New Roman" w:cs="Times New Roman"/>
          <w:bCs/>
          <w:color w:val="auto"/>
          <w:highlight w:val="none"/>
          <w:lang w:val="en-US" w:eastAsia="zh-CN"/>
        </w:rPr>
        <w:t>项目</w:t>
      </w:r>
      <w:r>
        <w:rPr>
          <w:rFonts w:hint="default" w:ascii="Times New Roman" w:hAnsi="Times New Roman" w:cs="Times New Roman"/>
          <w:bCs/>
          <w:color w:val="auto"/>
          <w:highlight w:val="none"/>
        </w:rPr>
        <w:t>环境风险评价工作级别为简单分析。</w:t>
      </w:r>
    </w:p>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环境敏感目标</w:t>
      </w:r>
    </w:p>
    <w:p>
      <w:pPr>
        <w:pageBreakBefore w:val="0"/>
        <w:wordWrap/>
        <w:bidi w:val="0"/>
        <w:adjustRightInd w:val="0"/>
        <w:ind w:left="0" w:leftChars="0" w:right="0" w:rightChars="0" w:firstLine="480"/>
        <w:rPr>
          <w:rFonts w:hint="default" w:ascii="Times New Roman" w:hAnsi="Times New Roman" w:eastAsia="宋体" w:cs="Times New Roman"/>
          <w:bCs/>
          <w:color w:val="auto"/>
          <w:highlight w:val="none"/>
          <w:lang w:val="en-US" w:eastAsia="zh-CN"/>
        </w:rPr>
      </w:pPr>
      <w:r>
        <w:rPr>
          <w:rFonts w:hint="default" w:ascii="Times New Roman" w:hAnsi="Times New Roman" w:eastAsia="宋体" w:cs="Times New Roman"/>
          <w:bCs/>
          <w:color w:val="auto"/>
          <w:highlight w:val="none"/>
          <w:lang w:val="en-GB"/>
        </w:rPr>
        <w:t>本项目选址位于</w:t>
      </w:r>
      <w:r>
        <w:rPr>
          <w:rFonts w:hint="default" w:ascii="Times New Roman" w:hAnsi="Times New Roman" w:cs="Times New Roman"/>
          <w:bCs/>
          <w:color w:val="auto"/>
          <w:highlight w:val="none"/>
          <w:lang w:eastAsia="zh-CN"/>
        </w:rPr>
        <w:t>塔城市博孜达克镇三园子村</w:t>
      </w:r>
      <w:r>
        <w:rPr>
          <w:rFonts w:hint="default" w:ascii="Times New Roman" w:hAnsi="Times New Roman" w:eastAsia="宋体" w:cs="Times New Roman"/>
          <w:bCs/>
          <w:color w:val="auto"/>
          <w:highlight w:val="none"/>
          <w:lang w:val="en-GB"/>
        </w:rPr>
        <w:t>，</w:t>
      </w:r>
      <w:r>
        <w:rPr>
          <w:rFonts w:hint="default" w:ascii="Times New Roman" w:hAnsi="Times New Roman" w:cs="Times New Roman"/>
          <w:color w:val="auto"/>
          <w:highlight w:val="none"/>
        </w:rPr>
        <w:t>环</w:t>
      </w:r>
      <w:r>
        <w:rPr>
          <w:rFonts w:hint="default" w:ascii="Times New Roman" w:hAnsi="Times New Roman" w:eastAsia="宋体" w:cs="Times New Roman"/>
          <w:color w:val="auto"/>
          <w:highlight w:val="none"/>
        </w:rPr>
        <w:t>境</w:t>
      </w:r>
      <w:r>
        <w:rPr>
          <w:rFonts w:hint="eastAsia" w:ascii="Times New Roman" w:hAnsi="Times New Roman" w:eastAsia="宋体" w:cs="Times New Roman"/>
          <w:color w:val="auto"/>
          <w:highlight w:val="none"/>
          <w:lang w:val="en-US" w:eastAsia="zh-CN"/>
        </w:rPr>
        <w:t>风险</w:t>
      </w:r>
      <w:r>
        <w:rPr>
          <w:rFonts w:hint="default" w:ascii="Times New Roman" w:hAnsi="Times New Roman" w:eastAsia="宋体" w:cs="Times New Roman"/>
          <w:color w:val="auto"/>
          <w:highlight w:val="none"/>
        </w:rPr>
        <w:t>敏感保护目</w:t>
      </w:r>
      <w:r>
        <w:rPr>
          <w:rFonts w:hint="default" w:ascii="Times New Roman" w:hAnsi="Times New Roman" w:cs="Times New Roman"/>
          <w:color w:val="auto"/>
          <w:highlight w:val="none"/>
        </w:rPr>
        <w:t>标</w:t>
      </w:r>
      <w:r>
        <w:rPr>
          <w:rFonts w:hint="default" w:ascii="Times New Roman" w:hAnsi="Times New Roman" w:eastAsia="宋体" w:cs="Times New Roman"/>
          <w:bCs/>
          <w:color w:val="auto"/>
          <w:highlight w:val="none"/>
          <w:lang w:val="en-US" w:eastAsia="zh-CN"/>
        </w:rPr>
        <w:t>见表</w:t>
      </w:r>
      <w:r>
        <w:rPr>
          <w:rFonts w:hint="eastAsia" w:cs="Times New Roman"/>
          <w:bCs/>
          <w:color w:val="auto"/>
          <w:highlight w:val="none"/>
          <w:lang w:val="en-US" w:eastAsia="zh-CN"/>
        </w:rPr>
        <w:t>5.3-2</w:t>
      </w:r>
      <w:r>
        <w:rPr>
          <w:rFonts w:hint="default" w:ascii="Times New Roman" w:hAnsi="Times New Roman" w:eastAsia="宋体" w:cs="Times New Roman"/>
          <w:bCs/>
          <w:color w:val="auto"/>
          <w:highlight w:val="none"/>
          <w:lang w:val="en-US" w:eastAsia="zh-CN"/>
        </w:rPr>
        <w:t>。</w:t>
      </w:r>
    </w:p>
    <w:p>
      <w:pPr>
        <w:pStyle w:val="50"/>
        <w:pageBreakBefore w:val="0"/>
        <w:widowControl w:val="0"/>
        <w:kinsoku/>
        <w:wordWrap/>
        <w:overflowPunct/>
        <w:topLinePunct w:val="0"/>
        <w:autoSpaceDE/>
        <w:autoSpaceDN/>
        <w:bidi w:val="0"/>
        <w:adjustRightInd w:val="0"/>
        <w:snapToGrid w:val="0"/>
        <w:spacing w:afterLines="0"/>
        <w:ind w:left="0" w:leftChars="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w:t>
      </w:r>
      <w:r>
        <w:rPr>
          <w:rFonts w:hint="eastAsia" w:ascii="Times New Roman" w:hAnsi="Times New Roman" w:cs="Times New Roman"/>
          <w:color w:val="auto"/>
          <w:sz w:val="21"/>
          <w:szCs w:val="21"/>
          <w:highlight w:val="none"/>
          <w:lang w:val="en-US" w:eastAsia="zh-CN"/>
        </w:rPr>
        <w:t>5.3-2</w:t>
      </w:r>
      <w:r>
        <w:rPr>
          <w:rFonts w:hint="default" w:ascii="Times New Roman" w:hAnsi="Times New Roman" w:cs="Times New Roman"/>
          <w:color w:val="auto"/>
          <w:sz w:val="21"/>
          <w:szCs w:val="21"/>
          <w:highlight w:val="none"/>
        </w:rPr>
        <w:t xml:space="preserve">  项目区环境</w:t>
      </w:r>
      <w:r>
        <w:rPr>
          <w:rFonts w:hint="eastAsia" w:ascii="Times New Roman" w:hAnsi="Times New Roman" w:cs="Times New Roman"/>
          <w:color w:val="auto"/>
          <w:sz w:val="21"/>
          <w:szCs w:val="21"/>
          <w:highlight w:val="none"/>
          <w:lang w:val="en-US" w:eastAsia="zh-CN"/>
        </w:rPr>
        <w:t>风险</w:t>
      </w:r>
      <w:r>
        <w:rPr>
          <w:rFonts w:hint="default" w:ascii="Times New Roman" w:hAnsi="Times New Roman" w:cs="Times New Roman"/>
          <w:color w:val="auto"/>
          <w:sz w:val="21"/>
          <w:szCs w:val="21"/>
          <w:highlight w:val="none"/>
        </w:rPr>
        <w:t>敏感保护目标</w:t>
      </w:r>
    </w:p>
    <w:tbl>
      <w:tblPr>
        <w:tblStyle w:val="39"/>
        <w:tblpPr w:leftFromText="180" w:rightFromText="180" w:vertAnchor="text" w:tblpXSpec="left" w:tblpY="1"/>
        <w:tblOverlap w:val="never"/>
        <w:tblW w:w="503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7"/>
        <w:gridCol w:w="1074"/>
        <w:gridCol w:w="1763"/>
        <w:gridCol w:w="3277"/>
        <w:gridCol w:w="874"/>
        <w:gridCol w:w="158"/>
        <w:gridCol w:w="1118"/>
        <w:gridCol w:w="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331"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序号</w:t>
            </w:r>
          </w:p>
        </w:tc>
        <w:tc>
          <w:tcPr>
            <w:tcW w:w="606"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名称</w:t>
            </w:r>
          </w:p>
        </w:tc>
        <w:tc>
          <w:tcPr>
            <w:tcW w:w="995"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保护</w:t>
            </w:r>
          </w:p>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对象</w:t>
            </w:r>
          </w:p>
        </w:tc>
        <w:tc>
          <w:tcPr>
            <w:tcW w:w="1849"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环境功能区</w:t>
            </w:r>
          </w:p>
        </w:tc>
        <w:tc>
          <w:tcPr>
            <w:tcW w:w="582" w:type="pct"/>
            <w:gridSpan w:val="2"/>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rPr>
              <w:t>相对</w:t>
            </w:r>
            <w:r>
              <w:rPr>
                <w:rFonts w:hint="default" w:ascii="Times New Roman" w:hAnsi="Times New Roman" w:cs="Times New Roman"/>
                <w:color w:val="auto"/>
                <w:sz w:val="21"/>
                <w:szCs w:val="21"/>
                <w:highlight w:val="none"/>
                <w:lang w:val="en-US" w:eastAsia="zh-CN"/>
              </w:rPr>
              <w:t>场址</w:t>
            </w:r>
            <w:r>
              <w:rPr>
                <w:rFonts w:hint="default" w:ascii="Times New Roman" w:hAnsi="Times New Roman" w:eastAsia="宋体" w:cs="Times New Roman"/>
                <w:color w:val="auto"/>
                <w:sz w:val="21"/>
                <w:szCs w:val="21"/>
                <w:highlight w:val="none"/>
                <w:lang w:val="en-US" w:eastAsia="zh-CN"/>
              </w:rPr>
              <w:t>方位</w:t>
            </w:r>
          </w:p>
        </w:tc>
        <w:tc>
          <w:tcPr>
            <w:tcW w:w="633" w:type="pct"/>
            <w:gridSpan w:val="2"/>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相对</w:t>
            </w:r>
            <w:r>
              <w:rPr>
                <w:rFonts w:hint="default" w:ascii="Times New Roman" w:hAnsi="Times New Roman" w:cs="Times New Roman"/>
                <w:color w:val="auto"/>
                <w:sz w:val="21"/>
                <w:szCs w:val="21"/>
                <w:highlight w:val="none"/>
                <w:lang w:val="en-US" w:eastAsia="zh-CN"/>
              </w:rPr>
              <w:t>场界</w:t>
            </w:r>
            <w:r>
              <w:rPr>
                <w:rFonts w:hint="default" w:ascii="Times New Roman" w:hAnsi="Times New Roman" w:eastAsia="宋体" w:cs="Times New Roman"/>
                <w:color w:val="auto"/>
                <w:sz w:val="21"/>
                <w:szCs w:val="21"/>
                <w:highlight w:val="none"/>
                <w:lang w:val="en-US" w:eastAsia="zh-CN"/>
              </w:rPr>
              <w:t>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331"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606"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地下水环境</w:t>
            </w:r>
          </w:p>
        </w:tc>
        <w:tc>
          <w:tcPr>
            <w:tcW w:w="995"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区域地下水</w:t>
            </w:r>
          </w:p>
        </w:tc>
        <w:tc>
          <w:tcPr>
            <w:tcW w:w="1849"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《地下水质量标准》（GB/T14848-2017）中Ⅲ类标准</w:t>
            </w:r>
          </w:p>
        </w:tc>
        <w:tc>
          <w:tcPr>
            <w:tcW w:w="1216" w:type="pct"/>
            <w:gridSpan w:val="4"/>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539" w:hRule="atLeast"/>
        </w:trPr>
        <w:tc>
          <w:tcPr>
            <w:tcW w:w="331"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606"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土壤环境</w:t>
            </w:r>
          </w:p>
        </w:tc>
        <w:tc>
          <w:tcPr>
            <w:tcW w:w="995"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土壤</w:t>
            </w:r>
          </w:p>
        </w:tc>
        <w:tc>
          <w:tcPr>
            <w:tcW w:w="1849"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 xml:space="preserve">《土壤环境质量 </w:t>
            </w:r>
            <w:r>
              <w:rPr>
                <w:rFonts w:hint="default" w:ascii="Times New Roman" w:hAnsi="Times New Roman" w:cs="Times New Roman"/>
                <w:color w:val="auto"/>
                <w:sz w:val="21"/>
                <w:szCs w:val="21"/>
                <w:highlight w:val="none"/>
                <w:lang w:eastAsia="zh-CN"/>
              </w:rPr>
              <w:t>农用地土壤污染风险管控标准（试行）</w:t>
            </w:r>
            <w:r>
              <w:rPr>
                <w:rFonts w:hint="default" w:ascii="Times New Roman" w:hAnsi="Times New Roman" w:cs="Times New Roman"/>
                <w:color w:val="auto"/>
                <w:sz w:val="21"/>
                <w:szCs w:val="21"/>
                <w:highlight w:val="none"/>
              </w:rPr>
              <w:t>》（GB15618-2018）</w:t>
            </w:r>
          </w:p>
        </w:tc>
        <w:tc>
          <w:tcPr>
            <w:tcW w:w="1213" w:type="pct"/>
            <w:gridSpan w:val="3"/>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项目区占地范围内以及占地范围外50m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331"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c>
          <w:tcPr>
            <w:tcW w:w="606"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rPr>
              <w:t>生态</w:t>
            </w:r>
          </w:p>
        </w:tc>
        <w:tc>
          <w:tcPr>
            <w:tcW w:w="995"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rPr>
              <w:t>植被、土壤、动物、景观等</w:t>
            </w:r>
          </w:p>
        </w:tc>
        <w:tc>
          <w:tcPr>
            <w:tcW w:w="1849"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rPr>
              <w:t>/</w:t>
            </w:r>
          </w:p>
        </w:tc>
        <w:tc>
          <w:tcPr>
            <w:tcW w:w="1216" w:type="pct"/>
            <w:gridSpan w:val="4"/>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rPr>
              <w:t>项目区范围内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331" w:type="pct"/>
            <w:vMerge w:val="restar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c>
          <w:tcPr>
            <w:tcW w:w="606" w:type="pct"/>
            <w:vMerge w:val="restar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大气环境</w:t>
            </w:r>
          </w:p>
        </w:tc>
        <w:tc>
          <w:tcPr>
            <w:tcW w:w="995"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博孜达克农场育种队</w:t>
            </w:r>
            <w:r>
              <w:rPr>
                <w:rFonts w:hint="eastAsia" w:ascii="Times New Roman" w:hAnsi="Times New Roman" w:eastAsia="宋体" w:cs="Times New Roman"/>
                <w:color w:val="auto"/>
                <w:sz w:val="21"/>
                <w:szCs w:val="21"/>
                <w:highlight w:val="none"/>
                <w:lang w:val="en-US" w:eastAsia="zh-CN"/>
              </w:rPr>
              <w:t>居民</w:t>
            </w:r>
          </w:p>
        </w:tc>
        <w:tc>
          <w:tcPr>
            <w:tcW w:w="1849" w:type="pct"/>
            <w:vMerge w:val="restar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《环境空气质量标准》（GB3095-2012）二级标准要求</w:t>
            </w:r>
          </w:p>
        </w:tc>
        <w:tc>
          <w:tcPr>
            <w:tcW w:w="493"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东南</w:t>
            </w:r>
          </w:p>
        </w:tc>
        <w:tc>
          <w:tcPr>
            <w:tcW w:w="723" w:type="pct"/>
            <w:gridSpan w:val="3"/>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331" w:type="pct"/>
            <w:vMerge w:val="continue"/>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cs="Times New Roman"/>
                <w:color w:val="auto"/>
                <w:sz w:val="21"/>
                <w:szCs w:val="21"/>
                <w:highlight w:val="none"/>
                <w:lang w:val="en-US" w:eastAsia="zh-CN"/>
              </w:rPr>
            </w:pPr>
          </w:p>
        </w:tc>
        <w:tc>
          <w:tcPr>
            <w:tcW w:w="606" w:type="pct"/>
            <w:vMerge w:val="continue"/>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p>
        </w:tc>
        <w:tc>
          <w:tcPr>
            <w:tcW w:w="995"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吉也克村居民</w:t>
            </w:r>
          </w:p>
        </w:tc>
        <w:tc>
          <w:tcPr>
            <w:tcW w:w="1849" w:type="pct"/>
            <w:vMerge w:val="continue"/>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rPr>
            </w:pPr>
          </w:p>
        </w:tc>
        <w:tc>
          <w:tcPr>
            <w:tcW w:w="493"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东北</w:t>
            </w:r>
          </w:p>
        </w:tc>
        <w:tc>
          <w:tcPr>
            <w:tcW w:w="723" w:type="pct"/>
            <w:gridSpan w:val="3"/>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3856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331" w:type="pct"/>
            <w:vMerge w:val="continue"/>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cs="Times New Roman"/>
                <w:color w:val="auto"/>
                <w:sz w:val="21"/>
                <w:szCs w:val="21"/>
                <w:highlight w:val="none"/>
                <w:lang w:val="en-US" w:eastAsia="zh-CN"/>
              </w:rPr>
            </w:pPr>
          </w:p>
        </w:tc>
        <w:tc>
          <w:tcPr>
            <w:tcW w:w="606" w:type="pct"/>
            <w:vMerge w:val="continue"/>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p>
        </w:tc>
        <w:tc>
          <w:tcPr>
            <w:tcW w:w="995"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皇工村居民</w:t>
            </w:r>
          </w:p>
        </w:tc>
        <w:tc>
          <w:tcPr>
            <w:tcW w:w="1849" w:type="pct"/>
            <w:vMerge w:val="continue"/>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rPr>
            </w:pPr>
          </w:p>
        </w:tc>
        <w:tc>
          <w:tcPr>
            <w:tcW w:w="493"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东北</w:t>
            </w:r>
          </w:p>
        </w:tc>
        <w:tc>
          <w:tcPr>
            <w:tcW w:w="723" w:type="pct"/>
            <w:gridSpan w:val="3"/>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4480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31" w:type="pct"/>
            <w:vMerge w:val="continue"/>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textAlignment w:val="auto"/>
              <w:rPr>
                <w:rFonts w:hint="default" w:ascii="Times New Roman" w:hAnsi="Times New Roman" w:cs="Times New Roman"/>
                <w:color w:val="auto"/>
                <w:sz w:val="21"/>
                <w:szCs w:val="21"/>
                <w:highlight w:val="none"/>
                <w:lang w:val="en-US" w:eastAsia="zh-CN"/>
              </w:rPr>
            </w:pPr>
          </w:p>
        </w:tc>
        <w:tc>
          <w:tcPr>
            <w:tcW w:w="606" w:type="pct"/>
            <w:vMerge w:val="continue"/>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p>
        </w:tc>
        <w:tc>
          <w:tcPr>
            <w:tcW w:w="995"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三园子村居民</w:t>
            </w:r>
          </w:p>
        </w:tc>
        <w:tc>
          <w:tcPr>
            <w:tcW w:w="1849" w:type="pct"/>
            <w:vMerge w:val="continue"/>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rPr>
            </w:pPr>
          </w:p>
        </w:tc>
        <w:tc>
          <w:tcPr>
            <w:tcW w:w="493"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西北</w:t>
            </w:r>
          </w:p>
        </w:tc>
        <w:tc>
          <w:tcPr>
            <w:tcW w:w="723" w:type="pct"/>
            <w:gridSpan w:val="3"/>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6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4800</w:t>
            </w:r>
          </w:p>
        </w:tc>
      </w:tr>
    </w:tbl>
    <w:p>
      <w:pPr>
        <w:pageBreakBefore w:val="0"/>
        <w:wordWrap/>
        <w:bidi w:val="0"/>
        <w:adjustRightInd w:val="0"/>
        <w:ind w:left="0" w:leftChars="0" w:right="0" w:rightChars="0" w:firstLine="480"/>
        <w:rPr>
          <w:rFonts w:hint="default" w:ascii="Times New Roman" w:hAnsi="Times New Roman" w:eastAsia="宋体" w:cs="Times New Roman"/>
          <w:bCs/>
          <w:color w:val="auto"/>
          <w:highlight w:val="none"/>
          <w:lang w:val="en-US" w:eastAsia="zh-CN"/>
        </w:rPr>
      </w:pPr>
    </w:p>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环境风险识别</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（1）主要风险物质识别</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①有毒有害气体：</w:t>
      </w:r>
      <w:r>
        <w:rPr>
          <w:rFonts w:hint="default" w:ascii="Times New Roman" w:hAnsi="Times New Roman" w:cs="Times New Roman"/>
          <w:color w:val="auto"/>
          <w:highlight w:val="none"/>
          <w:lang w:val="en-US" w:eastAsia="zh-CN"/>
        </w:rPr>
        <w:t>粪污</w:t>
      </w:r>
      <w:r>
        <w:rPr>
          <w:rFonts w:hint="default" w:ascii="Times New Roman" w:hAnsi="Times New Roman" w:cs="Times New Roman"/>
          <w:color w:val="auto"/>
          <w:highlight w:val="none"/>
        </w:rPr>
        <w:t>会挥发出含硫化氢</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和氨气</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是有刺激性臭味气体</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主要分布于养殖区及堆粪场</w:t>
      </w:r>
      <w:r>
        <w:rPr>
          <w:rFonts w:hint="default" w:ascii="Times New Roman" w:hAnsi="Times New Roman" w:cs="Times New Roman"/>
          <w:color w:val="auto"/>
          <w:highlight w:val="none"/>
        </w:rPr>
        <w:t>。</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②卫生防疫：患传染病的牛引发的疫病风险</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主要分布于养殖区及</w:t>
      </w:r>
      <w:r>
        <w:rPr>
          <w:rFonts w:hint="default" w:ascii="Times New Roman" w:hAnsi="Times New Roman" w:cs="Times New Roman"/>
          <w:color w:val="auto"/>
          <w:highlight w:val="none"/>
        </w:rPr>
        <w:t>病牛隔离治疗室。</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t>③粪污</w:t>
      </w:r>
      <w:r>
        <w:rPr>
          <w:rFonts w:hint="default" w:ascii="Times New Roman" w:hAnsi="Times New Roman" w:eastAsia="宋体" w:cs="Times New Roman"/>
          <w:color w:val="auto"/>
          <w:highlight w:val="none"/>
        </w:rPr>
        <w:t>：事故排放将污染周边土壤及地下水环境</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主要分布于堆粪场及</w:t>
      </w:r>
      <w:r>
        <w:rPr>
          <w:rFonts w:hint="eastAsia" w:cs="Times New Roman"/>
          <w:color w:val="auto"/>
          <w:highlight w:val="none"/>
          <w:lang w:val="en-US" w:eastAsia="zh-CN"/>
        </w:rPr>
        <w:t>集污池</w:t>
      </w:r>
      <w:r>
        <w:rPr>
          <w:rFonts w:hint="default" w:ascii="Times New Roman" w:hAnsi="Times New Roman" w:eastAsia="宋体" w:cs="Times New Roman"/>
          <w:color w:val="auto"/>
          <w:highlight w:val="none"/>
        </w:rPr>
        <w:t>。</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④大量的饲料堆放可能引发的火灾风险</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主要分布于饲料加工区及储存区</w:t>
      </w:r>
      <w:r>
        <w:rPr>
          <w:rFonts w:hint="default" w:ascii="Times New Roman" w:hAnsi="Times New Roman" w:eastAsia="宋体" w:cs="Times New Roman"/>
          <w:color w:val="auto"/>
          <w:highlight w:val="none"/>
          <w:lang w:eastAsia="zh-CN"/>
        </w:rPr>
        <w:t>。</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（2）生产设施和风险类型识别</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患传染病的牛：患人畜共患的传染病的牛和工作人员接触后引发工作人员发病，病牛的</w:t>
      </w:r>
      <w:r>
        <w:rPr>
          <w:rFonts w:hint="default" w:ascii="Times New Roman" w:hAnsi="Times New Roman" w:cs="Times New Roman"/>
          <w:color w:val="auto"/>
          <w:highlight w:val="none"/>
          <w:lang w:val="en-US" w:eastAsia="zh-CN"/>
        </w:rPr>
        <w:t>粪污</w:t>
      </w:r>
      <w:r>
        <w:rPr>
          <w:rFonts w:hint="default" w:ascii="Times New Roman" w:hAnsi="Times New Roman" w:cs="Times New Roman"/>
          <w:color w:val="auto"/>
          <w:highlight w:val="none"/>
        </w:rPr>
        <w:t>和工作人员接触后引发工作人员发病。</w:t>
      </w:r>
    </w:p>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环境风险分析</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（1）常发病危害</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ascii="Times New Roman" w:hAnsi="Times New Roman" w:eastAsia="宋体" w:cs="Times New Roman"/>
          <w:color w:val="auto"/>
          <w:sz w:val="24"/>
          <w:szCs w:val="24"/>
        </w:rPr>
        <w:t>集约化养殖规模大、密度高</w:t>
      </w:r>
      <w:r>
        <w:rPr>
          <w:rFonts w:hint="eastAsia" w:ascii="Times New Roman" w:hAnsi="Times New Roman" w:eastAsia="宋体" w:cs="Times New Roman"/>
          <w:color w:val="auto"/>
          <w:sz w:val="24"/>
          <w:szCs w:val="24"/>
          <w:lang w:eastAsia="zh-CN"/>
        </w:rPr>
        <w:t>，</w:t>
      </w:r>
      <w:r>
        <w:rPr>
          <w:rFonts w:hint="default" w:ascii="Times New Roman" w:hAnsi="Times New Roman" w:cs="Times New Roman"/>
          <w:color w:val="auto"/>
          <w:highlight w:val="none"/>
          <w:lang w:eastAsia="zh-CN"/>
        </w:rPr>
        <w:t>养殖基地</w:t>
      </w:r>
      <w:r>
        <w:rPr>
          <w:rFonts w:hint="default" w:ascii="Times New Roman" w:hAnsi="Times New Roman" w:cs="Times New Roman"/>
          <w:color w:val="auto"/>
          <w:highlight w:val="none"/>
        </w:rPr>
        <w:t>如管理不善，会诱发常见疾病，如口蹄疫、炭疽、布鲁菌病和结核病等，而且传播很快，甚至感染到人群。</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口蹄疫是偶蹄兽的一种急性、发热性高度接触性传染病，其临床特征是在口腔黏膜、蹄部和乳房皮肤发生水疱性疹。病毒主要存在于水疱皮及淋巴液中。病牛是主要的传染源，康复期和潜伏期的病牛亦可带毒排毒，本病主要经呼吸和消化道感染，也能经黏膜和皮肤感染。其传播既有蔓延式又有跳跃式的，它可发生于一年四季。潜伏期平均2～4天，最长可达7天左右，病牛体温升高40～41℃，精神沉郁、食欲下降，闭口、流涎，开口时有吸吮声。1～2天后在唇内面、齿龈、舌面和颊部黏膜发生蚕豆大至核桃大的水疱。此时口角流涎增多，呈白色泡沫状，常挂满嘴边，采食、反刍完全停止。在口腔发生水疱的同时或稍后，趾间及蹄冠的柔软皮肤上也发生水疱，并很快破溃出现糜烂，然后逐渐愈合。若病牛衰弱管理不当或治疗不及时，糜烂部可能继发感染化脓、坏死、甚至蹄匣脱落，乳头皮肤有时也可能出现水疱，而且很快破裂形成烂斑。本病一般为良性经过，只是口腔发病，约经1周即可治愈，如果蹄部出现病变时，则病期可延至2～3周或更久，死亡率一般不超过1％～3％。但有时当水疱病变逐渐愈合，病牛趋向恢复健康时，病情突然恶化，全身虚弱、肌肉震颤、特别是心跳加快、节律不齐，因心脏麻痹而突然倒地死亡，这种病型称为恶性口蹄疫，病死率高达20％～50％，主要是由于病毒侵害心肌所致。</w:t>
      </w:r>
      <w:r>
        <w:rPr>
          <w:rFonts w:hint="eastAsia" w:cs="Times New Roman"/>
          <w:color w:val="auto"/>
          <w:highlight w:val="none"/>
          <w:lang w:eastAsia="zh-CN"/>
        </w:rPr>
        <w:t>牛犊</w:t>
      </w:r>
      <w:r>
        <w:rPr>
          <w:rFonts w:hint="default" w:ascii="Times New Roman" w:hAnsi="Times New Roman" w:cs="Times New Roman"/>
          <w:color w:val="auto"/>
          <w:highlight w:val="none"/>
        </w:rPr>
        <w:t>患病时特征性水疱症状不明显，主要表现为出血性肠炎和心肌麻痹，死亡率很高。</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炭疽是由炭疽杆菌引起的一种急性、热败血性传染病。本病能传染给人和其他家畜。炭疽杆菌为革兰氏阳性菌，为需氧和兼性需氧菌。菌体对外界理化因素的抵抗力不强，但炭疽杆菌芽孢的抵抗力很强，在干燥状态下可存活40年以上，在土壤中可生存20年以上且具有感染力。如果被感染动物的尸体处理不当或形成大量芽孢并污染土壤、水源、牧地等，则可成为长久的疫源地。本病主要传染源是病畜，经消化道感染。常因采食被污染的饲料、饮水而感染，其次是带有炭疽杆菌的吸血昆虫叮咬，通过皮肤而感染。本病世界各地均有发生，一般呈散发性，但有时也可呈地方性流行。多发生于炎热多雨的季节。牛群一般对为最急性型发病，体温升高，出现昏迷、突然卧倒、呼吸极度困难、可视黏膜呈蓝紫色、口吐白沫、全身战栗、</w:t>
      </w:r>
      <w:r>
        <w:rPr>
          <w:rFonts w:hint="default" w:ascii="Times New Roman" w:hAnsi="Times New Roman" w:cs="Times New Roman"/>
          <w:color w:val="auto"/>
          <w:spacing w:val="-6"/>
          <w:highlight w:val="none"/>
        </w:rPr>
        <w:t>心悸等症状，不久出现虚脱，濒死期天然孑L出血，出现症状后数分钟至数小时死亡。</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布鲁菌病是布氏杆菌引起的一种人畜共患传染病，主要侵害生殖器官和关节。母牛临床上主要表现为流产、早产、胎衣停滞，常伴发子宫内膜炎、屡配不孕。对畜牧业发展造成严重危害。布氏杆菌病的病牛和带菌牛是本病的主要传染源。牛感染后多为隐性感染，不表现临床症状，但通过分泌物和</w:t>
      </w:r>
      <w:r>
        <w:rPr>
          <w:rFonts w:hint="default" w:ascii="Times New Roman" w:hAnsi="Times New Roman" w:cs="Times New Roman"/>
          <w:color w:val="auto"/>
          <w:highlight w:val="none"/>
          <w:lang w:eastAsia="zh-CN"/>
        </w:rPr>
        <w:t>粪污</w:t>
      </w:r>
      <w:r>
        <w:rPr>
          <w:rFonts w:hint="default" w:ascii="Times New Roman" w:hAnsi="Times New Roman" w:cs="Times New Roman"/>
          <w:color w:val="auto"/>
          <w:highlight w:val="none"/>
        </w:rPr>
        <w:t>不断向外界排菌污染环境，排出的病菌有相当强的抵抗力，在胎衣中能存活4个月，在水、土壤中存活3个月，在皮毛上存活1-4个月。病公牛睾丸或附睾肿大、发硬，关节炎，局部淋巴结肿大，配种能力降低。传播途径：可以通过粘膜、消化道、呼吸道、皮肤、交配、乳汁等多种途径感染。当人接触患布病奶牛，尤其空手给病牛接产时，布病菌就有可能通过受伤的皮肤侵入人体，或与病牛密切接触后不洗手就吃东西、吸烟、揉眼睛等可能感染发病，另外食用带布病菌未煮熟的奶、肉等也可感染布病。</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结核病是由分枝杆菌引起的人畜共患的一种传染病，特征表现为渐进性消瘦、咳嗽，通常在肺脏、消化道、淋巴结、乳腺等实质性器官形成结核结节、肉芽肿或干酪样坏死。牛对本病最易感染，人可感染牛型结核菌，牛也可感染人型结核菌。病牛可通过呼吸道、消化道传播，也可通过交配传播，其中通过呼吸道传染的威胁最大。结核病菌侵害的部位和侵害的组织损伤程度不同，病牛临床表现不尽一致。病牛表现慢性经过，病程较长，进行性消瘦虚弱，产奶量降低。（一）肺结核：最常见，病牛易疲劳，有短促干咳，渐变为脓性湿咳，有时鼻孔流出淡黄色粘稠液，肺有锣音或摩擦音，叩诊呈浊音，患牛贫血消瘦，后期见体温升高，呈弛张热或稽留热。（二）肠结核：表现前胃弛缓和瘤胃臌胀、腹泻、粪便稀粥样，内混有粘液或脓性分泌物。（三）乳房结核：乳腺实质出现大小不等、多少不一的结节，质地坚硬，无热无痛，患区泌乳减少，乳汁稀薄呈灰白色，乳房淋巴结肿大。（四）生殖器官结核：主要表现为母牛流产、久配不孕，公畜睾丸炎，以及性行为异常等。</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）病死尸体风险</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病死的家畜、家禽多数是因患了某种传染病而死亡的。其中有一些是人畜共患的传染病，如炭疽、结核、禽流感等，如食用这些病死的畜禽肉，人就容易被传染上这些疾病，这对人的身体健康危害极大。有些畜禽虽然不是因为传染病而死，但死亡之后，体内的沙门氏菌、大肠杆菌、变形杆菌等，就会大量繁殖并迅速散播到畜禽的肌肉里，有的细菌还能产生肠毒素，人若吃了这种畜禽的肉，就会发生食物中毒。有些禽畜可能因吃了被污染剧毒农药的食料而中毒死亡，人如果吃了这种死畜禽，同样也有可能中毒，甚至造成死亡。因此，对于病死或者死因不明的畜禽，</w:t>
      </w:r>
      <w:r>
        <w:rPr>
          <w:rFonts w:hint="default" w:ascii="Times New Roman" w:hAnsi="Times New Roman" w:cs="Times New Roman"/>
          <w:color w:val="auto"/>
          <w:spacing w:val="-6"/>
          <w:sz w:val="24"/>
          <w:highlight w:val="none"/>
        </w:rPr>
        <w:t>必须按照国务院畜牧兽医行政管理部门的有关规定进行无害化处理，不得随意处置。</w:t>
      </w:r>
    </w:p>
    <w:p>
      <w:pPr>
        <w:pageBreakBefore w:val="0"/>
        <w:wordWrap/>
        <w:bidi w:val="0"/>
        <w:adjustRightInd w:val="0"/>
        <w:snapToGrid w:val="0"/>
        <w:spacing w:line="360" w:lineRule="auto"/>
        <w:ind w:left="0" w:leftChars="0" w:right="0" w:rightChars="0"/>
        <w:rPr>
          <w:rFonts w:hint="default" w:ascii="Times New Roman" w:hAnsi="Times New Roman" w:eastAsia="宋体" w:cs="Times New Roman"/>
          <w:color w:val="auto"/>
          <w:szCs w:val="22"/>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3</w:t>
      </w:r>
      <w:r>
        <w:rPr>
          <w:rFonts w:hint="default" w:ascii="Times New Roman" w:hAnsi="Times New Roman" w:eastAsia="宋体" w:cs="Times New Roman"/>
          <w:color w:val="auto"/>
          <w:szCs w:val="22"/>
          <w:highlight w:val="none"/>
        </w:rPr>
        <w:t>）</w:t>
      </w:r>
      <w:r>
        <w:rPr>
          <w:rFonts w:hint="eastAsia" w:cs="Times New Roman"/>
          <w:color w:val="auto"/>
          <w:szCs w:val="22"/>
          <w:highlight w:val="none"/>
          <w:lang w:eastAsia="zh-CN"/>
        </w:rPr>
        <w:t>干草棚</w:t>
      </w:r>
      <w:r>
        <w:rPr>
          <w:rFonts w:hint="default" w:ascii="Times New Roman" w:hAnsi="Times New Roman" w:eastAsia="宋体" w:cs="Times New Roman"/>
          <w:color w:val="auto"/>
          <w:szCs w:val="22"/>
          <w:highlight w:val="none"/>
        </w:rPr>
        <w:t>火灾风险</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sz w:val="24"/>
          <w:szCs w:val="24"/>
          <w:highlight w:val="none"/>
        </w:rPr>
        <w:t>项目区内</w:t>
      </w:r>
      <w:r>
        <w:rPr>
          <w:rFonts w:hint="eastAsia" w:cs="Times New Roman"/>
          <w:color w:val="auto"/>
          <w:sz w:val="24"/>
          <w:szCs w:val="24"/>
          <w:highlight w:val="none"/>
          <w:lang w:eastAsia="zh-CN"/>
        </w:rPr>
        <w:t>干草棚</w:t>
      </w:r>
      <w:r>
        <w:rPr>
          <w:rFonts w:hint="default" w:ascii="Times New Roman" w:hAnsi="Times New Roman" w:cs="Times New Roman"/>
          <w:color w:val="auto"/>
          <w:sz w:val="24"/>
          <w:szCs w:val="24"/>
          <w:highlight w:val="none"/>
        </w:rPr>
        <w:t>贮存量较大</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如若管理不当容易引发火灾</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各堆垛之间过密易引发物料自燃。大火之后产生的次生污染物</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对大气环境、水环境的污染。当火灾突发环境事件发生后</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污染物会导致区域200m范围内空气严重污染</w:t>
      </w:r>
      <w:r>
        <w:rPr>
          <w:rFonts w:hint="default" w:ascii="Times New Roman" w:hAnsi="Times New Roman" w:cs="Times New Roman"/>
          <w:color w:val="auto"/>
          <w:sz w:val="24"/>
          <w:szCs w:val="24"/>
          <w:highlight w:val="none"/>
          <w:lang w:eastAsia="zh-CN"/>
        </w:rPr>
        <w:t>，</w:t>
      </w:r>
      <w:r>
        <w:rPr>
          <w:rFonts w:hint="eastAsia"/>
          <w:color w:val="auto"/>
        </w:rPr>
        <w:t>周边人群会</w:t>
      </w:r>
      <w:r>
        <w:rPr>
          <w:rFonts w:hint="default" w:ascii="Times New Roman" w:hAnsi="Times New Roman" w:cs="Times New Roman"/>
          <w:color w:val="auto"/>
          <w:sz w:val="24"/>
          <w:szCs w:val="24"/>
          <w:highlight w:val="none"/>
        </w:rPr>
        <w:t>岀现眼及呼吸道刺激症状</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呼吸困难等</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短时间接触容许浓度范围最远岀现在事故源下风向地面1000〜1200m范围内。因此需釆取防治措施避免</w:t>
      </w:r>
      <w:r>
        <w:rPr>
          <w:rFonts w:hint="default" w:ascii="Times New Roman" w:hAnsi="Times New Roman" w:cs="Times New Roman"/>
          <w:color w:val="auto"/>
          <w:sz w:val="24"/>
          <w:szCs w:val="24"/>
          <w:highlight w:val="none"/>
          <w:lang w:eastAsia="zh-CN"/>
        </w:rPr>
        <w:t>场区</w:t>
      </w:r>
      <w:r>
        <w:rPr>
          <w:rFonts w:hint="default" w:ascii="Times New Roman" w:hAnsi="Times New Roman" w:cs="Times New Roman"/>
          <w:color w:val="auto"/>
          <w:sz w:val="24"/>
          <w:szCs w:val="24"/>
          <w:highlight w:val="none"/>
        </w:rPr>
        <w:t>内火灾的发生。</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废水事故状态风险</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事故排放对水环境的污染会造成水环境</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土壤环境</w:t>
      </w:r>
      <w:r>
        <w:rPr>
          <w:rFonts w:hint="default" w:ascii="Times New Roman" w:hAnsi="Times New Roman" w:cs="Times New Roman"/>
          <w:color w:val="auto"/>
          <w:highlight w:val="none"/>
        </w:rPr>
        <w:t>中COD、NH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-N的增加，污染水环境</w:t>
      </w:r>
      <w:r>
        <w:rPr>
          <w:rFonts w:hint="default" w:ascii="Times New Roman" w:hAnsi="Times New Roman" w:cs="Times New Roman"/>
          <w:color w:val="auto"/>
          <w:highlight w:val="none"/>
          <w:lang w:val="en-US" w:eastAsia="zh-CN"/>
        </w:rPr>
        <w:t>和土壤环境</w:t>
      </w:r>
      <w:r>
        <w:rPr>
          <w:rFonts w:hint="default" w:ascii="Times New Roman" w:hAnsi="Times New Roman" w:cs="Times New Roman"/>
          <w:color w:val="auto"/>
          <w:highlight w:val="none"/>
        </w:rPr>
        <w:t>。</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本项目产生的废水主要为</w:t>
      </w:r>
      <w:r>
        <w:rPr>
          <w:rFonts w:hint="default" w:ascii="Times New Roman" w:hAnsi="Times New Roman" w:cs="Times New Roman"/>
          <w:color w:val="auto"/>
          <w:highlight w:val="none"/>
          <w:lang w:val="en-US" w:eastAsia="zh-CN"/>
        </w:rPr>
        <w:t>牛尿液、</w:t>
      </w:r>
      <w:r>
        <w:rPr>
          <w:rFonts w:hint="eastAsia" w:cs="Times New Roman"/>
          <w:color w:val="auto"/>
          <w:highlight w:val="none"/>
          <w:lang w:eastAsia="zh-CN"/>
        </w:rPr>
        <w:t>挤奶厅设备和地面清洗废水</w:t>
      </w:r>
      <w:r>
        <w:rPr>
          <w:rFonts w:hint="default" w:ascii="Times New Roman" w:hAnsi="Times New Roman" w:cs="Times New Roman"/>
          <w:color w:val="auto"/>
          <w:highlight w:val="none"/>
          <w:lang w:val="en-US" w:eastAsia="zh-CN"/>
        </w:rPr>
        <w:t>及生活污水</w:t>
      </w:r>
      <w:r>
        <w:rPr>
          <w:rFonts w:hint="default" w:ascii="Times New Roman" w:hAnsi="Times New Roman" w:cs="Times New Roman"/>
          <w:color w:val="auto"/>
          <w:highlight w:val="none"/>
        </w:rPr>
        <w:t>，</w:t>
      </w:r>
      <w:r>
        <w:rPr>
          <w:rFonts w:hint="eastAsia" w:cs="Times New Roman"/>
          <w:color w:val="auto"/>
          <w:kern w:val="0"/>
          <w:sz w:val="24"/>
          <w:szCs w:val="24"/>
          <w:highlight w:val="none"/>
          <w:lang w:val="en-US" w:eastAsia="zh-CN" w:bidi="ar"/>
        </w:rPr>
        <w:t>牛尿进入垫料中，</w:t>
      </w:r>
      <w:r>
        <w:rPr>
          <w:rFonts w:hint="default" w:ascii="Times New Roman" w:hAnsi="Times New Roman" w:eastAsia="宋体" w:cs="Times New Roman"/>
          <w:color w:val="auto"/>
          <w:kern w:val="0"/>
          <w:sz w:val="24"/>
          <w:szCs w:val="24"/>
          <w:highlight w:val="none"/>
          <w:lang w:val="en-US" w:eastAsia="zh-CN" w:bidi="ar"/>
        </w:rPr>
        <w:t>部分自然蒸发，剩余</w:t>
      </w:r>
      <w:r>
        <w:rPr>
          <w:rFonts w:hint="eastAsia" w:cs="Times New Roman"/>
          <w:color w:val="auto"/>
          <w:kern w:val="0"/>
          <w:sz w:val="24"/>
          <w:szCs w:val="24"/>
          <w:highlight w:val="none"/>
          <w:lang w:val="en-US" w:eastAsia="zh-CN" w:bidi="ar"/>
        </w:rPr>
        <w:t>部分与垫料</w:t>
      </w:r>
      <w:r>
        <w:rPr>
          <w:rFonts w:hint="default" w:ascii="Times New Roman" w:hAnsi="Times New Roman" w:eastAsia="宋体" w:cs="Times New Roman"/>
          <w:color w:val="auto"/>
          <w:kern w:val="0"/>
          <w:sz w:val="24"/>
          <w:szCs w:val="24"/>
          <w:highlight w:val="none"/>
          <w:lang w:val="en-US" w:eastAsia="zh-CN" w:bidi="ar"/>
        </w:rPr>
        <w:t>一起进入</w:t>
      </w:r>
      <w:r>
        <w:rPr>
          <w:rFonts w:hint="default" w:ascii="Times New Roman" w:hAnsi="Times New Roman" w:cs="Times New Roman"/>
          <w:color w:val="auto"/>
          <w:kern w:val="0"/>
          <w:sz w:val="24"/>
          <w:szCs w:val="24"/>
          <w:highlight w:val="none"/>
          <w:lang w:val="en-US" w:eastAsia="zh-CN" w:bidi="ar"/>
        </w:rPr>
        <w:t>堆粪场</w:t>
      </w:r>
      <w:r>
        <w:rPr>
          <w:rFonts w:hint="default" w:ascii="Times New Roman" w:hAnsi="Times New Roman" w:eastAsia="宋体" w:cs="Times New Roman"/>
          <w:color w:val="auto"/>
          <w:kern w:val="0"/>
          <w:sz w:val="24"/>
          <w:szCs w:val="24"/>
          <w:highlight w:val="none"/>
          <w:lang w:val="en-US" w:eastAsia="zh-CN" w:bidi="ar"/>
        </w:rPr>
        <w:t>，不外排</w:t>
      </w:r>
      <w:r>
        <w:rPr>
          <w:rFonts w:hint="default" w:ascii="Times New Roman" w:hAnsi="Times New Roman"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挤奶厅设备和地面清洗废水</w:t>
      </w:r>
      <w:r>
        <w:rPr>
          <w:rFonts w:hint="default" w:ascii="Times New Roman" w:hAnsi="Times New Roman" w:cs="Times New Roman"/>
          <w:color w:val="auto"/>
          <w:kern w:val="0"/>
          <w:sz w:val="24"/>
          <w:szCs w:val="24"/>
          <w:highlight w:val="none"/>
          <w:lang w:val="en-US" w:eastAsia="zh-CN" w:bidi="ar"/>
        </w:rPr>
        <w:t>及</w:t>
      </w:r>
      <w:r>
        <w:rPr>
          <w:rFonts w:hint="default" w:ascii="Times New Roman" w:hAnsi="Times New Roman" w:cs="Times New Roman"/>
          <w:color w:val="auto"/>
          <w:highlight w:val="none"/>
          <w:lang w:val="en-US" w:eastAsia="zh-CN"/>
        </w:rPr>
        <w:t>生活污水进入</w:t>
      </w:r>
      <w:r>
        <w:rPr>
          <w:rFonts w:hint="eastAsia" w:cs="Times New Roman"/>
          <w:color w:val="auto"/>
          <w:highlight w:val="none"/>
          <w:lang w:val="en-US" w:eastAsia="zh-CN"/>
        </w:rPr>
        <w:t>集污池收集</w:t>
      </w:r>
      <w:r>
        <w:rPr>
          <w:rFonts w:hint="default" w:ascii="Times New Roman" w:hAnsi="Times New Roman" w:cs="Times New Roman"/>
          <w:color w:val="auto"/>
          <w:highlight w:val="none"/>
          <w:lang w:val="en-US" w:eastAsia="zh-CN"/>
        </w:rPr>
        <w:t>定期拉运处理，</w:t>
      </w:r>
      <w:r>
        <w:rPr>
          <w:rFonts w:hint="default" w:ascii="Times New Roman" w:hAnsi="Times New Roman" w:cs="Times New Roman"/>
          <w:color w:val="auto"/>
          <w:highlight w:val="none"/>
        </w:rPr>
        <w:t>无废水外排。</w:t>
      </w:r>
    </w:p>
    <w:p>
      <w:pPr>
        <w:pStyle w:val="6"/>
        <w:pageBreakBefore w:val="0"/>
        <w:wordWrap/>
        <w:bidi w:val="0"/>
        <w:adjustRightInd w:val="0"/>
        <w:ind w:left="0" w:leftChars="0"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风险事故防范措施</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）疫情风险的防范措施</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卫生防疫是规模化</w:t>
      </w:r>
      <w:r>
        <w:rPr>
          <w:rFonts w:hint="default" w:ascii="Times New Roman" w:hAnsi="Times New Roman" w:cs="Times New Roman"/>
          <w:color w:val="auto"/>
          <w:highlight w:val="none"/>
          <w:lang w:eastAsia="zh-CN"/>
        </w:rPr>
        <w:t>养殖基地</w:t>
      </w:r>
      <w:r>
        <w:rPr>
          <w:rFonts w:hint="default" w:ascii="Times New Roman" w:hAnsi="Times New Roman" w:cs="Times New Roman"/>
          <w:color w:val="auto"/>
          <w:highlight w:val="none"/>
        </w:rPr>
        <w:t>成败的关键，必须严格按照《中华人民共和国动物防疫法》的要求，做到“以防为主，防治结合，制度健全，责任到人”。</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①消毒制度：</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凡进入</w:t>
      </w:r>
      <w:r>
        <w:rPr>
          <w:rFonts w:hint="default" w:ascii="Times New Roman" w:hAnsi="Times New Roman" w:cs="Times New Roman"/>
          <w:color w:val="auto"/>
          <w:highlight w:val="none"/>
          <w:lang w:eastAsia="zh-CN"/>
        </w:rPr>
        <w:t>养殖基地</w:t>
      </w:r>
      <w:r>
        <w:rPr>
          <w:rFonts w:hint="default" w:ascii="Times New Roman" w:hAnsi="Times New Roman" w:cs="Times New Roman"/>
          <w:color w:val="auto"/>
          <w:highlight w:val="none"/>
        </w:rPr>
        <w:t>的人和车辆等都需要经过消毒。凡是进入</w:t>
      </w:r>
      <w:r>
        <w:rPr>
          <w:rFonts w:hint="default" w:ascii="Times New Roman" w:hAnsi="Times New Roman" w:cs="Times New Roman"/>
          <w:color w:val="auto"/>
          <w:highlight w:val="none"/>
          <w:lang w:eastAsia="zh-CN"/>
        </w:rPr>
        <w:t>养殖基地</w:t>
      </w:r>
      <w:r>
        <w:rPr>
          <w:rFonts w:hint="default" w:ascii="Times New Roman" w:hAnsi="Times New Roman" w:cs="Times New Roman"/>
          <w:color w:val="auto"/>
          <w:highlight w:val="none"/>
        </w:rPr>
        <w:t>的工作人员，一律更换工作服、工作鞋，并经进行消毒。外来人员必须进入生产区时，也应按照上述方法消毒，在场区管理人员的带领下，按照指定路线行走。</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②免疫程序管理：</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如果</w:t>
      </w:r>
      <w:r>
        <w:rPr>
          <w:rFonts w:hint="default" w:ascii="Times New Roman" w:hAnsi="Times New Roman" w:cs="Times New Roman"/>
          <w:color w:val="auto"/>
          <w:highlight w:val="none"/>
          <w:lang w:eastAsia="zh-CN"/>
        </w:rPr>
        <w:t>养殖基地</w:t>
      </w:r>
      <w:r>
        <w:rPr>
          <w:rFonts w:hint="default" w:ascii="Times New Roman" w:hAnsi="Times New Roman" w:cs="Times New Roman"/>
          <w:color w:val="auto"/>
          <w:highlight w:val="none"/>
        </w:rPr>
        <w:t>需要引进幼牛时，严格检疫，</w:t>
      </w:r>
      <w:r>
        <w:rPr>
          <w:rFonts w:ascii="Times New Roman" w:hAnsi="Times New Roman" w:eastAsia="宋体" w:cs="Times New Roman"/>
          <w:color w:val="auto"/>
          <w:sz w:val="24"/>
          <w:szCs w:val="24"/>
        </w:rPr>
        <w:t>购买的种牛必须取得官方的检疫证和非疫区证明</w:t>
      </w:r>
      <w:r>
        <w:rPr>
          <w:rFonts w:hint="eastAsia" w:ascii="Times New Roman" w:hAnsi="Times New Roman" w:eastAsia="宋体" w:cs="Times New Roman"/>
          <w:color w:val="auto"/>
          <w:sz w:val="24"/>
          <w:szCs w:val="24"/>
          <w:lang w:eastAsia="zh-CN"/>
        </w:rPr>
        <w:t>。</w:t>
      </w:r>
      <w:r>
        <w:rPr>
          <w:rFonts w:hint="default" w:ascii="Times New Roman" w:hAnsi="Times New Roman" w:cs="Times New Roman"/>
          <w:color w:val="auto"/>
          <w:highlight w:val="none"/>
        </w:rPr>
        <w:t>运输过程严格执行《种畜禽调运检疫技术规范》的要求，幼牛到场后，在隔离观察期经检查确定为健康幼牛后，方可供生产使用。</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rPr>
        <w:t>严格执行自治区家畜疫病防治的五个强制（免疫、疫区检疫、封锁、消毒、病畜捕杀）和两个强化（疫病报告、防疫监督）制度，定期防治传染病和寄生虫病。养殖过程中应定期检疫和检验并记录,重点做好微生物检验记录和对生产过程 的消毒进行监督,防止病疫传播。</w:t>
      </w:r>
      <w:r>
        <w:rPr>
          <w:rFonts w:hint="default" w:ascii="Times New Roman" w:hAnsi="Times New Roman" w:cs="Times New Roman"/>
          <w:color w:val="auto"/>
          <w:highlight w:val="none"/>
        </w:rPr>
        <w:t>制定一套合理的免疫程序和检测制度，一旦发生疫情，封锁疫点，禁止流动，病牛及相关物品采取无害化处理。对未发病的牛，用疫苗（剂量可加大2～4倍）进行紧急预防接种，对圈舍、</w:t>
      </w:r>
      <w:r>
        <w:rPr>
          <w:rFonts w:hint="default" w:ascii="Times New Roman" w:hAnsi="Times New Roman" w:cs="Times New Roman"/>
          <w:color w:val="auto"/>
          <w:highlight w:val="none"/>
          <w:lang w:eastAsia="zh-CN"/>
        </w:rPr>
        <w:t>粪污</w:t>
      </w:r>
      <w:r>
        <w:rPr>
          <w:rFonts w:hint="default" w:ascii="Times New Roman" w:hAnsi="Times New Roman" w:cs="Times New Roman"/>
          <w:color w:val="auto"/>
          <w:highlight w:val="none"/>
        </w:rPr>
        <w:t>和用具彻底彻底消毒，饲养用具每天消毒一次。</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③诊疗程序管理：</w:t>
      </w:r>
      <w:r>
        <w:rPr>
          <w:rFonts w:hint="default" w:ascii="Times New Roman" w:hAnsi="Times New Roman" w:eastAsia="宋体" w:cs="Times New Roman"/>
          <w:color w:val="auto"/>
          <w:highlight w:val="none"/>
          <w:lang w:eastAsia="zh-CN"/>
        </w:rPr>
        <w:t>养殖基地</w:t>
      </w:r>
      <w:r>
        <w:rPr>
          <w:rFonts w:hint="default" w:ascii="Times New Roman" w:hAnsi="Times New Roman" w:eastAsia="宋体" w:cs="Times New Roman"/>
          <w:color w:val="auto"/>
          <w:highlight w:val="none"/>
        </w:rPr>
        <w:t>应定期检查牛群健康状况，做到及时发现、及时隔离、及时救治，严格控制疾病大面积传播。检疫时如发现碳疽病及其它传染病传播,立即将其隔离,装袋,送危险品销毁 场所,按有关规定进行焚烧处理。经检验不合格的牛应遵循《畜禽养殖业污染防治 技术规范》(HJ/T81 -2001)。</w:t>
      </w:r>
    </w:p>
    <w:p>
      <w:pPr>
        <w:pStyle w:val="110"/>
        <w:adjustRightInd w:val="0"/>
        <w:snapToGrid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根据《中华人民共和国动物防疫法》中相关规定,任何单位或者个人发现患有 疫病或者疑似疫病的动物,都应当及时向当地动物防疫监督机构报告。动物防疫监 督机构应当迅速釆取措施,并按照国家有关规定上报。</w:t>
      </w:r>
    </w:p>
    <w:p>
      <w:pPr>
        <w:pStyle w:val="110"/>
        <w:adjustRightInd w:val="0"/>
        <w:snapToGrid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任何单位和个人不得瞒报、谎报、阻碍他人报告动物疫情。</w:t>
      </w:r>
    </w:p>
    <w:p>
      <w:pPr>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④保证圈舍良好的卫生环境</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对圈舍内消毒时要将圈舍清扫干净，圈舍周围环境定期消毒。</w:t>
      </w:r>
      <w:r>
        <w:rPr>
          <w:rFonts w:hint="default" w:ascii="Times New Roman" w:hAnsi="Times New Roman" w:cs="Times New Roman"/>
          <w:color w:val="auto"/>
          <w:highlight w:val="none"/>
          <w:lang w:eastAsia="zh-CN"/>
        </w:rPr>
        <w:t>养殖基地</w:t>
      </w:r>
      <w:r>
        <w:rPr>
          <w:rFonts w:hint="default" w:ascii="Times New Roman" w:hAnsi="Times New Roman" w:cs="Times New Roman"/>
          <w:color w:val="auto"/>
          <w:highlight w:val="none"/>
        </w:rPr>
        <w:t>周围及场内定期消毒。在</w:t>
      </w:r>
      <w:r>
        <w:rPr>
          <w:rFonts w:hint="default" w:ascii="Times New Roman" w:hAnsi="Times New Roman" w:cs="Times New Roman"/>
          <w:color w:val="auto"/>
          <w:highlight w:val="none"/>
          <w:lang w:eastAsia="zh-CN"/>
        </w:rPr>
        <w:t>养殖基地</w:t>
      </w:r>
      <w:r>
        <w:rPr>
          <w:rFonts w:hint="default" w:ascii="Times New Roman" w:hAnsi="Times New Roman" w:cs="Times New Roman"/>
          <w:color w:val="auto"/>
          <w:highlight w:val="none"/>
        </w:rPr>
        <w:t>入口设消毒池并定期更换消毒液。</w:t>
      </w:r>
    </w:p>
    <w:p>
      <w:pPr>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⑤保证饲料质量，加强饲养管理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经常检查、调整、平衡牛日粮的营养，以提高牛群抵抗力。</w:t>
      </w:r>
    </w:p>
    <w:p>
      <w:pPr>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⑥本项目场界四周建设围栏，在粪污处理设施周边建设隔离带。</w:t>
      </w:r>
    </w:p>
    <w:p>
      <w:pPr>
        <w:pageBreakBefore w:val="0"/>
        <w:numPr>
          <w:ilvl w:val="0"/>
          <w:numId w:val="17"/>
        </w:numPr>
        <w:wordWrap/>
        <w:bidi w:val="0"/>
        <w:adjustRightInd w:val="0"/>
        <w:ind w:left="0" w:leftChars="0" w:right="0" w:rightChars="0"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病死尸体风险</w:t>
      </w:r>
      <w:r>
        <w:rPr>
          <w:rFonts w:hint="default" w:ascii="Times New Roman" w:hAnsi="Times New Roman" w:cs="Times New Roman"/>
          <w:color w:val="auto"/>
          <w:highlight w:val="none"/>
          <w:lang w:val="en-US" w:eastAsia="zh-CN"/>
        </w:rPr>
        <w:t>防范措施</w:t>
      </w:r>
    </w:p>
    <w:p>
      <w:pPr>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根据《畜禽养殖业污染治理工程技术规范》（HJ497-2009）中病死畜禽尸体处理与处置和《畜禽养殖业污染防治技术规范》（HJ/T81-2001）中病死畜禽尸体处理与处置，病死畜禽尸体应及时处理，不得随意丢弃，不得出售或作为饲料再利用。因高致病性禽流感疫情导致禽类死亡，死禽尸体的处理与处置应符合《高致病新禽流感疫情处置技术规范》的规定。</w:t>
      </w:r>
    </w:p>
    <w:p>
      <w:pPr>
        <w:pageBreakBefore w:val="0"/>
        <w:wordWrap/>
        <w:bidi w:val="0"/>
        <w:adjustRightInd w:val="0"/>
        <w:ind w:left="0" w:leftChars="0" w:right="0" w:rightChars="0" w:firstLine="480"/>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 xml:space="preserve"> 在</w:t>
      </w:r>
      <w:r>
        <w:rPr>
          <w:rFonts w:hint="default" w:ascii="Times New Roman" w:hAnsi="Times New Roman" w:cs="Times New Roman"/>
          <w:color w:val="auto"/>
          <w:szCs w:val="22"/>
          <w:highlight w:val="none"/>
          <w:lang w:eastAsia="zh-CN"/>
        </w:rPr>
        <w:t>养殖基地</w:t>
      </w:r>
      <w:r>
        <w:rPr>
          <w:rFonts w:hint="default" w:ascii="Times New Roman" w:hAnsi="Times New Roman" w:cs="Times New Roman"/>
          <w:color w:val="auto"/>
          <w:szCs w:val="22"/>
          <w:highlight w:val="none"/>
        </w:rPr>
        <w:t>内专门设置有隔离圈舍，对可疑病牛先在隔离圈舍进行隔离观察，将病牛和可疑病牛与健康牛隔离开来，将疫情限制在最小范围内，同时启动相应级别疫情应急处置方案。仍然有使用价值的病</w:t>
      </w:r>
      <w:r>
        <w:rPr>
          <w:rFonts w:hint="default" w:ascii="Times New Roman" w:hAnsi="Times New Roman" w:cs="Times New Roman"/>
          <w:color w:val="auto"/>
          <w:szCs w:val="22"/>
          <w:highlight w:val="none"/>
          <w:lang w:val="en-US" w:eastAsia="zh-CN"/>
        </w:rPr>
        <w:t>牛</w:t>
      </w:r>
      <w:r>
        <w:rPr>
          <w:rFonts w:hint="default" w:ascii="Times New Roman" w:hAnsi="Times New Roman" w:cs="Times New Roman"/>
          <w:color w:val="auto"/>
          <w:szCs w:val="22"/>
          <w:highlight w:val="none"/>
        </w:rPr>
        <w:t>应隔离饲养、治疗，彻底治愈后，可以归群。</w:t>
      </w:r>
    </w:p>
    <w:p>
      <w:pPr>
        <w:pageBreakBefore w:val="0"/>
        <w:wordWrap/>
        <w:bidi w:val="0"/>
        <w:adjustRightInd w:val="0"/>
        <w:ind w:left="0" w:leftChars="0" w:right="0" w:rightChars="0" w:firstLine="480"/>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本项目饲养过程中，病死牛及时</w:t>
      </w:r>
      <w:r>
        <w:rPr>
          <w:rFonts w:hint="eastAsia" w:cs="Times New Roman"/>
          <w:color w:val="auto"/>
          <w:szCs w:val="22"/>
          <w:highlight w:val="none"/>
          <w:lang w:val="en-US" w:eastAsia="zh-CN"/>
        </w:rPr>
        <w:t>填埋</w:t>
      </w:r>
      <w:r>
        <w:rPr>
          <w:rFonts w:hint="default" w:ascii="Times New Roman" w:hAnsi="Times New Roman" w:cs="Times New Roman"/>
          <w:color w:val="auto"/>
          <w:szCs w:val="22"/>
          <w:highlight w:val="none"/>
        </w:rPr>
        <w:t>处理。</w:t>
      </w:r>
    </w:p>
    <w:p>
      <w:pPr>
        <w:pageBreakBefore w:val="0"/>
        <w:wordWrap/>
        <w:bidi w:val="0"/>
        <w:adjustRightInd w:val="0"/>
        <w:ind w:left="0" w:leftChars="0" w:right="0" w:rightChars="0" w:firstLine="480"/>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管理员按要求对病牛和当日处理的病死牛种类、原因、只数和体重如实进行登记记录。记录档案保存应不少于两年。</w:t>
      </w:r>
    </w:p>
    <w:p>
      <w:pPr>
        <w:pageBreakBefore w:val="0"/>
        <w:numPr>
          <w:ilvl w:val="0"/>
          <w:numId w:val="17"/>
        </w:numPr>
        <w:wordWrap/>
        <w:bidi w:val="0"/>
        <w:adjustRightInd w:val="0"/>
        <w:snapToGrid w:val="0"/>
        <w:spacing w:line="360" w:lineRule="auto"/>
        <w:ind w:left="0" w:leftChars="0" w:right="0" w:rightChars="0" w:firstLine="480" w:firstLineChars="200"/>
        <w:rPr>
          <w:rFonts w:hint="default" w:ascii="Times New Roman" w:hAnsi="Times New Roman" w:eastAsia="宋体" w:cs="Times New Roman"/>
          <w:color w:val="auto"/>
          <w:szCs w:val="22"/>
          <w:highlight w:val="none"/>
          <w:lang w:val="en-US" w:eastAsia="zh-CN"/>
        </w:rPr>
      </w:pPr>
      <w:r>
        <w:rPr>
          <w:rFonts w:hint="eastAsia" w:cs="Times New Roman"/>
          <w:color w:val="auto"/>
          <w:szCs w:val="22"/>
          <w:highlight w:val="none"/>
          <w:lang w:eastAsia="zh-CN"/>
        </w:rPr>
        <w:t>干草棚</w:t>
      </w:r>
      <w:r>
        <w:rPr>
          <w:rFonts w:hint="default" w:ascii="Times New Roman" w:hAnsi="Times New Roman" w:eastAsia="宋体" w:cs="Times New Roman"/>
          <w:color w:val="auto"/>
          <w:szCs w:val="22"/>
          <w:highlight w:val="none"/>
        </w:rPr>
        <w:t>火灾风险</w:t>
      </w:r>
      <w:r>
        <w:rPr>
          <w:rFonts w:hint="default" w:ascii="Times New Roman" w:hAnsi="Times New Roman" w:eastAsia="宋体" w:cs="Times New Roman"/>
          <w:color w:val="auto"/>
          <w:szCs w:val="22"/>
          <w:highlight w:val="none"/>
          <w:lang w:val="en-US" w:eastAsia="zh-CN"/>
        </w:rPr>
        <w:t>防范措施</w:t>
      </w:r>
    </w:p>
    <w:p>
      <w:pPr>
        <w:pageBreakBefore w:val="0"/>
        <w:numPr>
          <w:ilvl w:val="0"/>
          <w:numId w:val="18"/>
        </w:numPr>
        <w:wordWrap/>
        <w:bidi w:val="0"/>
        <w:adjustRightInd w:val="0"/>
        <w:snapToGrid w:val="0"/>
        <w:spacing w:line="360" w:lineRule="auto"/>
        <w:ind w:left="0" w:leftChars="0" w:right="0" w:rightChars="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加强管理</w:t>
      </w: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rPr>
        <w:t>区内明火的使用</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禁火区域内动用明火作业</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应严格执行动火审批制度</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吸烟必须按指定地点</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不准乱丢烟蒂</w:t>
      </w:r>
      <w:r>
        <w:rPr>
          <w:rFonts w:hint="default" w:ascii="Times New Roman" w:hAnsi="Times New Roman" w:eastAsia="宋体" w:cs="Times New Roman"/>
          <w:color w:val="auto"/>
          <w:sz w:val="24"/>
          <w:szCs w:val="24"/>
          <w:highlight w:val="none"/>
          <w:lang w:eastAsia="zh-CN"/>
        </w:rPr>
        <w:t>。</w:t>
      </w:r>
    </w:p>
    <w:p>
      <w:pPr>
        <w:pageBreakBefore w:val="0"/>
        <w:numPr>
          <w:ilvl w:val="0"/>
          <w:numId w:val="18"/>
        </w:numPr>
        <w:wordWrap/>
        <w:bidi w:val="0"/>
        <w:adjustRightInd w:val="0"/>
        <w:snapToGrid w:val="0"/>
        <w:spacing w:line="360" w:lineRule="auto"/>
        <w:ind w:left="0" w:leftChars="0" w:right="0" w:rightChars="0" w:firstLine="480" w:firstLineChars="200"/>
        <w:rPr>
          <w:rFonts w:hint="default" w:ascii="Times New Roman" w:hAnsi="Times New Roman" w:cs="Times New Roman"/>
          <w:color w:val="auto"/>
          <w:highlight w:val="none"/>
        </w:rPr>
      </w:pPr>
      <w:r>
        <w:rPr>
          <w:rFonts w:hint="default" w:ascii="Times New Roman" w:hAnsi="Times New Roman" w:eastAsia="宋体" w:cs="Times New Roman"/>
          <w:color w:val="auto"/>
          <w:sz w:val="24"/>
          <w:szCs w:val="24"/>
          <w:highlight w:val="none"/>
        </w:rPr>
        <w:t>饲草周边张贴警示标识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尽可能降低 火灾隐患</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合理布置堆垛的贮存</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不宜过密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可有效地的减少火灾发生的概率</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堆料区周边严禁堆放其他物品</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消防器材每月检查一次</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注意保养工作</w:t>
      </w:r>
      <w:r>
        <w:rPr>
          <w:rFonts w:hint="default" w:ascii="Times New Roman" w:hAnsi="Times New Roman" w:eastAsia="宋体" w:cs="Times New Roman"/>
          <w:color w:val="auto"/>
          <w:sz w:val="24"/>
          <w:szCs w:val="24"/>
          <w:highlight w:val="none"/>
          <w:lang w:eastAsia="zh-CN"/>
        </w:rPr>
        <w:t>。</w:t>
      </w:r>
    </w:p>
    <w:p>
      <w:pPr>
        <w:pageBreakBefore w:val="0"/>
        <w:numPr>
          <w:ilvl w:val="0"/>
          <w:numId w:val="18"/>
        </w:numPr>
        <w:wordWrap/>
        <w:bidi w:val="0"/>
        <w:adjustRightInd w:val="0"/>
        <w:ind w:left="0" w:leftChars="0" w:right="0" w:rightChars="0"/>
        <w:rPr>
          <w:rFonts w:hint="default" w:ascii="Times New Roman" w:hAnsi="Times New Roman" w:cs="Times New Roman"/>
          <w:color w:val="auto"/>
          <w:highlight w:val="none"/>
        </w:rPr>
      </w:pPr>
      <w:bookmarkStart w:id="310" w:name="bookmark592"/>
      <w:bookmarkEnd w:id="310"/>
      <w:r>
        <w:rPr>
          <w:rFonts w:hint="default" w:ascii="Times New Roman" w:hAnsi="Times New Roman" w:cs="Times New Roman"/>
          <w:color w:val="auto"/>
          <w:highlight w:val="none"/>
        </w:rPr>
        <w:t>加强项目区内水资源的管理和使用</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以保证发生火灾的第一时间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有足够 的水量及压カ</w:t>
      </w:r>
      <w:r>
        <w:rPr>
          <w:rFonts w:hint="default" w:ascii="Times New Roman" w:hAnsi="Times New Roman" w:cs="Times New Roman"/>
          <w:color w:val="auto"/>
          <w:highlight w:val="none"/>
          <w:lang w:eastAsia="zh-CN"/>
        </w:rPr>
        <w:t>。</w:t>
      </w:r>
    </w:p>
    <w:p>
      <w:pPr>
        <w:pageBreakBefore w:val="0"/>
        <w:numPr>
          <w:ilvl w:val="0"/>
          <w:numId w:val="18"/>
        </w:numPr>
        <w:wordWrap/>
        <w:bidi w:val="0"/>
        <w:adjustRightInd w:val="0"/>
        <w:ind w:left="0" w:leftChars="0" w:right="0" w:rightChars="0"/>
        <w:rPr>
          <w:rFonts w:hint="default" w:ascii="Times New Roman" w:hAnsi="Times New Roman" w:cs="Times New Roman"/>
          <w:color w:val="auto"/>
          <w:highlight w:val="none"/>
        </w:rPr>
      </w:pPr>
      <w:bookmarkStart w:id="311" w:name="bookmark593"/>
      <w:bookmarkEnd w:id="311"/>
      <w:r>
        <w:rPr>
          <w:rFonts w:hint="default" w:ascii="Times New Roman" w:hAnsi="Times New Roman" w:cs="Times New Roman"/>
          <w:color w:val="auto"/>
          <w:highlight w:val="none"/>
        </w:rPr>
        <w:t>组织员工学习消防安全、生产安全知识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掌握使用各类灭火器材的操作本 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提高灭火技能</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以防万一</w:t>
      </w:r>
      <w:r>
        <w:rPr>
          <w:rFonts w:hint="default" w:ascii="Times New Roman" w:hAnsi="Times New Roman" w:cs="Times New Roman"/>
          <w:color w:val="auto"/>
          <w:highlight w:val="none"/>
          <w:lang w:eastAsia="zh-CN"/>
        </w:rPr>
        <w:t>。</w:t>
      </w:r>
    </w:p>
    <w:p>
      <w:pPr>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综上所述</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在釆取上述风险防范处理措施后</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项目发生火灾时能及时应对。</w:t>
      </w:r>
    </w:p>
    <w:p>
      <w:pPr>
        <w:pageBreakBefore w:val="0"/>
        <w:numPr>
          <w:ilvl w:val="0"/>
          <w:numId w:val="17"/>
        </w:numPr>
        <w:wordWrap/>
        <w:bidi w:val="0"/>
        <w:adjustRightInd w:val="0"/>
        <w:snapToGrid w:val="0"/>
        <w:spacing w:line="360" w:lineRule="auto"/>
        <w:ind w:left="0" w:leftChars="0" w:right="0" w:rightChars="0" w:firstLine="480" w:firstLineChars="200"/>
        <w:rPr>
          <w:rFonts w:hint="default" w:ascii="Times New Roman" w:hAnsi="Times New Roman" w:eastAsia="宋体" w:cs="Times New Roman"/>
          <w:color w:val="auto"/>
          <w:szCs w:val="22"/>
          <w:highlight w:val="none"/>
          <w:lang w:val="en-US" w:eastAsia="zh-CN"/>
        </w:rPr>
      </w:pPr>
      <w:r>
        <w:rPr>
          <w:rFonts w:hint="default" w:ascii="Times New Roman" w:hAnsi="Times New Roman" w:cs="Times New Roman"/>
          <w:color w:val="auto"/>
          <w:highlight w:val="none"/>
        </w:rPr>
        <w:t>废水事故性排污风险</w:t>
      </w:r>
      <w:r>
        <w:rPr>
          <w:rFonts w:hint="default" w:ascii="Times New Roman" w:hAnsi="Times New Roman" w:eastAsia="宋体" w:cs="Times New Roman"/>
          <w:color w:val="auto"/>
          <w:szCs w:val="22"/>
          <w:highlight w:val="none"/>
          <w:lang w:val="en-US" w:eastAsia="zh-CN"/>
        </w:rPr>
        <w:t>防范措施</w:t>
      </w:r>
    </w:p>
    <w:p>
      <w:pPr>
        <w:pageBreakBefore w:val="0"/>
        <w:wordWrap/>
        <w:bidi w:val="0"/>
        <w:adjustRightInd w:val="0"/>
        <w:ind w:left="0" w:leftChars="0" w:right="0" w:rightChars="0"/>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sz w:val="24"/>
          <w:szCs w:val="24"/>
          <w:highlight w:val="none"/>
        </w:rPr>
        <w:t>制定比较完善的环境安全管理规章制度</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定期检查</w:t>
      </w:r>
      <w:r>
        <w:rPr>
          <w:rFonts w:hint="default" w:ascii="Times New Roman" w:hAnsi="Times New Roman" w:cs="Times New Roman"/>
          <w:color w:val="auto"/>
          <w:sz w:val="24"/>
          <w:szCs w:val="24"/>
          <w:highlight w:val="none"/>
          <w:lang w:val="en-US" w:eastAsia="zh-CN"/>
        </w:rPr>
        <w:t>堆粪场</w:t>
      </w:r>
      <w:r>
        <w:rPr>
          <w:rFonts w:hint="default" w:ascii="Times New Roman" w:hAnsi="Times New Roman" w:eastAsia="宋体" w:cs="Times New Roman"/>
          <w:color w:val="auto"/>
          <w:sz w:val="24"/>
          <w:szCs w:val="24"/>
          <w:highlight w:val="none"/>
          <w:lang w:val="en-US" w:eastAsia="zh-CN"/>
        </w:rPr>
        <w:t>及相关管道是否有破损情况，发现破损及时修补，避免污染土壤环境及地下水环境</w:t>
      </w:r>
      <w:r>
        <w:rPr>
          <w:rFonts w:hint="default" w:ascii="Times New Roman" w:hAnsi="Times New Roman" w:eastAsia="宋体" w:cs="Times New Roman"/>
          <w:color w:val="auto"/>
          <w:sz w:val="24"/>
          <w:szCs w:val="24"/>
          <w:highlight w:val="none"/>
        </w:rPr>
        <w:t>。</w:t>
      </w:r>
    </w:p>
    <w:p>
      <w:pPr>
        <w:pStyle w:val="6"/>
        <w:pageBreakBefore w:val="0"/>
        <w:wordWrap/>
        <w:bidi w:val="0"/>
        <w:adjustRightInd w:val="0"/>
        <w:ind w:left="0" w:leftChars="0"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应急预案</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中华人民共和国动物防疫法》，应制定重大动物疫情应急预案，建立应急反应体系，重大动物疫情应急工作按照属地管理的原则，实行政府统一领导、部门分工负责，逐级建立责任制。本项目应根据《国家突发公共卫生事件应急预案》《突发公共卫生事件应急条例》《新疆维吾尔自治区动物防疫条例》《重大动物疫情应急条例》《农业部门应对人间发生高致病性禽流感疫情应急预案》《环境污染事故应急预</w:t>
      </w:r>
      <w:r>
        <w:rPr>
          <w:rFonts w:hint="default" w:ascii="Times New Roman" w:hAnsi="Times New Roman" w:eastAsia="宋体" w:cs="Times New Roman"/>
          <w:color w:val="auto"/>
          <w:highlight w:val="none"/>
        </w:rPr>
        <w:t>案编制</w:t>
      </w:r>
      <w:r>
        <w:rPr>
          <w:rFonts w:hint="default" w:ascii="Times New Roman" w:hAnsi="Times New Roman" w:eastAsia="宋体" w:cs="Times New Roman"/>
          <w:color w:val="auto"/>
          <w:highlight w:val="none"/>
          <w:lang w:val="en-US" w:eastAsia="zh-CN"/>
        </w:rPr>
        <w:t>技术</w:t>
      </w:r>
      <w:r>
        <w:rPr>
          <w:rFonts w:hint="default" w:ascii="Times New Roman" w:hAnsi="Times New Roman" w:eastAsia="宋体" w:cs="Times New Roman"/>
          <w:color w:val="auto"/>
          <w:highlight w:val="none"/>
        </w:rPr>
        <w:t>指南》</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征求意见稿</w:t>
      </w:r>
      <w:r>
        <w:rPr>
          <w:rFonts w:hint="default" w:ascii="Times New Roman" w:hAnsi="Times New Roman" w:eastAsia="宋体" w:cs="Times New Roman"/>
          <w:color w:val="auto"/>
          <w:highlight w:val="none"/>
          <w:lang w:eastAsia="zh-CN"/>
        </w:rPr>
        <w:t>）</w:t>
      </w:r>
      <w:r>
        <w:rPr>
          <w:rFonts w:hint="eastAsia" w:cs="Times New Roman"/>
          <w:color w:val="auto"/>
          <w:highlight w:val="none"/>
          <w:lang w:eastAsia="zh-CN"/>
        </w:rPr>
        <w:t>、</w:t>
      </w:r>
      <w:r>
        <w:rPr>
          <w:rFonts w:hint="default" w:ascii="Times New Roman" w:hAnsi="Times New Roman" w:cs="Times New Roman"/>
          <w:color w:val="auto"/>
          <w:highlight w:val="none"/>
        </w:rPr>
        <w:t>《突发环境事件应急预案管理暂行办法》（环发〔2010〕113号）等规定，尽快编制突发事件环境应急预案。</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风险应急预案强调组织机构的应急能力，重点是组织救援响应协调机构的建立及要求，应急管理、应急救援各级响应程序是否能快速、安全、有效启动，对风险影响的快速、有效控制措施。</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当</w:t>
      </w:r>
      <w:r>
        <w:rPr>
          <w:rFonts w:hint="default" w:ascii="Times New Roman" w:hAnsi="Times New Roman" w:cs="Times New Roman"/>
          <w:color w:val="auto"/>
          <w:highlight w:val="none"/>
          <w:lang w:eastAsia="zh-CN"/>
        </w:rPr>
        <w:t>养殖基地</w:t>
      </w:r>
      <w:r>
        <w:rPr>
          <w:rFonts w:hint="default" w:ascii="Times New Roman" w:hAnsi="Times New Roman" w:cs="Times New Roman"/>
          <w:color w:val="auto"/>
          <w:highlight w:val="none"/>
        </w:rPr>
        <w:t>发生疫情时，应启动相应的应急预案，采取相应的措施：</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（1）应急准备</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建设单位应成立应急救援领导小组，明确应急指挥部的职责、组成以及成员单位的分工。</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（2）监测、报告和公布</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建设单位应立即组成防疫小组，尽快做出确切诊断，迅速向卫生防疫部门报告疫情。</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卫生防疫部门接到报告后，应当立即赶赴现场调查核实。并同时报所在地</w:t>
      </w:r>
      <w:r>
        <w:rPr>
          <w:rFonts w:hint="default" w:ascii="Times New Roman" w:hAnsi="Times New Roman" w:cs="Times New Roman"/>
          <w:color w:val="auto"/>
          <w:highlight w:val="none"/>
          <w:lang w:val="en-US" w:eastAsia="zh-CN"/>
        </w:rPr>
        <w:t>农业农村局</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农业农村局</w:t>
      </w:r>
      <w:r>
        <w:rPr>
          <w:rFonts w:hint="default" w:ascii="Times New Roman" w:hAnsi="Times New Roman" w:cs="Times New Roman"/>
          <w:color w:val="auto"/>
          <w:highlight w:val="none"/>
        </w:rPr>
        <w:t>应当及时通报同级卫生主管部门。</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重大动物疫情由国务院</w:t>
      </w:r>
      <w:r>
        <w:rPr>
          <w:rFonts w:hint="default" w:ascii="Times New Roman" w:hAnsi="Times New Roman" w:cs="Times New Roman"/>
          <w:color w:val="auto"/>
          <w:highlight w:val="none"/>
          <w:lang w:val="en-US" w:eastAsia="zh-CN"/>
        </w:rPr>
        <w:t>农业农村部</w:t>
      </w:r>
      <w:r>
        <w:rPr>
          <w:rFonts w:hint="default" w:ascii="Times New Roman" w:hAnsi="Times New Roman" w:cs="Times New Roman"/>
          <w:color w:val="auto"/>
          <w:highlight w:val="none"/>
        </w:rPr>
        <w:t>按照国家规定的程序，及时准确公布，以使当地人群了解疫情发展及处置情况。</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（3）应急处理</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迅速隔离病牛，对危害较重的传染病应及时划区封锁，建立封锁带，出入人员和车辆要严格消毒，同时严格消毒污染环境。</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对病牛及封锁区内的牛实行合理的综合防制措施，包括疫苗的紧急接种、抗生素疗法、高免血清的特异性疗法、化学疗法、增强体质和生理机能的辅助疗法等。</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1）对疫点应当采取下列措施：</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①销毁染疫动物和易感染的动物及其产品；</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②对病死的动物、动物</w:t>
      </w:r>
      <w:r>
        <w:rPr>
          <w:rFonts w:hint="default" w:ascii="Times New Roman" w:hAnsi="Times New Roman" w:cs="Times New Roman"/>
          <w:color w:val="auto"/>
          <w:highlight w:val="none"/>
          <w:lang w:eastAsia="zh-CN"/>
        </w:rPr>
        <w:t>粪污</w:t>
      </w:r>
      <w:r>
        <w:rPr>
          <w:rFonts w:hint="default" w:ascii="Times New Roman" w:hAnsi="Times New Roman" w:cs="Times New Roman"/>
          <w:color w:val="auto"/>
          <w:highlight w:val="none"/>
        </w:rPr>
        <w:t>、被污染饲料、污水进行无害化处理；</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③对被污染的物品、用具、动物圈舍、场地进行严格消毒。</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2）对疫区应当采取下列措施：</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①在疫区周围设置警示标志，在出入疫区的交通路口设置临时动物检疫消毒站，对出入的人员和车辆进行消毒；</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②销毁染疫和疑似染疫动物及其同群动物，销毁染疫和疑似染疫的动物产品，对其他易感染的动物实行圈养或者在指定地点放养，役用动物限制在疫区内使役；</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③对易感染的动物进行监测，并按照国务院兽医主管部门的规定实施紧急免疫接种，必要时对易感染的动物进行扑杀；</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④对圈舍、</w:t>
      </w:r>
      <w:r>
        <w:rPr>
          <w:rFonts w:hint="default" w:ascii="Times New Roman" w:hAnsi="Times New Roman" w:cs="Times New Roman"/>
          <w:color w:val="auto"/>
          <w:highlight w:val="none"/>
          <w:lang w:eastAsia="zh-CN"/>
        </w:rPr>
        <w:t>粪污</w:t>
      </w:r>
      <w:r>
        <w:rPr>
          <w:rFonts w:hint="default" w:ascii="Times New Roman" w:hAnsi="Times New Roman" w:cs="Times New Roman"/>
          <w:color w:val="auto"/>
          <w:highlight w:val="none"/>
        </w:rPr>
        <w:t>、污水和其他可能受污染的物品、场地，进行消毒或者无害化处理。</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3）对受威胁区应当采取下列措施：</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①对易感染的动物进行监测；</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②对易感染的动物根据需要实施紧急免疫接种。</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4）病死牛尸体要严格按照防疫条例进行处置。</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（5）解除封锁的条件</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自疫区内最后一头（只）发病动物及其同群动物处理完毕起，经过一个潜伏期以上的监测，未出现新的病例的，彻底消毒后，经上一级动物防疫监督机构验收合格，由原发布封锁令的人民政府宣布解除封锁，撤销疫区；由原批准机关撤销在该疫区设立的临时动物检疫消毒站。</w:t>
      </w:r>
    </w:p>
    <w:p>
      <w:pPr>
        <w:pStyle w:val="6"/>
        <w:pageBreakBefore w:val="0"/>
        <w:wordWrap/>
        <w:bidi w:val="0"/>
        <w:adjustRightInd w:val="0"/>
        <w:ind w:left="0" w:leftChars="0"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环境风险</w:t>
      </w:r>
      <w:r>
        <w:rPr>
          <w:rFonts w:hint="default" w:ascii="Times New Roman" w:hAnsi="Times New Roman" w:cs="Times New Roman"/>
          <w:color w:val="auto"/>
          <w:highlight w:val="none"/>
          <w:lang w:val="en-US" w:eastAsia="zh-CN"/>
        </w:rPr>
        <w:t>分析</w:t>
      </w:r>
      <w:r>
        <w:rPr>
          <w:rFonts w:hint="default" w:ascii="Times New Roman" w:hAnsi="Times New Roman" w:cs="Times New Roman"/>
          <w:color w:val="auto"/>
          <w:highlight w:val="none"/>
        </w:rPr>
        <w:t>结论</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项目风险分析，本项目潜在的风险为废水渗漏事故风险、疫病事故风险。企业应严格按照安全生产制度，严格管理，提高操作人员的素质和水平，同时制定有效的应急方案，使事故发生后对环境的影响减至最低程度。</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建设单位在按照本报告书的要求做好各项风险预防措施及应急预案的前提下，所产生的环境风险可以控制在可接受水平内。</w:t>
      </w:r>
    </w:p>
    <w:p>
      <w:pPr>
        <w:pStyle w:val="56"/>
        <w:pageBreakBefore w:val="0"/>
        <w:tabs>
          <w:tab w:val="left" w:pos="5280"/>
        </w:tabs>
        <w:wordWrap/>
        <w:bidi w:val="0"/>
        <w:adjustRightInd w:val="0"/>
        <w:ind w:left="0" w:leftChars="0" w:right="0" w:rightChars="0"/>
        <w:rPr>
          <w:rStyle w:val="68"/>
          <w:rFonts w:hint="default" w:ascii="Times New Roman" w:hAnsi="Times New Roman" w:cs="Times New Roman"/>
          <w:b/>
          <w:color w:val="auto"/>
          <w:sz w:val="21"/>
          <w:szCs w:val="21"/>
          <w:highlight w:val="none"/>
          <w:lang w:val="en-US" w:eastAsia="zh-CN"/>
        </w:rPr>
      </w:pPr>
      <w:r>
        <w:rPr>
          <w:rStyle w:val="68"/>
          <w:rFonts w:hint="default" w:ascii="Times New Roman" w:hAnsi="Times New Roman" w:cs="Times New Roman"/>
          <w:b/>
          <w:color w:val="auto"/>
          <w:sz w:val="21"/>
          <w:szCs w:val="21"/>
          <w:highlight w:val="none"/>
          <w:lang w:val="en-US" w:eastAsia="zh-CN"/>
        </w:rPr>
        <w:t>表5.</w:t>
      </w:r>
      <w:r>
        <w:rPr>
          <w:rStyle w:val="68"/>
          <w:rFonts w:hint="eastAsia" w:cs="Times New Roman"/>
          <w:b/>
          <w:color w:val="auto"/>
          <w:sz w:val="21"/>
          <w:szCs w:val="21"/>
          <w:highlight w:val="none"/>
          <w:lang w:val="en-US" w:eastAsia="zh-CN"/>
        </w:rPr>
        <w:t>3-3</w:t>
      </w:r>
      <w:r>
        <w:rPr>
          <w:rStyle w:val="68"/>
          <w:rFonts w:hint="default" w:ascii="Times New Roman" w:hAnsi="Times New Roman" w:cs="Times New Roman"/>
          <w:b/>
          <w:color w:val="auto"/>
          <w:sz w:val="21"/>
          <w:szCs w:val="21"/>
          <w:highlight w:val="none"/>
          <w:lang w:val="en-US" w:eastAsia="zh-CN"/>
        </w:rPr>
        <w:t xml:space="preserve">   建设项目环境风险简单分析内容表</w:t>
      </w:r>
    </w:p>
    <w:tbl>
      <w:tblPr>
        <w:tblStyle w:val="40"/>
        <w:tblpPr w:leftFromText="180" w:rightFromText="180" w:vertAnchor="text" w:tblpY="1"/>
        <w:tblOverlap w:val="never"/>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61"/>
        <w:gridCol w:w="1268"/>
        <w:gridCol w:w="1976"/>
        <w:gridCol w:w="1236"/>
        <w:gridCol w:w="27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888"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建设项目名称</w:t>
            </w:r>
          </w:p>
        </w:tc>
        <w:tc>
          <w:tcPr>
            <w:tcW w:w="4111" w:type="pct"/>
            <w:gridSpan w:val="4"/>
            <w:tcBorders>
              <w:tl2br w:val="nil"/>
              <w:tr2bl w:val="nil"/>
            </w:tcBorders>
            <w:noWrap w:val="0"/>
            <w:vAlign w:val="top"/>
          </w:tcPr>
          <w:p>
            <w:pPr>
              <w:pStyle w:val="55"/>
              <w:keepNext/>
              <w:keepLines/>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 w:val="21"/>
                <w:szCs w:val="21"/>
                <w:highlight w:val="none"/>
                <w:lang w:eastAsia="zh-CN"/>
              </w:rPr>
              <w:t>塔城奶牛现代化养殖基地建设项目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8"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建设地点</w:t>
            </w:r>
          </w:p>
        </w:tc>
        <w:tc>
          <w:tcPr>
            <w:tcW w:w="4111" w:type="pct"/>
            <w:gridSpan w:val="4"/>
            <w:tcBorders>
              <w:tl2br w:val="nil"/>
              <w:tr2bl w:val="nil"/>
            </w:tcBorders>
            <w:noWrap w:val="0"/>
            <w:vAlign w:val="top"/>
          </w:tcPr>
          <w:p>
            <w:pPr>
              <w:pStyle w:val="55"/>
              <w:keepNext/>
              <w:keepLines/>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新疆维吾尔自治区伊犁哈萨克自治州</w:t>
            </w:r>
            <w:r>
              <w:rPr>
                <w:rFonts w:hint="default" w:ascii="Times New Roman" w:hAnsi="Times New Roman" w:cs="Times New Roman"/>
                <w:color w:val="auto"/>
                <w:kern w:val="0"/>
                <w:sz w:val="21"/>
                <w:szCs w:val="21"/>
                <w:highlight w:val="none"/>
                <w:lang w:eastAsia="zh-CN"/>
              </w:rPr>
              <w:t>塔城市博孜达克镇三园子村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8"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地理坐标</w:t>
            </w:r>
          </w:p>
        </w:tc>
        <w:tc>
          <w:tcPr>
            <w:tcW w:w="721" w:type="pct"/>
            <w:tcBorders>
              <w:tl2br w:val="nil"/>
              <w:tr2bl w:val="nil"/>
            </w:tcBorders>
            <w:noWrap w:val="0"/>
            <w:vAlign w:val="top"/>
          </w:tcPr>
          <w:p>
            <w:pPr>
              <w:pStyle w:val="55"/>
              <w:keepNext/>
              <w:keepLines/>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经度</w:t>
            </w:r>
          </w:p>
        </w:tc>
        <w:tc>
          <w:tcPr>
            <w:tcW w:w="1124" w:type="pct"/>
            <w:tcBorders>
              <w:tl2br w:val="nil"/>
              <w:tr2bl w:val="nil"/>
            </w:tcBorders>
            <w:noWrap w:val="0"/>
            <w:vAlign w:val="top"/>
          </w:tcPr>
          <w:p>
            <w:pPr>
              <w:pStyle w:val="55"/>
              <w:keepNext/>
              <w:keepLines/>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eastAsia="zh-CN"/>
              </w:rPr>
              <w:t>83°11′51.214″</w:t>
            </w:r>
          </w:p>
        </w:tc>
        <w:tc>
          <w:tcPr>
            <w:tcW w:w="703" w:type="pct"/>
            <w:tcBorders>
              <w:tl2br w:val="nil"/>
              <w:tr2bl w:val="nil"/>
            </w:tcBorders>
            <w:noWrap w:val="0"/>
            <w:vAlign w:val="top"/>
          </w:tcPr>
          <w:p>
            <w:pPr>
              <w:pStyle w:val="55"/>
              <w:keepNext/>
              <w:keepLines/>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纬度</w:t>
            </w:r>
          </w:p>
        </w:tc>
        <w:tc>
          <w:tcPr>
            <w:tcW w:w="1562" w:type="pct"/>
            <w:tcBorders>
              <w:tl2br w:val="nil"/>
              <w:tr2bl w:val="nil"/>
            </w:tcBorders>
            <w:noWrap w:val="0"/>
            <w:vAlign w:val="top"/>
          </w:tcPr>
          <w:p>
            <w:pPr>
              <w:pStyle w:val="55"/>
              <w:keepNext/>
              <w:keepLines/>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eastAsia="zh-CN"/>
              </w:rPr>
              <w:t>46°35′48.363″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8"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主要危险物质及分布</w:t>
            </w:r>
          </w:p>
        </w:tc>
        <w:tc>
          <w:tcPr>
            <w:tcW w:w="4111" w:type="pct"/>
            <w:gridSpan w:val="4"/>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运营过程中会产生H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等恶臭气体，但其属于无组织排放的气体，不进行储存。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8"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环境影响途径及危害后果</w:t>
            </w:r>
          </w:p>
        </w:tc>
        <w:tc>
          <w:tcPr>
            <w:tcW w:w="4111" w:type="pct"/>
            <w:gridSpan w:val="4"/>
            <w:tcBorders>
              <w:tl2br w:val="nil"/>
              <w:tr2bl w:val="nil"/>
            </w:tcBorders>
            <w:noWrap w:val="0"/>
            <w:vAlign w:val="top"/>
          </w:tcPr>
          <w:p>
            <w:pPr>
              <w:pStyle w:val="55"/>
              <w:keepNext/>
              <w:keepLines/>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（1）常发病危害</w:t>
            </w:r>
          </w:p>
          <w:p>
            <w:pPr>
              <w:pStyle w:val="55"/>
              <w:keepNext/>
              <w:keepLines/>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养殖基地如管理不善，会诱发常见疾病，如口蹄疫、炭疽、布鲁菌病和结核病等，而且传播很快，甚至感染到人群。</w:t>
            </w:r>
          </w:p>
          <w:p>
            <w:pPr>
              <w:pStyle w:val="55"/>
              <w:keepNext/>
              <w:keepLines/>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炭疽是由炭疽杆菌引起的一种急性、热败血性传染病。本病能传染给人和其他家畜。炭疽杆菌为革兰氏阳性菌，为需氧和兼性需氧菌。菌体对外界理化因素的抵抗力不强，但炭疽杆菌芽孢的抵抗力很强，在干燥状态下可存活40年以上，在土壤中可生存20年以上且具有感染力。如果被感染动物的尸体处理不当或形成大量芽孢并污染土壤、水源、牧地等，则可成为长久的疫源地。本病主要传染源是病畜，经消化道感染。常因采食被污染的饲料、饮水而感染，其次是带有炭疽杆菌的吸血昆虫叮咬，通过皮肤而感染。本病世界各地均有发生，一般呈散发性，但有时也可呈地方性流行。多发生于炎热多雨的季节。牛群一般对为最急性型发病，体温升高，出现昏迷、突然卧倒、呼吸极度困难、可视黏膜呈蓝紫色、口吐白沫、全身战栗、心悸等症状，不久出现虚脱，濒死期天然孑L出血，出现症状后数分钟至数小时死亡。</w:t>
            </w:r>
          </w:p>
          <w:p>
            <w:pPr>
              <w:pStyle w:val="55"/>
              <w:keepNext/>
              <w:keepLines/>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蹄疫是偶蹄兽的一种急性、发热性高度接触性传染病，其临床特征是在口腔黏膜、蹄部和乳房皮肤发生水疱性疹。病毒主要存在于水疱皮及淋巴液中。病牛是主要的传染源，康复期和潜伏期的病牛亦可带毒排毒，本病主要经呼吸和消化道感染，也能经黏膜和皮肤感染。其传播既有蔓延式又有跳跃式的，它可发生于一年四季。潜伏期平均2～4天，最长可达7天左右，病牛体温升高40～41℃，精神沉郁、食欲下降，闭口、流涎，开口时有吸吮声。1～2天后在唇内面、齿龈、舌面和颊部黏膜发生蚕豆大至核桃大的水疱。此时口角流涎增多，呈白色泡沫状，常挂满嘴边，采食、反刍完全停止。在口腔发生水疱的同时或稍后，趾间及蹄冠的柔软皮肤上也发生水疱，并很快破溃出现糜烂，然后逐渐愈合。若病牛衰弱管理不当或治疗不及时，糜烂部可能继发感染化脓、坏死、甚至蹄匣脱落，乳头皮肤有时也可能出现水疱，而且很快破裂形成烂斑。本病一般为良性经过，只是口腔发病，约经1周即可治愈，如果蹄部出现病变时，则病期可延至2～3周或更久，死亡率一般不超过1％～3％。但有时当水疱病变逐渐愈合，病牛趋向恢复健康时，病情突然恶化，全身虚弱、肌肉震颤、特别是心跳加快、节律不齐，因心脏麻痹而突然倒地死亡，这种病型称为恶性口蹄疫，病死率高达20％～50％，主要是由于病毒侵害心肌所致。</w:t>
            </w:r>
            <w:r>
              <w:rPr>
                <w:rFonts w:hint="eastAsia" w:cs="Times New Roman"/>
                <w:color w:val="auto"/>
                <w:sz w:val="21"/>
                <w:szCs w:val="21"/>
                <w:highlight w:val="none"/>
                <w:lang w:eastAsia="zh-CN"/>
              </w:rPr>
              <w:t>牛犊</w:t>
            </w:r>
            <w:r>
              <w:rPr>
                <w:rFonts w:hint="default" w:ascii="Times New Roman" w:hAnsi="Times New Roman" w:cs="Times New Roman"/>
                <w:color w:val="auto"/>
                <w:sz w:val="21"/>
                <w:szCs w:val="21"/>
                <w:highlight w:val="none"/>
                <w:lang w:eastAsia="zh-CN"/>
              </w:rPr>
              <w:t>患病时特征性水疱症状不明显，主要表现为出血性肠炎和心肌麻痹，死亡率很高。</w:t>
            </w:r>
          </w:p>
          <w:p>
            <w:pPr>
              <w:pStyle w:val="55"/>
              <w:keepNext/>
              <w:keepLines/>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布病是布氏杆菌引起的一种人畜共患传染病，主要侵害生殖器官和关节。母牛临床上主要表现为流产、早产、胎衣停滞，常伴发子宫内膜炎、屡配不孕。对畜牧业发展造成严重危害。布氏杆菌病的病牛和带菌牛是本病的主要传染源。牛感染后多为隐性感染，不表现临床症状，但通过分泌物和粪污不断向外界排菌污染环境，排出的病菌有相当强的抵抗力，在胎衣中能存活4个月，在水、土壤中存活3个月，在皮毛上存活1-4个月。病公牛睾丸或附睾肿大、发硬，关节炎，局部淋巴结肿大，配种能力降低。传播途径：可以通过粘膜、消化道、呼吸道、皮肤、交配、乳汁等多种途径感染。当人接触患布病奶牛，尤其空手给病牛接产时，布病菌就有可能通过受伤的皮肤侵入人体，或与病牛密切接触后不洗手就吃东西、吸烟、揉眼睛等可能感染发病，另外食用带布病菌未煮熟的奶、肉等也可感染布病。</w:t>
            </w:r>
          </w:p>
          <w:p>
            <w:pPr>
              <w:pStyle w:val="55"/>
              <w:keepNext/>
              <w:keepLines/>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结核病是由分枝杆菌引起的人畜共患的一种传染病，特征表现为渐进性消瘦、咳嗽，通常在肺脏、消化道、淋巴结、乳腺等实质性器官形成结核结节、肉芽肿或干酪样坏死。牛对本病最易感染，人可感染牛型结核菌，牛也可感染人型结核菌。病牛可通过呼吸道、消化道传播，也可通过交配传播，其中通过呼吸道传染的威胁最大。结核病菌侵害的部位和侵害的组织损伤程度不同，病牛临床表现不尽一致。病牛表现慢性经过，病程较长，进行性消瘦虚弱，产奶量降低。（一）肺结核：最常见，病牛易疲劳，有短促干咳，渐变为脓性湿咳，有时鼻孔流出淡黄色粘稠液，肺有锣音或摩擦音，叩诊呈浊音，患牛贫血消瘦，后期见体温升高，呈弛张热或稽留热。（二）肠结核：表现前胃弛缓和瘤胃臌胀、腹泻、粪便稀粥样，内混有粘液或脓性分泌物。（三）乳房结核：乳腺实质出现大小不等、多少不一的结节，质地坚硬，无热无痛，患区泌乳减少，乳汁稀薄呈灰白色，乳房淋巴结肿大。（四）生殖器官结核：主要表现为母牛流产、久配不孕，公畜睾丸炎，以及性行为异常等。</w:t>
            </w:r>
          </w:p>
          <w:p>
            <w:pPr>
              <w:pStyle w:val="55"/>
              <w:keepNext/>
              <w:keepLines/>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（2）病死尸体风险</w:t>
            </w:r>
          </w:p>
          <w:p>
            <w:pPr>
              <w:pStyle w:val="55"/>
              <w:keepNext/>
              <w:keepLines/>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病死的家畜、家禽多数是因患了某种传染病而死亡的。其中有一些是人畜共患的传染病，如炭疽、结核、禽流感等，如食用这些病死的畜禽肉，人就容易被传染上这些疾病，这对人的身体健康危害极大。有些畜禽虽然不是因为传染病而死，但死亡之后，体内的沙门氏菌、大肠杆菌、变形杆菌等，就会大量繁殖并迅速散播到畜禽的肌肉里，有的细菌还能产生肠毒素，人若吃了这种畜禽的肉，就会发生食物中毒。有些禽畜可能因吃了被污染剧毒农药的食料而中毒死亡，人如果吃了这种死畜禽，同样也有可能中毒，甚至造成死亡。因此，对于病死或者死因不明的畜禽，必须按照国务院畜牧兽医行政管理部门的有关规定进行无害化处理，不得随意处置。</w:t>
            </w:r>
          </w:p>
          <w:p>
            <w:pPr>
              <w:pStyle w:val="55"/>
              <w:keepNext/>
              <w:keepLines/>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（3）</w:t>
            </w:r>
            <w:r>
              <w:rPr>
                <w:rFonts w:hint="eastAsia" w:cs="Times New Roman"/>
                <w:color w:val="auto"/>
                <w:sz w:val="21"/>
                <w:szCs w:val="21"/>
                <w:highlight w:val="none"/>
                <w:lang w:eastAsia="zh-CN"/>
              </w:rPr>
              <w:t>干草棚</w:t>
            </w:r>
            <w:r>
              <w:rPr>
                <w:rFonts w:hint="default" w:ascii="Times New Roman" w:hAnsi="Times New Roman" w:cs="Times New Roman"/>
                <w:color w:val="auto"/>
                <w:sz w:val="21"/>
                <w:szCs w:val="21"/>
                <w:highlight w:val="none"/>
                <w:lang w:eastAsia="zh-CN"/>
              </w:rPr>
              <w:t>火灾风险</w:t>
            </w:r>
          </w:p>
          <w:p>
            <w:pPr>
              <w:pStyle w:val="55"/>
              <w:keepNext/>
              <w:keepLines/>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项目区内</w:t>
            </w:r>
            <w:r>
              <w:rPr>
                <w:rFonts w:hint="eastAsia" w:cs="Times New Roman"/>
                <w:color w:val="auto"/>
                <w:sz w:val="21"/>
                <w:szCs w:val="21"/>
                <w:highlight w:val="none"/>
                <w:lang w:eastAsia="zh-CN"/>
              </w:rPr>
              <w:t>干草棚</w:t>
            </w:r>
            <w:r>
              <w:rPr>
                <w:rFonts w:hint="default" w:ascii="Times New Roman" w:hAnsi="Times New Roman" w:cs="Times New Roman"/>
                <w:color w:val="auto"/>
                <w:sz w:val="21"/>
                <w:szCs w:val="21"/>
                <w:highlight w:val="none"/>
                <w:lang w:eastAsia="zh-CN"/>
              </w:rPr>
              <w:t>贮存量较大，如若管理不当容易引发火灾，各堆垛之间过密 易引发物料自燃。大火之后产生的次生污染物，对大气环境、水环境的污染。当火灾突发环境事件发生后，污染物会导致区域200m范围内空气严重污染，岀现眼及呼吸道刺激症状，呼吸困难等；短时间接触容许浓度范围最远岀现在事故源下风向地面1000〜1200m范围内。因此需釆取防治措施避免场区内火灾的发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8"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风险防范措施要求</w:t>
            </w:r>
          </w:p>
        </w:tc>
        <w:tc>
          <w:tcPr>
            <w:tcW w:w="4111" w:type="pct"/>
            <w:gridSpan w:val="4"/>
            <w:tcBorders>
              <w:tl2br w:val="nil"/>
              <w:tr2bl w:val="nil"/>
            </w:tcBorders>
            <w:noWrap w:val="0"/>
            <w:vAlign w:val="top"/>
          </w:tcPr>
          <w:p>
            <w:pPr>
              <w:pStyle w:val="55"/>
              <w:keepNext/>
              <w:keepLines/>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）疫情风险的防范措施</w:t>
            </w:r>
          </w:p>
          <w:p>
            <w:pPr>
              <w:pStyle w:val="55"/>
              <w:keepNext/>
              <w:keepLines/>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卫生防疫是规模化</w:t>
            </w:r>
            <w:r>
              <w:rPr>
                <w:rFonts w:hint="default" w:ascii="Times New Roman" w:hAnsi="Times New Roman" w:cs="Times New Roman"/>
                <w:color w:val="auto"/>
                <w:sz w:val="21"/>
                <w:szCs w:val="21"/>
                <w:highlight w:val="none"/>
                <w:lang w:eastAsia="zh-CN"/>
              </w:rPr>
              <w:t>养殖基地</w:t>
            </w:r>
            <w:r>
              <w:rPr>
                <w:rFonts w:hint="default" w:ascii="Times New Roman" w:hAnsi="Times New Roman" w:eastAsia="宋体" w:cs="Times New Roman"/>
                <w:color w:val="auto"/>
                <w:sz w:val="21"/>
                <w:szCs w:val="21"/>
                <w:highlight w:val="none"/>
              </w:rPr>
              <w:t>成败的关键，必须严格按照《中华人民共和国动物防疫法》的要求，做到“以防为主，防治结合，制度健全，责任到人”。</w:t>
            </w:r>
          </w:p>
          <w:p>
            <w:pPr>
              <w:pStyle w:val="55"/>
              <w:keepNext/>
              <w:keepLines/>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①消毒制度：</w:t>
            </w:r>
          </w:p>
          <w:p>
            <w:pPr>
              <w:pStyle w:val="55"/>
              <w:keepNext/>
              <w:keepLines/>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凡进入</w:t>
            </w:r>
            <w:r>
              <w:rPr>
                <w:rFonts w:hint="default" w:ascii="Times New Roman" w:hAnsi="Times New Roman" w:cs="Times New Roman"/>
                <w:color w:val="auto"/>
                <w:sz w:val="21"/>
                <w:szCs w:val="21"/>
                <w:highlight w:val="none"/>
                <w:lang w:eastAsia="zh-CN"/>
              </w:rPr>
              <w:t>养殖基地</w:t>
            </w:r>
            <w:r>
              <w:rPr>
                <w:rFonts w:hint="default" w:ascii="Times New Roman" w:hAnsi="Times New Roman" w:eastAsia="宋体" w:cs="Times New Roman"/>
                <w:color w:val="auto"/>
                <w:sz w:val="21"/>
                <w:szCs w:val="21"/>
                <w:highlight w:val="none"/>
              </w:rPr>
              <w:t>的人和车辆等都需要经过消毒。凡是进入</w:t>
            </w:r>
            <w:r>
              <w:rPr>
                <w:rFonts w:hint="default" w:ascii="Times New Roman" w:hAnsi="Times New Roman" w:cs="Times New Roman"/>
                <w:color w:val="auto"/>
                <w:sz w:val="21"/>
                <w:szCs w:val="21"/>
                <w:highlight w:val="none"/>
                <w:lang w:eastAsia="zh-CN"/>
              </w:rPr>
              <w:t>养殖基地</w:t>
            </w:r>
            <w:r>
              <w:rPr>
                <w:rFonts w:hint="default" w:ascii="Times New Roman" w:hAnsi="Times New Roman" w:eastAsia="宋体" w:cs="Times New Roman"/>
                <w:color w:val="auto"/>
                <w:sz w:val="21"/>
                <w:szCs w:val="21"/>
                <w:highlight w:val="none"/>
              </w:rPr>
              <w:t>的工作人员，一律更换工作服、工作鞋，并经进行消毒。外来人员必须进入生产区时，也应按照上述方法消毒，在场区管理人员的带领下，按照指定路线行走。</w:t>
            </w:r>
          </w:p>
          <w:p>
            <w:pPr>
              <w:pStyle w:val="55"/>
              <w:keepNext/>
              <w:keepLines/>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②免疫程序管理：</w:t>
            </w:r>
          </w:p>
          <w:p>
            <w:pPr>
              <w:pStyle w:val="55"/>
              <w:keepNext/>
              <w:keepLines/>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如果</w:t>
            </w:r>
            <w:r>
              <w:rPr>
                <w:rFonts w:hint="default" w:ascii="Times New Roman" w:hAnsi="Times New Roman" w:cs="Times New Roman"/>
                <w:color w:val="auto"/>
                <w:sz w:val="21"/>
                <w:szCs w:val="21"/>
                <w:highlight w:val="none"/>
                <w:lang w:eastAsia="zh-CN"/>
              </w:rPr>
              <w:t>养殖基地</w:t>
            </w:r>
            <w:r>
              <w:rPr>
                <w:rFonts w:hint="default" w:ascii="Times New Roman" w:hAnsi="Times New Roman" w:eastAsia="宋体" w:cs="Times New Roman"/>
                <w:color w:val="auto"/>
                <w:sz w:val="21"/>
                <w:szCs w:val="21"/>
                <w:highlight w:val="none"/>
              </w:rPr>
              <w:t>需要引进幼牛时，严格检疫，运输过程严格执行《种畜禽调运检疫技术规范》的要求，幼牛到场后，在隔离观察期经检查确定为健康幼牛后，方可供生产使用。</w:t>
            </w:r>
          </w:p>
          <w:p>
            <w:pPr>
              <w:pStyle w:val="55"/>
              <w:keepNext/>
              <w:keepLines/>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格执行自治区家畜疫病防治的五个强制（免疫、疫区检疫、封锁、消毒、病畜捕杀）和两个强化（疫病报告、防疫监督）制度，定期防治传染病和寄生虫病。制定一套合理的免疫程序和检测制度，一旦发生疫情，封锁疫点，禁止流动，病牛及相关物品采取无害化处理。对未发病的牛，用疫苗（剂量可加大2～4倍）进行紧急预防接种，对圈舍、</w:t>
            </w:r>
            <w:r>
              <w:rPr>
                <w:rFonts w:hint="default" w:ascii="Times New Roman" w:hAnsi="Times New Roman" w:eastAsia="宋体" w:cs="Times New Roman"/>
                <w:color w:val="auto"/>
                <w:sz w:val="21"/>
                <w:szCs w:val="21"/>
                <w:highlight w:val="none"/>
                <w:lang w:eastAsia="zh-CN"/>
              </w:rPr>
              <w:t>粪污</w:t>
            </w:r>
            <w:r>
              <w:rPr>
                <w:rFonts w:hint="default" w:ascii="Times New Roman" w:hAnsi="Times New Roman" w:eastAsia="宋体" w:cs="Times New Roman"/>
                <w:color w:val="auto"/>
                <w:sz w:val="21"/>
                <w:szCs w:val="21"/>
                <w:highlight w:val="none"/>
              </w:rPr>
              <w:t>和用具彻底彻底消毒，饲养用具每天消毒一次。</w:t>
            </w:r>
          </w:p>
          <w:p>
            <w:pPr>
              <w:pStyle w:val="55"/>
              <w:keepNext/>
              <w:keepLines/>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③诊疗程序管理：</w:t>
            </w:r>
          </w:p>
          <w:p>
            <w:pPr>
              <w:pStyle w:val="55"/>
              <w:keepNext/>
              <w:keepLines/>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eastAsia="zh-CN"/>
              </w:rPr>
              <w:t>养殖基地</w:t>
            </w:r>
            <w:r>
              <w:rPr>
                <w:rFonts w:hint="default" w:ascii="Times New Roman" w:hAnsi="Times New Roman" w:eastAsia="宋体" w:cs="Times New Roman"/>
                <w:color w:val="auto"/>
                <w:sz w:val="21"/>
                <w:szCs w:val="21"/>
                <w:highlight w:val="none"/>
              </w:rPr>
              <w:t>应定期检查牛群健康状况，做到及时发现、及时隔离、及时救治，严格控制疾病大面积传播。</w:t>
            </w:r>
          </w:p>
          <w:p>
            <w:pPr>
              <w:pStyle w:val="55"/>
              <w:keepNext/>
              <w:keepLines/>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④保证圈舍良好的卫生环境</w:t>
            </w:r>
          </w:p>
          <w:p>
            <w:pPr>
              <w:pStyle w:val="55"/>
              <w:keepNext/>
              <w:keepLines/>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对圈舍内消毒时要将圈舍清扫干净，圈舍周围环境定期消毒。</w:t>
            </w:r>
            <w:r>
              <w:rPr>
                <w:rFonts w:hint="default" w:ascii="Times New Roman" w:hAnsi="Times New Roman" w:cs="Times New Roman"/>
                <w:color w:val="auto"/>
                <w:sz w:val="21"/>
                <w:szCs w:val="21"/>
                <w:highlight w:val="none"/>
                <w:lang w:eastAsia="zh-CN"/>
              </w:rPr>
              <w:t>养殖基地</w:t>
            </w:r>
            <w:r>
              <w:rPr>
                <w:rFonts w:hint="default" w:ascii="Times New Roman" w:hAnsi="Times New Roman" w:eastAsia="宋体" w:cs="Times New Roman"/>
                <w:color w:val="auto"/>
                <w:sz w:val="21"/>
                <w:szCs w:val="21"/>
                <w:highlight w:val="none"/>
              </w:rPr>
              <w:t>周围及场内定期消毒。在</w:t>
            </w:r>
            <w:r>
              <w:rPr>
                <w:rFonts w:hint="default" w:ascii="Times New Roman" w:hAnsi="Times New Roman" w:cs="Times New Roman"/>
                <w:color w:val="auto"/>
                <w:sz w:val="21"/>
                <w:szCs w:val="21"/>
                <w:highlight w:val="none"/>
                <w:lang w:eastAsia="zh-CN"/>
              </w:rPr>
              <w:t>养殖基地</w:t>
            </w:r>
            <w:r>
              <w:rPr>
                <w:rFonts w:hint="default" w:ascii="Times New Roman" w:hAnsi="Times New Roman" w:eastAsia="宋体" w:cs="Times New Roman"/>
                <w:color w:val="auto"/>
                <w:sz w:val="21"/>
                <w:szCs w:val="21"/>
                <w:highlight w:val="none"/>
              </w:rPr>
              <w:t>入口设消毒池并定期更换消毒液。</w:t>
            </w:r>
          </w:p>
          <w:p>
            <w:pPr>
              <w:pStyle w:val="55"/>
              <w:keepNext/>
              <w:keepLines/>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⑤保证饲料质量，加强饲养管理。</w:t>
            </w:r>
          </w:p>
          <w:p>
            <w:pPr>
              <w:pStyle w:val="55"/>
              <w:keepNext/>
              <w:keepLines/>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经常检查、调整、平衡牛日粮的营养，以提高牛群抵抗力。</w:t>
            </w:r>
          </w:p>
          <w:p>
            <w:pPr>
              <w:pStyle w:val="55"/>
              <w:keepNext/>
              <w:keepLines/>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⑥本项目场界四周建设围栏，在粪污处理设施周边建设隔离带。</w:t>
            </w:r>
          </w:p>
          <w:p>
            <w:pPr>
              <w:pStyle w:val="55"/>
              <w:keepNext/>
              <w:keepLines/>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病死尸体风险</w:t>
            </w:r>
            <w:r>
              <w:rPr>
                <w:rFonts w:hint="default" w:ascii="Times New Roman" w:hAnsi="Times New Roman" w:eastAsia="宋体" w:cs="Times New Roman"/>
                <w:color w:val="auto"/>
                <w:sz w:val="21"/>
                <w:szCs w:val="21"/>
                <w:highlight w:val="none"/>
                <w:lang w:val="en-US" w:eastAsia="zh-CN"/>
              </w:rPr>
              <w:t>防范措施</w:t>
            </w:r>
          </w:p>
          <w:p>
            <w:pPr>
              <w:pStyle w:val="55"/>
              <w:keepNext/>
              <w:keepLines/>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根据《畜禽养殖业污染治理工程技术规范》（HJ497-2009）中病死畜禽尸体处理与处置和《畜禽养殖业污染防治技术规范》（HJ/T81-2001）中病死畜禽尸体处理与处置，病死畜禽尸体应及时处理，不得随意丢弃，不得出售或作为饲料再利用。因高致病性禽流感疫情导致禽类死亡，死禽尸体的处理与处置应符合《高致病新禽流感疫情处置技术规范》的规定。</w:t>
            </w:r>
          </w:p>
          <w:p>
            <w:pPr>
              <w:pStyle w:val="55"/>
              <w:keepNext/>
              <w:keepLines/>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在</w:t>
            </w:r>
            <w:r>
              <w:rPr>
                <w:rFonts w:hint="default" w:ascii="Times New Roman" w:hAnsi="Times New Roman" w:cs="Times New Roman"/>
                <w:color w:val="auto"/>
                <w:sz w:val="21"/>
                <w:szCs w:val="21"/>
                <w:highlight w:val="none"/>
                <w:lang w:eastAsia="zh-CN"/>
              </w:rPr>
              <w:t>养殖基地</w:t>
            </w:r>
            <w:r>
              <w:rPr>
                <w:rFonts w:hint="default" w:ascii="Times New Roman" w:hAnsi="Times New Roman" w:eastAsia="宋体" w:cs="Times New Roman"/>
                <w:color w:val="auto"/>
                <w:sz w:val="21"/>
                <w:szCs w:val="21"/>
                <w:highlight w:val="none"/>
              </w:rPr>
              <w:t>内专门设置有隔离圈舍，对可疑病牛先在隔离圈舍进行隔离观察，将病牛和可疑病牛与健康牛隔离开来，将疫情限制在最小范围内，同时启动相应级别疫情应急处置方案。仍然有使用价值的病</w:t>
            </w:r>
            <w:r>
              <w:rPr>
                <w:rFonts w:hint="default" w:ascii="Times New Roman" w:hAnsi="Times New Roman" w:eastAsia="宋体" w:cs="Times New Roman"/>
                <w:color w:val="auto"/>
                <w:sz w:val="21"/>
                <w:szCs w:val="21"/>
                <w:highlight w:val="none"/>
                <w:lang w:val="en-US" w:eastAsia="zh-CN"/>
              </w:rPr>
              <w:t>牛</w:t>
            </w:r>
            <w:r>
              <w:rPr>
                <w:rFonts w:hint="default" w:ascii="Times New Roman" w:hAnsi="Times New Roman" w:eastAsia="宋体" w:cs="Times New Roman"/>
                <w:color w:val="auto"/>
                <w:sz w:val="21"/>
                <w:szCs w:val="21"/>
                <w:highlight w:val="none"/>
              </w:rPr>
              <w:t>应隔离饲养、治疗，彻底治愈后，可以归群。</w:t>
            </w:r>
          </w:p>
          <w:p>
            <w:pPr>
              <w:pStyle w:val="55"/>
              <w:keepNext/>
              <w:keepLines/>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本项目饲养过程中，病死牛及时联系拉运处理。</w:t>
            </w:r>
          </w:p>
          <w:p>
            <w:pPr>
              <w:pStyle w:val="55"/>
              <w:keepNext/>
              <w:keepLines/>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管理员按要求对病牛和当日处理的病死牛种类、原因、只数和体重如实进行登记记录。记录档案保存应不少于两年。</w:t>
            </w:r>
          </w:p>
          <w:p>
            <w:pPr>
              <w:pStyle w:val="55"/>
              <w:keepNext/>
              <w:keepLines/>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eastAsia="zh-CN"/>
              </w:rPr>
              <w:t>干草棚</w:t>
            </w:r>
            <w:r>
              <w:rPr>
                <w:rFonts w:hint="default" w:ascii="Times New Roman" w:hAnsi="Times New Roman" w:eastAsia="宋体" w:cs="Times New Roman"/>
                <w:color w:val="auto"/>
                <w:sz w:val="21"/>
                <w:szCs w:val="21"/>
                <w:highlight w:val="none"/>
              </w:rPr>
              <w:t>火灾风险</w:t>
            </w:r>
            <w:r>
              <w:rPr>
                <w:rFonts w:hint="default" w:ascii="Times New Roman" w:hAnsi="Times New Roman" w:eastAsia="宋体" w:cs="Times New Roman"/>
                <w:color w:val="auto"/>
                <w:sz w:val="21"/>
                <w:szCs w:val="21"/>
                <w:highlight w:val="none"/>
                <w:lang w:val="en-US" w:eastAsia="zh-CN"/>
              </w:rPr>
              <w:t>防范措施</w:t>
            </w:r>
          </w:p>
          <w:p>
            <w:pPr>
              <w:pStyle w:val="55"/>
              <w:keepNext/>
              <w:keepLines/>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加强管理</w:t>
            </w:r>
            <w:r>
              <w:rPr>
                <w:rFonts w:hint="default" w:ascii="Times New Roman" w:hAnsi="Times New Roman" w:eastAsia="宋体" w:cs="Times New Roman"/>
                <w:color w:val="auto"/>
                <w:sz w:val="21"/>
                <w:szCs w:val="21"/>
                <w:highlight w:val="none"/>
                <w:lang w:val="en-US" w:eastAsia="zh-CN"/>
              </w:rPr>
              <w:t>项目</w:t>
            </w:r>
            <w:r>
              <w:rPr>
                <w:rFonts w:hint="default" w:ascii="Times New Roman" w:hAnsi="Times New Roman" w:eastAsia="宋体" w:cs="Times New Roman"/>
                <w:color w:val="auto"/>
                <w:sz w:val="21"/>
                <w:szCs w:val="21"/>
                <w:highlight w:val="none"/>
              </w:rPr>
              <w:t>区内明火的使用</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禁火区域内动用明火作业</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应严格执行动火审批制度</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吸烟必须按指定地点</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不准乱丢烟蒂</w:t>
            </w:r>
            <w:r>
              <w:rPr>
                <w:rFonts w:hint="default" w:ascii="Times New Roman" w:hAnsi="Times New Roman" w:eastAsia="宋体" w:cs="Times New Roman"/>
                <w:color w:val="auto"/>
                <w:sz w:val="21"/>
                <w:szCs w:val="21"/>
                <w:highlight w:val="none"/>
                <w:lang w:eastAsia="zh-CN"/>
              </w:rPr>
              <w:t>。</w:t>
            </w:r>
          </w:p>
          <w:p>
            <w:pPr>
              <w:pStyle w:val="55"/>
              <w:keepNext/>
              <w:keepLines/>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露天堆放的饲草应釆用防火材料遮盖</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在周边张贴警示标识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尽可能降低 火灾隐患</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合理布置堆垛的贮存</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不宜过密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可有效地的减少火灾发生的概率</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堆料区周边严禁堆放其他物品</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消防器材每月检查一次</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注意保养工作</w:t>
            </w:r>
            <w:r>
              <w:rPr>
                <w:rFonts w:hint="default" w:ascii="Times New Roman" w:hAnsi="Times New Roman" w:eastAsia="宋体" w:cs="Times New Roman"/>
                <w:color w:val="auto"/>
                <w:sz w:val="21"/>
                <w:szCs w:val="21"/>
                <w:highlight w:val="none"/>
                <w:lang w:eastAsia="zh-CN"/>
              </w:rPr>
              <w:t>。</w:t>
            </w:r>
          </w:p>
          <w:p>
            <w:pPr>
              <w:pStyle w:val="55"/>
              <w:keepNext/>
              <w:keepLines/>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加强项目区内水资源的管理和使用</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以保证发生火灾的第一时间</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有足够 的水量及压カ</w:t>
            </w:r>
            <w:r>
              <w:rPr>
                <w:rFonts w:hint="default" w:ascii="Times New Roman" w:hAnsi="Times New Roman" w:eastAsia="宋体" w:cs="Times New Roman"/>
                <w:color w:val="auto"/>
                <w:sz w:val="21"/>
                <w:szCs w:val="21"/>
                <w:highlight w:val="none"/>
                <w:lang w:eastAsia="zh-CN"/>
              </w:rPr>
              <w:t>。</w:t>
            </w:r>
          </w:p>
          <w:p>
            <w:pPr>
              <w:pStyle w:val="55"/>
              <w:keepNext/>
              <w:keepLines/>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组织员工学习消防安全、生产安全知识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掌握使用各类灭火器材的操作本 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提高灭火技能</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以防万一</w:t>
            </w:r>
            <w:r>
              <w:rPr>
                <w:rFonts w:hint="default" w:ascii="Times New Roman" w:hAnsi="Times New Roman" w:eastAsia="宋体" w:cs="Times New Roman"/>
                <w:color w:val="auto"/>
                <w:sz w:val="21"/>
                <w:szCs w:val="21"/>
                <w:highlight w:val="none"/>
                <w:lang w:eastAsia="zh-CN"/>
              </w:rPr>
              <w:t>。</w:t>
            </w:r>
          </w:p>
          <w:p>
            <w:pPr>
              <w:pStyle w:val="55"/>
              <w:keepNext/>
              <w:keepLines/>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综上所述</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在釆取上述风险防范处理措施后</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项目发生火灾时能及时应对。</w:t>
            </w:r>
          </w:p>
          <w:p>
            <w:pPr>
              <w:pStyle w:val="55"/>
              <w:keepNext/>
              <w:keepLines/>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废水事故性排污风险</w:t>
            </w:r>
            <w:r>
              <w:rPr>
                <w:rFonts w:hint="default" w:ascii="Times New Roman" w:hAnsi="Times New Roman" w:eastAsia="宋体" w:cs="Times New Roman"/>
                <w:color w:val="auto"/>
                <w:sz w:val="21"/>
                <w:szCs w:val="21"/>
                <w:highlight w:val="none"/>
                <w:lang w:val="en-US" w:eastAsia="zh-CN"/>
              </w:rPr>
              <w:t>防范措施</w:t>
            </w:r>
          </w:p>
          <w:p>
            <w:pPr>
              <w:pStyle w:val="55"/>
              <w:keepNext/>
              <w:keepLines/>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制定比较完善的环境安全管理规章制度</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定期检查</w:t>
            </w:r>
            <w:r>
              <w:rPr>
                <w:rFonts w:hint="default" w:ascii="Times New Roman" w:hAnsi="Times New Roman" w:cs="Times New Roman"/>
                <w:color w:val="auto"/>
                <w:sz w:val="21"/>
                <w:szCs w:val="21"/>
                <w:highlight w:val="none"/>
                <w:lang w:val="en-US" w:eastAsia="zh-CN"/>
              </w:rPr>
              <w:t>堆粪场</w:t>
            </w:r>
            <w:r>
              <w:rPr>
                <w:rFonts w:hint="default" w:ascii="Times New Roman" w:hAnsi="Times New Roman" w:eastAsia="宋体" w:cs="Times New Roman"/>
                <w:color w:val="auto"/>
                <w:sz w:val="21"/>
                <w:szCs w:val="21"/>
                <w:highlight w:val="none"/>
                <w:lang w:val="en-US" w:eastAsia="zh-CN"/>
              </w:rPr>
              <w:t>及相关管道是否有破损情况，发现破损及时修补，避免污染土壤环境及地下水环境</w:t>
            </w:r>
            <w:r>
              <w:rPr>
                <w:rFonts w:hint="default" w:ascii="Times New Roman" w:hAnsi="Times New Roman" w:eastAsia="宋体"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5000" w:type="pct"/>
            <w:gridSpan w:val="5"/>
            <w:tcBorders>
              <w:tl2br w:val="nil"/>
              <w:tr2bl w:val="nil"/>
            </w:tcBorders>
            <w:noWrap w:val="0"/>
            <w:vAlign w:val="top"/>
          </w:tcPr>
          <w:p>
            <w:pPr>
              <w:pStyle w:val="55"/>
              <w:keepNext/>
              <w:keepLines/>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填表说明：</w:t>
            </w:r>
            <w:r>
              <w:rPr>
                <w:rFonts w:hint="default" w:ascii="Times New Roman" w:hAnsi="Times New Roman" w:cs="Times New Roman"/>
                <w:color w:val="auto"/>
                <w:sz w:val="21"/>
                <w:szCs w:val="21"/>
                <w:highlight w:val="none"/>
              </w:rPr>
              <w:t>环境风险潜势为Ⅰ级，本工程环境风险评价工作级别为简单分析。</w:t>
            </w:r>
          </w:p>
        </w:tc>
      </w:tr>
    </w:tbl>
    <w:p>
      <w:pPr>
        <w:pStyle w:val="3"/>
        <w:pageBreakBefore w:val="0"/>
        <w:wordWrap/>
        <w:bidi w:val="0"/>
        <w:adjustRightInd w:val="0"/>
        <w:ind w:left="0" w:leftChars="0" w:right="0" w:rightChars="0" w:hanging="432" w:firstLineChars="0"/>
        <w:rPr>
          <w:rFonts w:hint="default" w:ascii="Times New Roman" w:hAnsi="Times New Roman" w:cs="Times New Roman"/>
          <w:color w:val="auto"/>
          <w:highlight w:val="none"/>
        </w:rPr>
        <w:sectPr>
          <w:pgSz w:w="11906" w:h="16838"/>
          <w:pgMar w:top="1440" w:right="1531"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bookmarkStart w:id="312" w:name="_Toc15574"/>
      <w:bookmarkStart w:id="313" w:name="_Toc23607"/>
    </w:p>
    <w:p>
      <w:pPr>
        <w:pStyle w:val="3"/>
        <w:pageBreakBefore w:val="0"/>
        <w:wordWrap/>
        <w:bidi w:val="0"/>
        <w:adjustRightInd w:val="0"/>
        <w:ind w:left="0" w:leftChars="0" w:right="0" w:rightChars="0" w:hanging="432" w:firstLineChars="0"/>
        <w:rPr>
          <w:rFonts w:hint="default" w:ascii="Times New Roman" w:hAnsi="Times New Roman" w:cs="Times New Roman"/>
          <w:color w:val="auto"/>
          <w:highlight w:val="none"/>
        </w:rPr>
      </w:pPr>
      <w:bookmarkStart w:id="314" w:name="_Toc18758"/>
      <w:r>
        <w:rPr>
          <w:rFonts w:hint="default" w:ascii="Times New Roman" w:hAnsi="Times New Roman" w:cs="Times New Roman"/>
          <w:color w:val="auto"/>
          <w:highlight w:val="none"/>
        </w:rPr>
        <w:t>环境保护措施及其可行性论证</w:t>
      </w:r>
      <w:bookmarkEnd w:id="312"/>
      <w:bookmarkEnd w:id="313"/>
      <w:bookmarkEnd w:id="314"/>
    </w:p>
    <w:p>
      <w:pPr>
        <w:pStyle w:val="4"/>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315" w:name="_Toc31327"/>
      <w:bookmarkStart w:id="316" w:name="_Toc3462"/>
      <w:bookmarkStart w:id="317" w:name="_Toc31646"/>
      <w:bookmarkStart w:id="318" w:name="_Toc183085732"/>
      <w:bookmarkStart w:id="319" w:name="_Toc183085458"/>
      <w:bookmarkStart w:id="320" w:name="_Toc196218616"/>
      <w:bookmarkStart w:id="321" w:name="_Toc107575304"/>
      <w:r>
        <w:rPr>
          <w:rFonts w:hint="default" w:ascii="Times New Roman" w:hAnsi="Times New Roman" w:cs="Times New Roman"/>
          <w:color w:val="auto"/>
          <w:highlight w:val="none"/>
        </w:rPr>
        <w:t>施工期防治措施</w:t>
      </w:r>
      <w:bookmarkEnd w:id="315"/>
      <w:bookmarkEnd w:id="316"/>
      <w:bookmarkEnd w:id="317"/>
    </w:p>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322" w:name="_Toc17300"/>
      <w:r>
        <w:rPr>
          <w:rFonts w:hint="default" w:ascii="Times New Roman" w:hAnsi="Times New Roman" w:cs="Times New Roman"/>
          <w:color w:val="auto"/>
          <w:highlight w:val="none"/>
        </w:rPr>
        <w:t>大气环境污染防治措施</w:t>
      </w:r>
      <w:bookmarkEnd w:id="322"/>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为防止和减少施工期间废气和扬尘的污染，施工单位应加强统一、严格、规范管理制度和措施，纳入本单位环保管理程序。施工应按照国家关于建筑施工的有关规定执行。特建议采取如下措施：</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 xml:space="preserve"> 施工场地外围设置1.8m以上的硬质围墙或围挡，保证施工工地周围环境整洁，并保护场区周围的大气环境；</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 xml:space="preserve"> 本项目在开挖土方和土方回填过程中会产生一定的扬尘，在施工过程中应注意文明施工，做到洒水作业，减少扬尘对周围环境的污染；</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 xml:space="preserve"> 本项目在建设过程中需要使用大量的建筑材料，这些建材在装缷、堆放、拌和过程中会产生大量粉尘外逸，施工单位必须加强施工区的规划管理，将建筑材料（主要是水泥、石子）的堆场定点定位，并用篷布遮盖建筑材料，以保护场区周围的大气环境；</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4</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 xml:space="preserve"> 建议采用商品混凝土</w:t>
      </w:r>
      <w:r>
        <w:rPr>
          <w:rFonts w:hint="default" w:ascii="Times New Roman" w:hAnsi="Times New Roman" w:cs="Times New Roman"/>
          <w:color w:val="auto"/>
          <w:highlight w:val="none"/>
          <w:lang w:eastAsia="zh-CN"/>
        </w:rPr>
        <w:t>；</w:t>
      </w:r>
    </w:p>
    <w:p>
      <w:pPr>
        <w:pageBreakBefore w:val="0"/>
        <w:wordWrap/>
        <w:bidi w:val="0"/>
        <w:adjustRightInd w:val="0"/>
        <w:ind w:left="0" w:leftChars="0" w:right="0" w:rightChars="0" w:firstLine="48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5</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 xml:space="preserve"> 施工期间泥尘量大，进出施工现场车辆将使地面起尘，因此运输车辆进出的主干道应定期洒水清扫，保持车辆出入路面清洁、湿润，主干道道路硬化</w:t>
      </w:r>
      <w:r>
        <w:rPr>
          <w:rFonts w:hint="eastAsia" w:cs="Times New Roman"/>
          <w:color w:val="auto"/>
          <w:highlight w:val="none"/>
          <w:lang w:eastAsia="zh-CN"/>
        </w:rPr>
        <w:t>，</w:t>
      </w:r>
      <w:r>
        <w:rPr>
          <w:rFonts w:hint="default" w:ascii="Times New Roman" w:hAnsi="Times New Roman" w:cs="Times New Roman"/>
          <w:color w:val="auto"/>
          <w:highlight w:val="none"/>
        </w:rPr>
        <w:t>以减少汽车轮胎与路面接触而引起的地面扬尘污染，</w:t>
      </w:r>
      <w:r>
        <w:rPr>
          <w:rFonts w:hint="eastAsia" w:cs="Times New Roman"/>
          <w:color w:val="auto"/>
          <w:highlight w:val="none"/>
          <w:lang w:val="en-US" w:eastAsia="zh-CN"/>
        </w:rPr>
        <w:t>对</w:t>
      </w:r>
      <w:r>
        <w:rPr>
          <w:rFonts w:hint="default" w:ascii="Times New Roman" w:hAnsi="Times New Roman" w:cs="Times New Roman"/>
          <w:color w:val="auto"/>
          <w:highlight w:val="none"/>
        </w:rPr>
        <w:t>车辆</w:t>
      </w:r>
      <w:r>
        <w:rPr>
          <w:rFonts w:hint="default" w:ascii="Times New Roman" w:hAnsi="Times New Roman" w:cs="Times New Roman"/>
          <w:color w:val="auto"/>
          <w:highlight w:val="none"/>
          <w:lang w:val="en-US" w:eastAsia="zh-CN"/>
        </w:rPr>
        <w:t>轮胎</w:t>
      </w:r>
      <w:r>
        <w:rPr>
          <w:rFonts w:hint="eastAsia" w:cs="Times New Roman"/>
          <w:color w:val="auto"/>
          <w:highlight w:val="none"/>
          <w:lang w:val="en-US" w:eastAsia="zh-CN"/>
        </w:rPr>
        <w:t>定期进行</w:t>
      </w:r>
      <w:r>
        <w:rPr>
          <w:rFonts w:hint="default" w:ascii="Times New Roman" w:hAnsi="Times New Roman" w:cs="Times New Roman"/>
          <w:color w:val="auto"/>
          <w:highlight w:val="none"/>
          <w:lang w:val="en-US" w:eastAsia="zh-CN"/>
        </w:rPr>
        <w:t>冲洗</w:t>
      </w:r>
      <w:r>
        <w:rPr>
          <w:rFonts w:hint="eastAsia" w:cs="Times New Roman"/>
          <w:color w:val="auto"/>
          <w:highlight w:val="none"/>
          <w:lang w:eastAsia="zh-CN"/>
        </w:rPr>
        <w:t>；</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6</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 xml:space="preserve"> 运输沙、石、水泥、垃圾的车辆装载高度应低于车箱上沿，不得超高超载。实行封闭运输，以免车辆颠簸撒漏，坚持文明装缷；</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7</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 xml:space="preserve"> 加强对机械、车辆的保养，禁止以柴油为燃料的施工机械超负荷工作，减少烟度和颗料物排放；</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8</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 xml:space="preserve"> 配合交通部门搞好放工期周围道路的交通组织，避免因施工而造成交通堵塞，减少产生的废气怠速排放；</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9</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大风天气禁止进行土方开挖施工，易产生扬尘污染的施工作业</w:t>
      </w:r>
      <w:r>
        <w:rPr>
          <w:rFonts w:hint="default" w:ascii="Times New Roman" w:hAnsi="Times New Roman" w:cs="Times New Roman"/>
          <w:color w:val="auto"/>
          <w:highlight w:val="none"/>
          <w:lang w:eastAsia="zh-CN"/>
        </w:rPr>
        <w:t>；</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10</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加强对施工人员的环保教育，提高全体施工人员的环保意识，坚持文明施工、科学施工。</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采取施工扬尘防治措施后，可有效降低扬尘产生量，减少对周边环境影响，施工期扬尘污染是暂时的，将随施工结束而消失。</w:t>
      </w:r>
    </w:p>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323" w:name="_Toc17016"/>
      <w:r>
        <w:rPr>
          <w:rFonts w:hint="default" w:ascii="Times New Roman" w:hAnsi="Times New Roman" w:cs="Times New Roman"/>
          <w:color w:val="auto"/>
          <w:highlight w:val="none"/>
        </w:rPr>
        <w:t>噪声防治措施分析</w:t>
      </w:r>
      <w:bookmarkEnd w:id="323"/>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为了避免</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施工期间噪声超标，建议采取以下措施：</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加强施工管理，不在作息时间使用高噪声设备作业。</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尽量选用低噪声机械设备。</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噪声大的施工机械设备，使用减振垫与隔声装置。</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4</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加强运输车辆的管理，建材等运输尽量在白天进行，并控制车辆鸣笛。</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只要施工单位加强管理，严格执行以上有关的管理规定，就可以有效降低施工噪声，保证施工场界噪声达标排放。</w:t>
      </w:r>
    </w:p>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324" w:name="_Toc1908"/>
      <w:r>
        <w:rPr>
          <w:rFonts w:hint="default" w:ascii="Times New Roman" w:hAnsi="Times New Roman" w:cs="Times New Roman"/>
          <w:color w:val="auto"/>
          <w:highlight w:val="none"/>
        </w:rPr>
        <w:t>污水防治措施分析</w:t>
      </w:r>
      <w:bookmarkEnd w:id="324"/>
    </w:p>
    <w:p>
      <w:pPr>
        <w:pageBreakBefore w:val="0"/>
        <w:wordWrap/>
        <w:bidi w:val="0"/>
        <w:adjustRightInd w:val="0"/>
        <w:ind w:left="0" w:leftChars="0" w:right="0" w:rightChars="0" w:firstLine="480"/>
        <w:rPr>
          <w:rFonts w:hint="default" w:ascii="Times New Roman" w:hAnsi="Times New Roman" w:cs="Times New Roman"/>
          <w:color w:val="auto"/>
          <w:highlight w:val="none"/>
        </w:rPr>
      </w:pPr>
      <w:bookmarkStart w:id="325" w:name="_Toc16376"/>
      <w:bookmarkStart w:id="326" w:name="_Toc31334"/>
      <w:r>
        <w:rPr>
          <w:rFonts w:hint="default" w:ascii="Times New Roman" w:hAnsi="Times New Roman" w:cs="Times New Roman"/>
          <w:color w:val="auto"/>
          <w:highlight w:val="none"/>
        </w:rPr>
        <w:t>（1）施工废水</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施工废水主要为车辆</w:t>
      </w:r>
      <w:r>
        <w:rPr>
          <w:rFonts w:hint="default" w:ascii="Times New Roman" w:hAnsi="Times New Roman" w:cs="Times New Roman"/>
          <w:color w:val="auto"/>
          <w:highlight w:val="none"/>
          <w:lang w:val="en-US" w:eastAsia="zh-CN"/>
        </w:rPr>
        <w:t>轮胎冲洗</w:t>
      </w:r>
      <w:r>
        <w:rPr>
          <w:rFonts w:hint="default" w:ascii="Times New Roman" w:hAnsi="Times New Roman" w:cs="Times New Roman"/>
          <w:color w:val="auto"/>
          <w:highlight w:val="none"/>
        </w:rPr>
        <w:t>水。废水中含固体杂质较多，以泥沙为主，项目主要修建圈舍、硬化地面等，工程量不大，因此，施工废水产生量较小，修建临时沉淀池，施工废水经沉淀处理后用作道路洒水，对项目区水环境影响较小。</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（2）生活污水</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施工生活污水</w:t>
      </w:r>
      <w:r>
        <w:rPr>
          <w:rFonts w:hint="default" w:ascii="Times New Roman" w:hAnsi="Times New Roman" w:cs="Times New Roman"/>
          <w:color w:val="auto"/>
          <w:highlight w:val="none"/>
          <w:lang w:val="en-US" w:eastAsia="zh-CN"/>
        </w:rPr>
        <w:t>新建</w:t>
      </w:r>
      <w:r>
        <w:rPr>
          <w:rFonts w:hint="eastAsia" w:cs="Times New Roman"/>
          <w:color w:val="auto"/>
          <w:highlight w:val="none"/>
          <w:lang w:eastAsia="zh-CN"/>
        </w:rPr>
        <w:t>集污池收集</w:t>
      </w:r>
      <w:r>
        <w:rPr>
          <w:rFonts w:hint="eastAsia" w:cs="Times New Roman"/>
          <w:color w:val="auto"/>
          <w:highlight w:val="none"/>
          <w:lang w:val="en-US" w:eastAsia="zh-CN"/>
        </w:rPr>
        <w:t>后清掏拉运至塔城市污水厂</w:t>
      </w:r>
      <w:r>
        <w:rPr>
          <w:rFonts w:hint="default" w:ascii="Times New Roman" w:hAnsi="Times New Roman" w:cs="Times New Roman"/>
          <w:color w:val="auto"/>
          <w:highlight w:val="none"/>
        </w:rPr>
        <w:t>。</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施工期废水经合理</w:t>
      </w:r>
      <w:r>
        <w:rPr>
          <w:rFonts w:hint="default" w:ascii="Times New Roman" w:hAnsi="Times New Roman" w:cs="Times New Roman"/>
          <w:color w:val="auto"/>
          <w:highlight w:val="none"/>
          <w:lang w:val="en-US" w:eastAsia="zh-CN"/>
        </w:rPr>
        <w:t>处理</w:t>
      </w:r>
      <w:r>
        <w:rPr>
          <w:rFonts w:hint="default" w:ascii="Times New Roman" w:hAnsi="Times New Roman" w:cs="Times New Roman"/>
          <w:color w:val="auto"/>
          <w:highlight w:val="none"/>
        </w:rPr>
        <w:t>后对项目区水环境影响不大。</w:t>
      </w:r>
    </w:p>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土壤污染防治措施</w:t>
      </w:r>
      <w:bookmarkEnd w:id="325"/>
      <w:bookmarkEnd w:id="326"/>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本次环评要求在场地剥离施工过程中要做好表土单独存放，用于后期的原地貌恢复；施工期机械要勤加保养，防止漏油。</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采取上述措施后，不会对项目区土壤环境造成影响。</w:t>
      </w:r>
    </w:p>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327" w:name="_Toc23224"/>
      <w:r>
        <w:rPr>
          <w:rFonts w:hint="default" w:ascii="Times New Roman" w:hAnsi="Times New Roman" w:cs="Times New Roman"/>
          <w:color w:val="auto"/>
          <w:highlight w:val="none"/>
        </w:rPr>
        <w:t>固废处置措施分析</w:t>
      </w:r>
      <w:bookmarkEnd w:id="327"/>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（1）地基开挖产生的弃土须堆放在指定</w:t>
      </w:r>
      <w:r>
        <w:rPr>
          <w:rFonts w:hint="default" w:ascii="Times New Roman" w:hAnsi="Times New Roman" w:cs="Times New Roman"/>
          <w:color w:val="auto"/>
          <w:highlight w:val="none"/>
          <w:lang w:val="en-US" w:eastAsia="zh-CN"/>
        </w:rPr>
        <w:t>区域</w:t>
      </w:r>
      <w:r>
        <w:rPr>
          <w:rFonts w:hint="default" w:ascii="Times New Roman" w:hAnsi="Times New Roman" w:cs="Times New Roman"/>
          <w:color w:val="auto"/>
          <w:highlight w:val="none"/>
        </w:rPr>
        <w:t>，不能随意堆放，防止弃土造成水土流失。在施工完成后，弃土可用于</w:t>
      </w:r>
      <w:r>
        <w:rPr>
          <w:rFonts w:hint="default" w:ascii="Times New Roman" w:hAnsi="Times New Roman" w:cs="Times New Roman"/>
          <w:color w:val="auto"/>
          <w:highlight w:val="none"/>
          <w:lang w:val="en-US" w:eastAsia="zh-CN"/>
        </w:rPr>
        <w:t>场</w:t>
      </w:r>
      <w:r>
        <w:rPr>
          <w:rFonts w:hint="default" w:ascii="Times New Roman" w:hAnsi="Times New Roman" w:cs="Times New Roman"/>
          <w:color w:val="auto"/>
          <w:highlight w:val="none"/>
        </w:rPr>
        <w:t>区内的土地平整。</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（2）本项目的施工弃渣数量较少，可进行集中收集，全部用于场区洼地填平，其余建筑垃圾运至</w:t>
      </w:r>
      <w:r>
        <w:rPr>
          <w:rFonts w:hint="eastAsia" w:cs="Times New Roman"/>
          <w:color w:val="0000FF"/>
          <w:sz w:val="24"/>
          <w:szCs w:val="24"/>
          <w:highlight w:val="none"/>
          <w:lang w:eastAsia="zh-CN"/>
        </w:rPr>
        <w:t>管理部门指定地点</w:t>
      </w:r>
      <w:r>
        <w:rPr>
          <w:rFonts w:hint="default" w:ascii="Times New Roman" w:hAnsi="Times New Roman" w:cs="Times New Roman"/>
          <w:color w:val="auto"/>
          <w:highlight w:val="none"/>
        </w:rPr>
        <w:t>。</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 对施工期间产生的建筑垃圾进行分类收集、分类暂存，能够回收利用的尽量回收综合利用，以节约资源。同时对建筑垃圾暂存点进行有效的防护工作，避免风吹、雨淋散失或流失。</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（4）生活垃圾集中收集后交由环卫部门统一处理。</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施工单位不得将各种固体废弃物随意丢弃和随意排放，有效保护环境。</w:t>
      </w:r>
    </w:p>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328" w:name="_Toc28038"/>
      <w:r>
        <w:rPr>
          <w:rFonts w:hint="default" w:ascii="Times New Roman" w:hAnsi="Times New Roman" w:cs="Times New Roman"/>
          <w:color w:val="auto"/>
          <w:highlight w:val="none"/>
        </w:rPr>
        <w:t>生态保护措施分析</w:t>
      </w:r>
      <w:bookmarkEnd w:id="328"/>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本项目施工期生态保护措施为：</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合理施工布置规划，精心组织施工管理，严格控制占地面积，将施工区域控制在最小范围内，施工结束尽量将临时占地恢复原状；合理安排施工计划、施工程序，协调好各个施工步骤，土方填挖应尽量集中和避开暴雨期，并争取土料随挖随运、随填随压，减少堆土裸土的暴露时间，以避免受降雨的直接冲刷。在暴雨期，用覆盖物覆盖新开挖的陡坡，防止冲刷和崩塌；</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（2）为减少水土流失，严禁随意破坏施工场地内外的植物，并对施工中开挖裸露地表进行覆盖，防止水土流失；</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（3）物料堆场加盖篷布，防止扬尘和水土流失；</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（4）施工结束后，生态恢复，场地部分区域地表硬化，部分区域采用土方开挖前的保存的表土进行场地绿化；</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（5）做好现场施工人员的宣传、教育、管理工作。</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由于本项目随着施工后地面的恢复、开挖土壤的回填，施工活动造成的土壤破坏、地形地貌和景观改变、临时占地、扬尘污染、水土流失等生态影响都将会消除，对周边的环境影响较小。</w:t>
      </w:r>
    </w:p>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329" w:name="_Toc15392"/>
      <w:r>
        <w:rPr>
          <w:rFonts w:hint="default" w:ascii="Times New Roman" w:hAnsi="Times New Roman" w:cs="Times New Roman"/>
          <w:color w:val="auto"/>
          <w:highlight w:val="none"/>
        </w:rPr>
        <w:t>防沙治沙措施</w:t>
      </w:r>
      <w:bookmarkEnd w:id="329"/>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在防沙、治沙方面，要坚持“因地制宜、因害设防、保护优先、综合治理”的原则，本项目施工结束后，</w:t>
      </w:r>
      <w:r>
        <w:rPr>
          <w:rFonts w:hint="default" w:ascii="Times New Roman" w:hAnsi="Times New Roman" w:cs="Times New Roman"/>
          <w:color w:val="auto"/>
          <w:highlight w:val="none"/>
          <w:lang w:eastAsia="zh-CN"/>
        </w:rPr>
        <w:t>场区</w:t>
      </w:r>
      <w:r>
        <w:rPr>
          <w:rFonts w:hint="default" w:ascii="Times New Roman" w:hAnsi="Times New Roman" w:cs="Times New Roman"/>
          <w:color w:val="auto"/>
          <w:highlight w:val="none"/>
        </w:rPr>
        <w:t>道路、</w:t>
      </w:r>
      <w:r>
        <w:rPr>
          <w:rFonts w:hint="default" w:ascii="Times New Roman" w:hAnsi="Times New Roman" w:cs="Times New Roman"/>
          <w:color w:val="auto"/>
          <w:highlight w:val="none"/>
          <w:lang w:val="en-US" w:eastAsia="zh-CN"/>
        </w:rPr>
        <w:t>牛舍、</w:t>
      </w:r>
      <w:r>
        <w:rPr>
          <w:rFonts w:hint="default" w:ascii="Times New Roman" w:hAnsi="Times New Roman" w:cs="Times New Roman"/>
          <w:color w:val="auto"/>
          <w:highlight w:val="none"/>
          <w:lang w:eastAsia="zh-CN"/>
        </w:rPr>
        <w:t>干草棚</w:t>
      </w:r>
      <w:r>
        <w:rPr>
          <w:rFonts w:hint="default" w:ascii="Times New Roman" w:hAnsi="Times New Roman" w:cs="Times New Roman"/>
          <w:color w:val="auto"/>
          <w:highlight w:val="none"/>
        </w:rPr>
        <w:t>等区域将硬化，减少尘源</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通过场区硬化措施的实施可有效</w:t>
      </w:r>
      <w:r>
        <w:rPr>
          <w:rFonts w:hint="eastAsia" w:cs="Times New Roman"/>
          <w:color w:val="auto"/>
          <w:highlight w:val="none"/>
          <w:lang w:val="en-US" w:eastAsia="zh-CN"/>
        </w:rPr>
        <w:t>防止</w:t>
      </w:r>
      <w:r>
        <w:rPr>
          <w:rFonts w:hint="default" w:ascii="Times New Roman" w:hAnsi="Times New Roman" w:cs="Times New Roman"/>
          <w:color w:val="auto"/>
          <w:highlight w:val="none"/>
        </w:rPr>
        <w:t>项目区土地沙化。</w:t>
      </w:r>
    </w:p>
    <w:p>
      <w:pPr>
        <w:pStyle w:val="4"/>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330" w:name="_Toc29697"/>
      <w:bookmarkStart w:id="331" w:name="_Toc8697"/>
      <w:bookmarkStart w:id="332" w:name="_Toc27315"/>
      <w:r>
        <w:rPr>
          <w:rFonts w:hint="default" w:ascii="Times New Roman" w:hAnsi="Times New Roman" w:cs="Times New Roman"/>
          <w:color w:val="auto"/>
          <w:highlight w:val="none"/>
        </w:rPr>
        <w:t>运营期防治措施分析</w:t>
      </w:r>
      <w:bookmarkEnd w:id="330"/>
      <w:bookmarkEnd w:id="331"/>
      <w:bookmarkEnd w:id="332"/>
    </w:p>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333" w:name="_Toc16776"/>
      <w:r>
        <w:rPr>
          <w:rFonts w:hint="default" w:ascii="Times New Roman" w:hAnsi="Times New Roman" w:cs="Times New Roman"/>
          <w:color w:val="auto"/>
          <w:highlight w:val="none"/>
        </w:rPr>
        <w:t>废气治理措施可行性分析</w:t>
      </w:r>
      <w:bookmarkEnd w:id="333"/>
    </w:p>
    <w:bookmarkEnd w:id="318"/>
    <w:bookmarkEnd w:id="319"/>
    <w:bookmarkEnd w:id="320"/>
    <w:bookmarkEnd w:id="321"/>
    <w:p>
      <w:pPr>
        <w:pageBreakBefore w:val="0"/>
        <w:wordWrap/>
        <w:bidi w:val="0"/>
        <w:adjustRightInd w:val="0"/>
        <w:snapToGrid w:val="0"/>
        <w:spacing w:line="360" w:lineRule="auto"/>
        <w:ind w:left="0" w:leftChars="0" w:right="0" w:rightChars="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highlight w:val="none"/>
          <w:lang w:val="en-US" w:eastAsia="zh-CN"/>
        </w:rPr>
        <w:t>本项目参照</w:t>
      </w:r>
      <w:r>
        <w:rPr>
          <w:rFonts w:hint="default" w:ascii="Times New Roman" w:hAnsi="Times New Roman" w:cs="Times New Roman"/>
          <w:color w:val="auto"/>
          <w:highlight w:val="none"/>
        </w:rPr>
        <w:t>《排污许可证申请与核发技术规范 畜禽养殖行业》</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HJ1029-2019</w:t>
      </w:r>
      <w:r>
        <w:rPr>
          <w:rFonts w:hint="default" w:ascii="Times New Roman" w:hAnsi="Times New Roman" w:cs="Times New Roman"/>
          <w:color w:val="auto"/>
          <w:highlight w:val="none"/>
          <w:lang w:eastAsia="zh-CN"/>
        </w:rPr>
        <w:t>）、</w:t>
      </w:r>
      <w:r>
        <w:rPr>
          <w:rFonts w:hint="default" w:ascii="Times New Roman" w:hAnsi="Times New Roman" w:cs="Times New Roman"/>
          <w:color w:val="auto"/>
          <w:sz w:val="24"/>
          <w:szCs w:val="24"/>
          <w:highlight w:val="none"/>
        </w:rPr>
        <w:t>《畜禽养殖业污染防治技术规范》</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HJ/T81-2001</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、《畜禽规模养殖污染防治条例》、《畜禽养殖业污染治理工程技术规范》</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HJ497-2009</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、《畜禽养殖污染防治技术政策》（环发[2010]151号）、</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关于做好畜禽规模养殖项目环境影响评价</w:t>
      </w:r>
      <w:r>
        <w:rPr>
          <w:rFonts w:hint="default" w:ascii="Times New Roman" w:hAnsi="Times New Roman" w:cs="Times New Roman"/>
          <w:color w:val="auto"/>
          <w:spacing w:val="-6"/>
          <w:sz w:val="24"/>
          <w:szCs w:val="24"/>
          <w:highlight w:val="none"/>
        </w:rPr>
        <w:t>管理工作的通知</w:t>
      </w:r>
      <w:r>
        <w:rPr>
          <w:rFonts w:hint="default" w:ascii="Times New Roman" w:hAnsi="Times New Roman" w:cs="Times New Roman"/>
          <w:color w:val="auto"/>
          <w:spacing w:val="-6"/>
          <w:sz w:val="24"/>
          <w:szCs w:val="24"/>
          <w:highlight w:val="none"/>
          <w:lang w:eastAsia="zh-CN"/>
        </w:rPr>
        <w:t>》</w:t>
      </w:r>
      <w:r>
        <w:rPr>
          <w:rFonts w:hint="default" w:ascii="Times New Roman" w:hAnsi="Times New Roman" w:cs="Times New Roman"/>
          <w:color w:val="auto"/>
          <w:spacing w:val="-6"/>
          <w:sz w:val="24"/>
          <w:szCs w:val="24"/>
          <w:highlight w:val="none"/>
        </w:rPr>
        <w:t>（环办环评[2018]31号）</w:t>
      </w:r>
      <w:r>
        <w:rPr>
          <w:rFonts w:hint="default" w:ascii="Times New Roman" w:hAnsi="Times New Roman" w:cs="Times New Roman"/>
          <w:color w:val="auto"/>
          <w:spacing w:val="-6"/>
          <w:sz w:val="24"/>
          <w:szCs w:val="24"/>
          <w:highlight w:val="none"/>
          <w:lang w:val="en-US" w:eastAsia="zh-CN"/>
        </w:rPr>
        <w:t>及《规模畜禽养殖场污染防治最佳可行技术指南（试行）》</w:t>
      </w:r>
      <w:r>
        <w:rPr>
          <w:rFonts w:hint="default" w:ascii="Times New Roman" w:hAnsi="Times New Roman" w:cs="Times New Roman"/>
          <w:color w:val="auto"/>
          <w:spacing w:val="-6"/>
          <w:sz w:val="24"/>
          <w:szCs w:val="24"/>
          <w:highlight w:val="none"/>
        </w:rPr>
        <w:t>等相关文件的</w:t>
      </w:r>
      <w:r>
        <w:rPr>
          <w:rFonts w:hint="default" w:ascii="Times New Roman" w:hAnsi="Times New Roman" w:cs="Times New Roman"/>
          <w:color w:val="auto"/>
          <w:spacing w:val="-6"/>
          <w:sz w:val="24"/>
          <w:highlight w:val="none"/>
        </w:rPr>
        <w:t>中相关治理措施和控制要求</w:t>
      </w:r>
      <w:r>
        <w:rPr>
          <w:rFonts w:hint="default" w:ascii="Times New Roman" w:hAnsi="Times New Roman" w:cs="Times New Roman"/>
          <w:color w:val="auto"/>
          <w:spacing w:val="-6"/>
          <w:sz w:val="24"/>
          <w:szCs w:val="24"/>
          <w:highlight w:val="none"/>
        </w:rPr>
        <w:t>。</w:t>
      </w:r>
    </w:p>
    <w:p>
      <w:pPr>
        <w:pStyle w:val="6"/>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恶臭治理措施可行性分析</w:t>
      </w:r>
    </w:p>
    <w:p>
      <w:pPr>
        <w:pageBreakBefore w:val="0"/>
        <w:wordWrap/>
        <w:bidi w:val="0"/>
        <w:adjustRightInd w:val="0"/>
        <w:spacing w:line="360" w:lineRule="auto"/>
        <w:ind w:left="0" w:leftChars="0" w:right="0" w:rightChars="0" w:firstLine="480"/>
        <w:rPr>
          <w:rFonts w:hint="default" w:ascii="Times New Roman" w:hAnsi="Times New Roman" w:cs="Times New Roman"/>
          <w:bCs/>
          <w:color w:val="auto"/>
          <w:sz w:val="24"/>
          <w:szCs w:val="24"/>
          <w:highlight w:val="none"/>
        </w:rPr>
      </w:pPr>
      <w:bookmarkStart w:id="334" w:name="_Toc16463"/>
      <w:bookmarkStart w:id="335" w:name="_Toc196218617"/>
      <w:bookmarkStart w:id="336" w:name="_Toc183085459"/>
      <w:bookmarkStart w:id="337" w:name="_Toc183085733"/>
      <w:r>
        <w:rPr>
          <w:rFonts w:hint="default" w:ascii="Times New Roman" w:hAnsi="Times New Roman" w:cs="Times New Roman"/>
          <w:bCs/>
          <w:color w:val="auto"/>
          <w:sz w:val="24"/>
          <w:szCs w:val="24"/>
          <w:highlight w:val="none"/>
        </w:rPr>
        <w:t>项目拟针对恶臭产生环节采取如下措施：</w:t>
      </w:r>
    </w:p>
    <w:p>
      <w:pPr>
        <w:pageBreakBefore w:val="0"/>
        <w:numPr>
          <w:ilvl w:val="0"/>
          <w:numId w:val="19"/>
        </w:numPr>
        <w:wordWrap/>
        <w:bidi w:val="0"/>
        <w:adjustRightInd w:val="0"/>
        <w:spacing w:line="360" w:lineRule="auto"/>
        <w:ind w:left="454" w:leftChars="0" w:right="0" w:rightChars="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2"/>
          <w:highlight w:val="none"/>
        </w:rPr>
        <w:t>养殖场区通过控制饲养密度、加强舍内通风、及时清粪、绿化等措施抑制或减少臭气的产生；</w:t>
      </w:r>
    </w:p>
    <w:p>
      <w:pPr>
        <w:pageBreakBefore w:val="0"/>
        <w:numPr>
          <w:ilvl w:val="0"/>
          <w:numId w:val="19"/>
        </w:numPr>
        <w:wordWrap/>
        <w:bidi w:val="0"/>
        <w:adjustRightInd w:val="0"/>
        <w:spacing w:line="360" w:lineRule="auto"/>
        <w:ind w:left="454" w:leftChars="0" w:right="0" w:rightChars="0" w:firstLine="480" w:firstLineChars="200"/>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2"/>
          <w:highlight w:val="none"/>
          <w:lang w:val="en-US"/>
        </w:rPr>
        <w:t>科学饲料配比</w:t>
      </w:r>
      <w:r>
        <w:rPr>
          <w:rFonts w:hint="eastAsia" w:ascii="Times New Roman" w:hAnsi="Times New Roman" w:eastAsia="宋体" w:cs="Times New Roman"/>
          <w:color w:val="auto"/>
          <w:sz w:val="24"/>
          <w:szCs w:val="22"/>
          <w:highlight w:val="none"/>
          <w:lang w:val="en-US" w:eastAsia="zh-CN"/>
        </w:rPr>
        <w:t>；牛舍</w:t>
      </w:r>
      <w:r>
        <w:rPr>
          <w:rFonts w:hint="default" w:ascii="Times New Roman" w:hAnsi="Times New Roman" w:cs="Times New Roman"/>
          <w:color w:val="auto"/>
          <w:sz w:val="24"/>
          <w:szCs w:val="24"/>
          <w:highlight w:val="none"/>
        </w:rPr>
        <w:t>采用</w:t>
      </w:r>
      <w:r>
        <w:rPr>
          <w:rFonts w:hint="eastAsia" w:cs="Times New Roman"/>
          <w:color w:val="auto"/>
          <w:sz w:val="24"/>
          <w:szCs w:val="24"/>
          <w:highlight w:val="none"/>
          <w:lang w:val="en-US" w:eastAsia="zh-CN"/>
        </w:rPr>
        <w:t>干</w:t>
      </w:r>
      <w:r>
        <w:rPr>
          <w:rFonts w:hint="default" w:ascii="Times New Roman" w:hAnsi="Times New Roman" w:cs="Times New Roman"/>
          <w:color w:val="auto"/>
          <w:sz w:val="24"/>
          <w:szCs w:val="24"/>
          <w:highlight w:val="none"/>
        </w:rPr>
        <w:t>清粪工艺、</w:t>
      </w:r>
      <w:r>
        <w:rPr>
          <w:rFonts w:hint="default" w:ascii="Times New Roman" w:hAnsi="Times New Roman" w:cs="Times New Roman"/>
          <w:bCs/>
          <w:color w:val="auto"/>
          <w:sz w:val="24"/>
          <w:szCs w:val="24"/>
          <w:highlight w:val="none"/>
        </w:rPr>
        <w:t>牛舍粪便日</w:t>
      </w:r>
      <w:r>
        <w:rPr>
          <w:rFonts w:hint="eastAsia" w:cs="Times New Roman"/>
          <w:bCs/>
          <w:color w:val="auto"/>
          <w:sz w:val="24"/>
          <w:szCs w:val="24"/>
          <w:highlight w:val="none"/>
          <w:lang w:val="en-US" w:eastAsia="zh-CN"/>
        </w:rPr>
        <w:t>产</w:t>
      </w:r>
      <w:r>
        <w:rPr>
          <w:rFonts w:hint="default" w:ascii="Times New Roman" w:hAnsi="Times New Roman" w:cs="Times New Roman"/>
          <w:bCs/>
          <w:color w:val="auto"/>
          <w:sz w:val="24"/>
          <w:szCs w:val="24"/>
          <w:highlight w:val="none"/>
        </w:rPr>
        <w:t>日清；</w:t>
      </w:r>
      <w:r>
        <w:rPr>
          <w:rFonts w:hint="eastAsia" w:cs="Times New Roman"/>
          <w:bCs/>
          <w:color w:val="auto"/>
          <w:sz w:val="24"/>
          <w:szCs w:val="24"/>
          <w:highlight w:val="none"/>
          <w:lang w:val="en-US" w:eastAsia="zh-CN"/>
        </w:rPr>
        <w:t>定期</w:t>
      </w:r>
      <w:r>
        <w:rPr>
          <w:rFonts w:hint="default" w:ascii="Times New Roman" w:hAnsi="Times New Roman" w:cs="Times New Roman"/>
          <w:color w:val="auto"/>
          <w:sz w:val="24"/>
          <w:szCs w:val="24"/>
          <w:highlight w:val="none"/>
        </w:rPr>
        <w:t>喷洒</w:t>
      </w:r>
      <w:r>
        <w:rPr>
          <w:rFonts w:hint="eastAsia" w:ascii="Times New Roman" w:hAnsi="Times New Roman" w:cs="Times New Roman"/>
          <w:color w:val="auto"/>
          <w:sz w:val="24"/>
          <w:szCs w:val="24"/>
          <w:highlight w:val="none"/>
          <w:lang w:val="en-US" w:eastAsia="zh-CN"/>
        </w:rPr>
        <w:t>药剂</w:t>
      </w:r>
      <w:r>
        <w:rPr>
          <w:rFonts w:hint="default" w:ascii="Times New Roman" w:hAnsi="Times New Roman" w:cs="Times New Roman"/>
          <w:color w:val="auto"/>
          <w:sz w:val="24"/>
          <w:szCs w:val="24"/>
          <w:highlight w:val="none"/>
        </w:rPr>
        <w:t>除臭</w:t>
      </w:r>
      <w:r>
        <w:rPr>
          <w:rFonts w:hint="eastAsia" w:ascii="Times New Roman" w:hAnsi="Times New Roman" w:cs="Times New Roman"/>
          <w:color w:val="auto"/>
          <w:sz w:val="24"/>
          <w:szCs w:val="24"/>
          <w:highlight w:val="none"/>
          <w:lang w:eastAsia="zh-CN"/>
        </w:rPr>
        <w:t>；</w:t>
      </w:r>
    </w:p>
    <w:p>
      <w:pPr>
        <w:pageBreakBefore w:val="0"/>
        <w:numPr>
          <w:ilvl w:val="0"/>
          <w:numId w:val="19"/>
        </w:numPr>
        <w:wordWrap/>
        <w:bidi w:val="0"/>
        <w:adjustRightInd w:val="0"/>
        <w:spacing w:line="360" w:lineRule="auto"/>
        <w:ind w:left="454" w:leftChars="0" w:right="0" w:rightChars="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定期向</w:t>
      </w:r>
      <w:r>
        <w:rPr>
          <w:rFonts w:hint="default" w:ascii="Times New Roman" w:hAnsi="Times New Roman" w:cs="Times New Roman"/>
          <w:color w:val="auto"/>
          <w:sz w:val="24"/>
          <w:szCs w:val="24"/>
          <w:highlight w:val="none"/>
          <w:lang w:eastAsia="zh-CN"/>
        </w:rPr>
        <w:t>堆粪场</w:t>
      </w:r>
      <w:r>
        <w:rPr>
          <w:rFonts w:hint="default" w:ascii="Times New Roman" w:hAnsi="Times New Roman" w:cs="Times New Roman"/>
          <w:color w:val="auto"/>
          <w:sz w:val="24"/>
          <w:szCs w:val="24"/>
          <w:highlight w:val="none"/>
        </w:rPr>
        <w:t>喷洒</w:t>
      </w:r>
      <w:r>
        <w:rPr>
          <w:rFonts w:hint="eastAsia" w:ascii="Times New Roman" w:hAnsi="Times New Roman" w:cs="Times New Roman"/>
          <w:color w:val="auto"/>
          <w:sz w:val="24"/>
          <w:szCs w:val="24"/>
          <w:highlight w:val="none"/>
          <w:lang w:val="en-US" w:eastAsia="zh-CN"/>
        </w:rPr>
        <w:t>药剂</w:t>
      </w:r>
      <w:r>
        <w:rPr>
          <w:rFonts w:hint="default" w:ascii="Times New Roman" w:hAnsi="Times New Roman" w:cs="Times New Roman"/>
          <w:color w:val="auto"/>
          <w:sz w:val="24"/>
          <w:szCs w:val="24"/>
          <w:highlight w:val="none"/>
        </w:rPr>
        <w:t>除臭；</w:t>
      </w:r>
      <w:r>
        <w:rPr>
          <w:rFonts w:hint="eastAsia" w:cs="Times New Roman"/>
          <w:color w:val="auto"/>
          <w:sz w:val="24"/>
          <w:szCs w:val="24"/>
          <w:highlight w:val="none"/>
          <w:lang w:val="en-US" w:eastAsia="zh-CN"/>
        </w:rPr>
        <w:t>项目采用好氧堆肥方式；</w:t>
      </w:r>
    </w:p>
    <w:p>
      <w:pPr>
        <w:pageBreakBefore w:val="0"/>
        <w:numPr>
          <w:ilvl w:val="0"/>
          <w:numId w:val="19"/>
        </w:numPr>
        <w:wordWrap/>
        <w:bidi w:val="0"/>
        <w:adjustRightInd w:val="0"/>
        <w:spacing w:line="360" w:lineRule="auto"/>
        <w:ind w:left="454" w:leftChars="0" w:right="0" w:rightChars="0" w:firstLine="480" w:firstLineChars="200"/>
        <w:rPr>
          <w:rFonts w:hint="default" w:ascii="Times New Roman" w:hAnsi="Times New Roman" w:cs="Times New Roman"/>
          <w:color w:val="auto"/>
          <w:sz w:val="24"/>
          <w:szCs w:val="22"/>
          <w:highlight w:val="none"/>
        </w:rPr>
      </w:pPr>
      <w:r>
        <w:rPr>
          <w:rFonts w:hint="eastAsia" w:cs="Times New Roman"/>
          <w:color w:val="auto"/>
          <w:sz w:val="24"/>
          <w:szCs w:val="22"/>
          <w:highlight w:val="none"/>
          <w:lang w:val="en-US" w:eastAsia="zh-CN"/>
        </w:rPr>
        <w:t>粪污堆肥后还田利用；</w:t>
      </w:r>
    </w:p>
    <w:p>
      <w:pPr>
        <w:pageBreakBefore w:val="0"/>
        <w:numPr>
          <w:ilvl w:val="0"/>
          <w:numId w:val="19"/>
        </w:numPr>
        <w:wordWrap/>
        <w:bidi w:val="0"/>
        <w:adjustRightInd w:val="0"/>
        <w:spacing w:line="360" w:lineRule="auto"/>
        <w:ind w:left="454" w:leftChars="0" w:right="0" w:rightChars="0" w:firstLine="480" w:firstLineChars="200"/>
        <w:rPr>
          <w:rFonts w:hint="default" w:ascii="Times New Roman" w:hAnsi="Times New Roman" w:cs="Times New Roman"/>
          <w:color w:val="auto"/>
          <w:sz w:val="24"/>
          <w:szCs w:val="22"/>
          <w:highlight w:val="none"/>
        </w:rPr>
      </w:pPr>
      <w:r>
        <w:rPr>
          <w:rFonts w:hint="eastAsia" w:cs="Times New Roman"/>
          <w:color w:val="auto"/>
          <w:sz w:val="24"/>
          <w:szCs w:val="22"/>
          <w:highlight w:val="none"/>
          <w:lang w:val="en-US" w:eastAsia="zh-CN"/>
        </w:rPr>
        <w:t>集污池加盖；</w:t>
      </w:r>
    </w:p>
    <w:p>
      <w:pPr>
        <w:pageBreakBefore w:val="0"/>
        <w:numPr>
          <w:ilvl w:val="0"/>
          <w:numId w:val="19"/>
        </w:numPr>
        <w:wordWrap/>
        <w:bidi w:val="0"/>
        <w:adjustRightInd w:val="0"/>
        <w:spacing w:line="360" w:lineRule="auto"/>
        <w:ind w:left="454" w:leftChars="0" w:right="0" w:rightChars="0" w:firstLine="480" w:firstLineChars="200"/>
        <w:rPr>
          <w:rFonts w:hint="default" w:ascii="Times New Roman" w:hAnsi="Times New Roman" w:cs="Times New Roman"/>
          <w:color w:val="auto"/>
          <w:sz w:val="24"/>
          <w:szCs w:val="22"/>
          <w:highlight w:val="none"/>
        </w:rPr>
      </w:pPr>
      <w:r>
        <w:rPr>
          <w:rFonts w:hint="eastAsia" w:cs="Times New Roman"/>
          <w:color w:val="auto"/>
          <w:sz w:val="24"/>
          <w:szCs w:val="22"/>
          <w:highlight w:val="none"/>
          <w:lang w:val="en-US" w:eastAsia="zh-CN"/>
        </w:rPr>
        <w:t>项目区运输道路硬化并及时清扫</w:t>
      </w:r>
      <w:r>
        <w:rPr>
          <w:rFonts w:hint="default" w:ascii="Times New Roman" w:hAnsi="Times New Roman" w:cs="Times New Roman"/>
          <w:color w:val="auto"/>
          <w:sz w:val="24"/>
          <w:szCs w:val="22"/>
          <w:highlight w:val="none"/>
        </w:rPr>
        <w:t>。</w:t>
      </w:r>
    </w:p>
    <w:p>
      <w:pPr>
        <w:pageBreakBefore w:val="0"/>
        <w:wordWrap/>
        <w:bidi w:val="0"/>
        <w:adjustRightInd w:val="0"/>
        <w:spacing w:line="360" w:lineRule="auto"/>
        <w:ind w:left="0" w:leftChars="0" w:right="0" w:rightChars="0" w:firstLine="480"/>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项目措施符合《畜禽养殖业污染治理工程技术规范》（HJ 497</w:t>
      </w:r>
      <w:r>
        <w:rPr>
          <w:rFonts w:hint="eastAsia" w:cs="Times New Roman"/>
          <w:color w:val="auto"/>
          <w:sz w:val="24"/>
          <w:szCs w:val="22"/>
          <w:highlight w:val="none"/>
          <w:lang w:val="en-US" w:eastAsia="zh-CN"/>
        </w:rPr>
        <w:t>-</w:t>
      </w:r>
      <w:r>
        <w:rPr>
          <w:rFonts w:hint="default" w:ascii="Times New Roman" w:hAnsi="Times New Roman" w:cs="Times New Roman"/>
          <w:color w:val="auto"/>
          <w:sz w:val="24"/>
          <w:szCs w:val="22"/>
          <w:highlight w:val="none"/>
        </w:rPr>
        <w:t>2009）“恶臭控制10.1一般规定”，</w:t>
      </w:r>
      <w:r>
        <w:rPr>
          <w:rFonts w:hint="eastAsia" w:cs="Times New Roman"/>
          <w:color w:val="auto"/>
          <w:sz w:val="24"/>
          <w:szCs w:val="22"/>
          <w:highlight w:val="none"/>
          <w:lang w:val="en-US" w:eastAsia="zh-CN"/>
        </w:rPr>
        <w:t>参照</w:t>
      </w:r>
      <w:r>
        <w:rPr>
          <w:rFonts w:hint="default" w:ascii="Times New Roman" w:hAnsi="Times New Roman" w:cs="Times New Roman"/>
          <w:color w:val="auto"/>
          <w:sz w:val="24"/>
          <w:szCs w:val="22"/>
          <w:highlight w:val="none"/>
        </w:rPr>
        <w:fldChar w:fldCharType="begin"/>
      </w:r>
      <w:r>
        <w:rPr>
          <w:rFonts w:hint="default" w:ascii="Times New Roman" w:hAnsi="Times New Roman" w:cs="Times New Roman"/>
          <w:color w:val="auto"/>
          <w:sz w:val="24"/>
          <w:szCs w:val="22"/>
          <w:highlight w:val="none"/>
        </w:rPr>
        <w:instrText xml:space="preserve"> HYPERLINK "https://www.mee.gov.cn/gkml/hbb/bgth/201105/W020230202580996897575.pdf" </w:instrText>
      </w:r>
      <w:r>
        <w:rPr>
          <w:rFonts w:hint="default" w:ascii="Times New Roman" w:hAnsi="Times New Roman" w:cs="Times New Roman"/>
          <w:color w:val="auto"/>
          <w:sz w:val="24"/>
          <w:szCs w:val="22"/>
          <w:highlight w:val="none"/>
        </w:rPr>
        <w:fldChar w:fldCharType="separate"/>
      </w:r>
      <w:r>
        <w:rPr>
          <w:rFonts w:hint="eastAsia" w:ascii="Times New Roman" w:hAnsi="Times New Roman" w:cs="Times New Roman"/>
          <w:color w:val="auto"/>
          <w:sz w:val="24"/>
          <w:szCs w:val="22"/>
          <w:highlight w:val="none"/>
        </w:rPr>
        <w:t>《畜禽养殖污染防治最佳可行技术指南》（试行）编制说明（征求意见稿）</w:t>
      </w:r>
      <w:r>
        <w:rPr>
          <w:rFonts w:hint="eastAsia" w:ascii="Times New Roman" w:hAnsi="Times New Roman" w:cs="Times New Roman"/>
          <w:color w:val="auto"/>
          <w:sz w:val="24"/>
          <w:szCs w:val="22"/>
          <w:highlight w:val="none"/>
        </w:rPr>
        <w:fldChar w:fldCharType="end"/>
      </w:r>
      <w:r>
        <w:rPr>
          <w:rFonts w:hint="eastAsia" w:cs="Times New Roman"/>
          <w:color w:val="auto"/>
          <w:sz w:val="24"/>
          <w:szCs w:val="22"/>
          <w:highlight w:val="none"/>
          <w:lang w:eastAsia="zh-CN"/>
        </w:rPr>
        <w:t>：</w:t>
      </w:r>
      <w:r>
        <w:rPr>
          <w:rFonts w:hint="default" w:ascii="Times New Roman" w:hAnsi="Times New Roman" w:cs="Times New Roman"/>
          <w:color w:val="auto"/>
          <w:sz w:val="24"/>
          <w:szCs w:val="22"/>
          <w:highlight w:val="none"/>
        </w:rPr>
        <w:t>“合理设计的猪舍可对67%的氨产生影响，清除粪便可影响另外25%的氨，调整饲料对氨的影响占15%～20%。”</w:t>
      </w:r>
      <w:r>
        <w:rPr>
          <w:rFonts w:hint="eastAsia" w:cs="Times New Roman"/>
          <w:b w:val="0"/>
          <w:bCs w:val="0"/>
          <w:color w:val="auto"/>
          <w:sz w:val="24"/>
          <w:szCs w:val="22"/>
          <w:highlight w:val="none"/>
          <w:lang w:val="en-US" w:eastAsia="zh-CN"/>
        </w:rPr>
        <w:t>符合</w:t>
      </w:r>
      <w:r>
        <w:rPr>
          <w:rFonts w:hint="eastAsia" w:ascii="宋体" w:hAnsi="宋体" w:eastAsia="宋体" w:cs="宋体"/>
          <w:b w:val="0"/>
          <w:bCs w:val="0"/>
          <w:color w:val="auto"/>
          <w:kern w:val="0"/>
          <w:sz w:val="24"/>
          <w:szCs w:val="24"/>
          <w:highlight w:val="none"/>
        </w:rPr>
        <w:t>《排污许可申请与核发技术规范 畜禽养殖行业》（HJ1029-2019）</w:t>
      </w:r>
      <w:r>
        <w:rPr>
          <w:rFonts w:hint="eastAsia" w:ascii="宋体" w:hAnsi="宋体" w:eastAsia="宋体" w:cs="宋体"/>
          <w:b w:val="0"/>
          <w:bCs w:val="0"/>
          <w:color w:val="auto"/>
          <w:kern w:val="0"/>
          <w:sz w:val="24"/>
          <w:szCs w:val="24"/>
          <w:highlight w:val="none"/>
          <w:lang w:eastAsia="zh-CN"/>
        </w:rPr>
        <w:t>“</w:t>
      </w:r>
      <w:r>
        <w:rPr>
          <w:rFonts w:hint="eastAsia" w:ascii="宋体" w:hAnsi="宋体" w:eastAsia="宋体" w:cs="宋体"/>
          <w:b w:val="0"/>
          <w:bCs w:val="0"/>
          <w:color w:val="auto"/>
          <w:kern w:val="0"/>
          <w:sz w:val="24"/>
          <w:szCs w:val="24"/>
          <w:highlight w:val="none"/>
          <w:lang w:val="en-US" w:eastAsia="zh-CN"/>
        </w:rPr>
        <w:t>表7 畜禽养殖行业排污单位恶臭无组织排放控制要求”。</w:t>
      </w:r>
      <w:r>
        <w:rPr>
          <w:rFonts w:hint="default" w:ascii="Times New Roman" w:hAnsi="Times New Roman" w:cs="Times New Roman"/>
          <w:color w:val="auto"/>
          <w:sz w:val="24"/>
          <w:szCs w:val="22"/>
          <w:highlight w:val="none"/>
        </w:rPr>
        <w:t>项目采取措施可有效、稳定去除恶臭气体。根据</w:t>
      </w:r>
      <w:r>
        <w:rPr>
          <w:rFonts w:hint="default" w:ascii="Times New Roman" w:hAnsi="Times New Roman" w:cs="Times New Roman"/>
          <w:color w:val="auto"/>
          <w:sz w:val="24"/>
          <w:szCs w:val="22"/>
          <w:highlight w:val="none"/>
          <w:lang w:val="en-US" w:eastAsia="zh-CN"/>
        </w:rPr>
        <w:t>3.3.2.1</w:t>
      </w:r>
      <w:r>
        <w:rPr>
          <w:rFonts w:hint="default" w:ascii="Times New Roman" w:hAnsi="Times New Roman" w:cs="Times New Roman"/>
          <w:color w:val="auto"/>
          <w:sz w:val="24"/>
          <w:szCs w:val="22"/>
          <w:highlight w:val="none"/>
        </w:rPr>
        <w:t>运营期大气污染物排放分析项目采取以上措施后</w:t>
      </w:r>
      <w:r>
        <w:rPr>
          <w:rFonts w:hint="default" w:ascii="Times New Roman" w:hAnsi="Times New Roman" w:cs="Times New Roman"/>
          <w:color w:val="auto"/>
          <w:sz w:val="24"/>
          <w:szCs w:val="22"/>
          <w:highlight w:val="none"/>
          <w:lang w:eastAsia="zh-CN"/>
        </w:rPr>
        <w:t>场界</w:t>
      </w:r>
      <w:r>
        <w:rPr>
          <w:rFonts w:hint="default" w:ascii="Times New Roman" w:hAnsi="Times New Roman" w:cs="Times New Roman"/>
          <w:color w:val="auto"/>
          <w:sz w:val="24"/>
          <w:szCs w:val="22"/>
          <w:highlight w:val="none"/>
        </w:rPr>
        <w:t>恶臭气体排放符合</w:t>
      </w:r>
      <w:r>
        <w:rPr>
          <w:rFonts w:hint="default" w:ascii="Times New Roman" w:hAnsi="Times New Roman" w:cs="Times New Roman"/>
          <w:color w:val="auto"/>
          <w:highlight w:val="none"/>
        </w:rPr>
        <w:t>《恶臭污染物排放标准》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GB14554-93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中新污染源二级标准</w:t>
      </w:r>
      <w:r>
        <w:rPr>
          <w:rFonts w:hint="default" w:ascii="Times New Roman" w:hAnsi="Times New Roman" w:cs="Times New Roman"/>
          <w:color w:val="auto"/>
          <w:sz w:val="24"/>
          <w:szCs w:val="22"/>
          <w:highlight w:val="none"/>
        </w:rPr>
        <w:t>，根据大气环境影响预测分析NH</w:t>
      </w:r>
      <w:r>
        <w:rPr>
          <w:rFonts w:hint="default" w:ascii="Times New Roman" w:hAnsi="Times New Roman" w:cs="Times New Roman"/>
          <w:color w:val="auto"/>
          <w:sz w:val="24"/>
          <w:szCs w:val="22"/>
          <w:highlight w:val="none"/>
          <w:vertAlign w:val="subscript"/>
        </w:rPr>
        <w:t>3</w:t>
      </w:r>
      <w:r>
        <w:rPr>
          <w:rFonts w:hint="default" w:ascii="Times New Roman" w:hAnsi="Times New Roman" w:cs="Times New Roman"/>
          <w:color w:val="auto"/>
          <w:sz w:val="24"/>
          <w:szCs w:val="22"/>
          <w:highlight w:val="none"/>
        </w:rPr>
        <w:t>最大落地</w:t>
      </w:r>
      <w:r>
        <w:rPr>
          <w:rFonts w:hint="default" w:ascii="Times New Roman" w:hAnsi="Times New Roman" w:cs="Times New Roman"/>
          <w:color w:val="auto"/>
          <w:sz w:val="24"/>
          <w:szCs w:val="24"/>
          <w:highlight w:val="none"/>
        </w:rPr>
        <w:t>浓度</w:t>
      </w:r>
      <w:r>
        <w:rPr>
          <w:rFonts w:hint="default" w:ascii="Times New Roman" w:hAnsi="Times New Roman" w:cs="Times New Roman"/>
          <w:color w:val="auto"/>
          <w:sz w:val="24"/>
          <w:szCs w:val="24"/>
          <w:highlight w:val="none"/>
          <w:lang w:val="en-US" w:eastAsia="zh-CN"/>
        </w:rPr>
        <w:t>和</w:t>
      </w:r>
      <w:r>
        <w:rPr>
          <w:rFonts w:hint="default" w:ascii="Times New Roman" w:hAnsi="Times New Roman" w:cs="Times New Roman"/>
          <w:color w:val="auto"/>
          <w:sz w:val="24"/>
          <w:szCs w:val="24"/>
          <w:highlight w:val="none"/>
        </w:rPr>
        <w:t>H</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S最大落地浓度</w:t>
      </w:r>
      <w:r>
        <w:rPr>
          <w:rFonts w:hint="default" w:ascii="Times New Roman" w:hAnsi="Times New Roman" w:cs="Times New Roman"/>
          <w:color w:val="auto"/>
          <w:sz w:val="24"/>
          <w:szCs w:val="24"/>
          <w:highlight w:val="none"/>
          <w:lang w:val="en-US" w:eastAsia="zh-CN"/>
        </w:rPr>
        <w:t>均</w:t>
      </w:r>
      <w:r>
        <w:rPr>
          <w:rFonts w:hint="default" w:ascii="Times New Roman" w:hAnsi="Times New Roman" w:cs="Times New Roman"/>
          <w:color w:val="auto"/>
          <w:sz w:val="24"/>
          <w:szCs w:val="22"/>
          <w:highlight w:val="none"/>
        </w:rPr>
        <w:t>小于</w:t>
      </w:r>
      <w:r>
        <w:rPr>
          <w:rFonts w:hint="default" w:ascii="Times New Roman" w:hAnsi="Times New Roman" w:cs="Times New Roman"/>
          <w:color w:val="auto"/>
          <w:highlight w:val="none"/>
        </w:rPr>
        <w:t>《畜禽养殖业污染物排放标准》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GB18596-2001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中集约化畜禽养殖业</w:t>
      </w:r>
      <w:r>
        <w:rPr>
          <w:rFonts w:hint="eastAsia"/>
          <w:color w:val="auto"/>
          <w:lang w:eastAsia="zh-CN"/>
        </w:rPr>
        <w:t>氨、硫化氢</w:t>
      </w:r>
      <w:r>
        <w:rPr>
          <w:rFonts w:hint="default" w:ascii="Times New Roman" w:hAnsi="Times New Roman" w:cs="Times New Roman"/>
          <w:color w:val="auto"/>
          <w:highlight w:val="none"/>
        </w:rPr>
        <w:t>污染物排放</w:t>
      </w:r>
      <w:r>
        <w:rPr>
          <w:rFonts w:hint="eastAsia" w:cs="Times New Roman"/>
          <w:color w:val="auto"/>
          <w:highlight w:val="none"/>
          <w:lang w:val="en-US" w:eastAsia="zh-CN"/>
        </w:rPr>
        <w:t>浓度</w:t>
      </w:r>
      <w:r>
        <w:rPr>
          <w:rFonts w:hint="default" w:ascii="Times New Roman" w:hAnsi="Times New Roman" w:cs="Times New Roman"/>
          <w:color w:val="auto"/>
          <w:highlight w:val="none"/>
        </w:rPr>
        <w:t>标准</w:t>
      </w:r>
      <w:r>
        <w:rPr>
          <w:rFonts w:hint="default" w:ascii="Times New Roman" w:hAnsi="Times New Roman" w:cs="Times New Roman"/>
          <w:color w:val="auto"/>
          <w:sz w:val="24"/>
          <w:szCs w:val="22"/>
          <w:highlight w:val="none"/>
        </w:rPr>
        <w:t>。</w:t>
      </w:r>
    </w:p>
    <w:p>
      <w:pPr>
        <w:pageBreakBefore w:val="0"/>
        <w:wordWrap/>
        <w:bidi w:val="0"/>
        <w:adjustRightInd w:val="0"/>
        <w:spacing w:line="360" w:lineRule="auto"/>
        <w:ind w:left="0" w:leftChars="0" w:right="0" w:rightChars="0" w:firstLine="480"/>
        <w:rPr>
          <w:rFonts w:hint="default" w:ascii="Times New Roman" w:hAnsi="Times New Roman" w:cs="Times New Roman"/>
          <w:bCs/>
          <w:color w:val="auto"/>
          <w:sz w:val="24"/>
          <w:szCs w:val="24"/>
          <w:highlight w:val="none"/>
        </w:rPr>
      </w:pPr>
      <w:r>
        <w:rPr>
          <w:rFonts w:hint="default" w:ascii="Times New Roman" w:hAnsi="Times New Roman" w:cs="Times New Roman"/>
          <w:color w:val="auto"/>
          <w:sz w:val="24"/>
          <w:szCs w:val="22"/>
          <w:highlight w:val="none"/>
        </w:rPr>
        <w:t>因此项目对恶臭气体采取的</w:t>
      </w:r>
      <w:r>
        <w:rPr>
          <w:rFonts w:hint="default" w:ascii="Times New Roman" w:hAnsi="Times New Roman" w:cs="Times New Roman"/>
          <w:color w:val="auto"/>
          <w:sz w:val="24"/>
          <w:szCs w:val="24"/>
          <w:highlight w:val="none"/>
        </w:rPr>
        <w:t>措施针对恶臭产生环节切实有效，</w:t>
      </w:r>
      <w:r>
        <w:rPr>
          <w:rFonts w:hint="eastAsia" w:cs="Times New Roman"/>
          <w:color w:val="auto"/>
          <w:sz w:val="24"/>
          <w:szCs w:val="24"/>
          <w:highlight w:val="none"/>
          <w:lang w:val="en-US" w:eastAsia="zh-CN"/>
        </w:rPr>
        <w:t>采取的治理</w:t>
      </w:r>
      <w:r>
        <w:rPr>
          <w:rFonts w:hint="default" w:ascii="Times New Roman" w:hAnsi="Times New Roman" w:cs="Times New Roman"/>
          <w:color w:val="auto"/>
          <w:sz w:val="24"/>
          <w:szCs w:val="24"/>
          <w:highlight w:val="none"/>
        </w:rPr>
        <w:t>措施可行。</w:t>
      </w:r>
    </w:p>
    <w:p>
      <w:pPr>
        <w:pStyle w:val="6"/>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饲料配料产生的粉尘</w:t>
      </w:r>
    </w:p>
    <w:p>
      <w:pPr>
        <w:pageBreakBefore w:val="0"/>
        <w:wordWrap/>
        <w:bidi w:val="0"/>
        <w:adjustRightInd w:val="0"/>
        <w:spacing w:line="360" w:lineRule="auto"/>
        <w:ind w:left="0" w:leftChars="0" w:right="0" w:rightChars="0" w:firstLine="480"/>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易起尘物料起尘量与物料含水率及装卸落差有很大关系，项目饲料加工过程中拟采取以下措施：</w:t>
      </w:r>
    </w:p>
    <w:p>
      <w:pPr>
        <w:pageBreakBefore w:val="0"/>
        <w:wordWrap/>
        <w:bidi w:val="0"/>
        <w:adjustRightInd w:val="0"/>
        <w:spacing w:line="360" w:lineRule="auto"/>
        <w:ind w:left="0" w:leftChars="0" w:right="0" w:rightChars="0" w:firstLine="480"/>
        <w:rPr>
          <w:rFonts w:hint="default" w:ascii="Times New Roman" w:hAnsi="Times New Roman" w:eastAsia="宋体" w:cs="Times New Roman"/>
          <w:bCs/>
          <w:color w:val="auto"/>
          <w:sz w:val="24"/>
          <w:szCs w:val="24"/>
          <w:highlight w:val="none"/>
          <w:lang w:eastAsia="zh-CN"/>
        </w:rPr>
      </w:pPr>
      <w:r>
        <w:rPr>
          <w:rFonts w:hint="default" w:ascii="Times New Roman" w:hAnsi="Times New Roman" w:cs="Times New Roman"/>
          <w:bCs/>
          <w:color w:val="auto"/>
          <w:sz w:val="24"/>
          <w:szCs w:val="24"/>
          <w:highlight w:val="none"/>
        </w:rPr>
        <w:t>饲料</w:t>
      </w:r>
      <w:r>
        <w:rPr>
          <w:rFonts w:hint="default" w:ascii="Times New Roman" w:hAnsi="Times New Roman" w:cs="Times New Roman"/>
          <w:bCs/>
          <w:color w:val="auto"/>
          <w:sz w:val="24"/>
          <w:szCs w:val="24"/>
          <w:highlight w:val="none"/>
          <w:lang w:val="en-US" w:eastAsia="zh-CN"/>
        </w:rPr>
        <w:t>加工车间</w:t>
      </w:r>
      <w:r>
        <w:rPr>
          <w:rFonts w:hint="default" w:ascii="Times New Roman" w:hAnsi="Times New Roman" w:cs="Times New Roman"/>
          <w:bCs/>
          <w:color w:val="auto"/>
          <w:sz w:val="24"/>
          <w:szCs w:val="24"/>
          <w:highlight w:val="none"/>
        </w:rPr>
        <w:t>粉尘投料口、出料口分别安装集气罩，集气罩面积1</w:t>
      </w:r>
      <w:r>
        <w:rPr>
          <w:rFonts w:hint="default" w:ascii="Times New Roman" w:hAnsi="Times New Roman" w:cs="Times New Roman"/>
          <w:bCs/>
          <w:color w:val="auto"/>
          <w:sz w:val="24"/>
          <w:szCs w:val="24"/>
          <w:highlight w:val="none"/>
          <w:lang w:val="en-US" w:eastAsia="zh-CN"/>
        </w:rPr>
        <w:t>m</w:t>
      </w:r>
      <w:r>
        <w:rPr>
          <w:rFonts w:hint="default" w:ascii="Times New Roman" w:hAnsi="Times New Roman" w:cs="Times New Roman"/>
          <w:bCs/>
          <w:color w:val="auto"/>
          <w:sz w:val="24"/>
          <w:szCs w:val="24"/>
          <w:highlight w:val="none"/>
          <w:vertAlign w:val="superscript"/>
          <w:lang w:val="en-US" w:eastAsia="zh-CN"/>
        </w:rPr>
        <w:t>2</w:t>
      </w:r>
      <w:r>
        <w:rPr>
          <w:rFonts w:hint="default" w:ascii="Times New Roman" w:hAnsi="Times New Roman" w:cs="Times New Roman"/>
          <w:bCs/>
          <w:color w:val="auto"/>
          <w:sz w:val="24"/>
          <w:szCs w:val="24"/>
          <w:highlight w:val="none"/>
        </w:rPr>
        <w:t>，饲料起尘经集气罩收集后由布袋除尘器除尘后经15m高排气筒排放</w:t>
      </w:r>
      <w:r>
        <w:rPr>
          <w:rFonts w:hint="default" w:ascii="Times New Roman" w:hAnsi="Times New Roman" w:cs="Times New Roman"/>
          <w:bCs/>
          <w:color w:val="auto"/>
          <w:sz w:val="24"/>
          <w:szCs w:val="24"/>
          <w:highlight w:val="none"/>
          <w:lang w:eastAsia="zh-CN"/>
        </w:rPr>
        <w:t>，</w:t>
      </w:r>
      <w:r>
        <w:rPr>
          <w:rFonts w:hint="eastAsia" w:cs="Times New Roman"/>
          <w:bCs/>
          <w:color w:val="auto"/>
          <w:sz w:val="24"/>
          <w:szCs w:val="24"/>
          <w:highlight w:val="none"/>
          <w:lang w:val="en-US" w:eastAsia="zh-CN"/>
        </w:rPr>
        <w:t>饲料混合搅拌</w:t>
      </w:r>
      <w:r>
        <w:rPr>
          <w:rFonts w:hint="default" w:ascii="Times New Roman" w:hAnsi="Times New Roman" w:cs="Times New Roman"/>
          <w:bCs/>
          <w:color w:val="auto"/>
          <w:sz w:val="24"/>
          <w:szCs w:val="24"/>
          <w:highlight w:val="none"/>
        </w:rPr>
        <w:t>工段</w:t>
      </w:r>
      <w:r>
        <w:rPr>
          <w:rFonts w:hint="eastAsia" w:cs="Times New Roman"/>
          <w:bCs/>
          <w:color w:val="auto"/>
          <w:sz w:val="24"/>
          <w:szCs w:val="24"/>
          <w:highlight w:val="none"/>
          <w:lang w:eastAsia="zh-CN"/>
        </w:rPr>
        <w:t>（</w:t>
      </w:r>
      <w:r>
        <w:rPr>
          <w:rFonts w:hint="eastAsia" w:cs="Times New Roman"/>
          <w:bCs/>
          <w:color w:val="auto"/>
          <w:sz w:val="24"/>
          <w:szCs w:val="24"/>
          <w:highlight w:val="none"/>
          <w:lang w:val="en-US" w:eastAsia="zh-CN"/>
        </w:rPr>
        <w:t>TMR制备机）</w:t>
      </w:r>
      <w:r>
        <w:rPr>
          <w:rFonts w:hint="default" w:ascii="Times New Roman" w:hAnsi="Times New Roman" w:cs="Times New Roman"/>
          <w:bCs/>
          <w:color w:val="auto"/>
          <w:sz w:val="24"/>
          <w:szCs w:val="24"/>
          <w:highlight w:val="none"/>
        </w:rPr>
        <w:t>密闭</w:t>
      </w:r>
      <w:r>
        <w:rPr>
          <w:rFonts w:hint="default" w:ascii="Times New Roman" w:hAnsi="Times New Roman" w:cs="Times New Roman"/>
          <w:bCs/>
          <w:color w:val="auto"/>
          <w:sz w:val="24"/>
          <w:szCs w:val="24"/>
          <w:highlight w:val="none"/>
          <w:lang w:eastAsia="zh-CN"/>
        </w:rPr>
        <w:t>。</w:t>
      </w:r>
    </w:p>
    <w:p>
      <w:pPr>
        <w:pageBreakBefore w:val="0"/>
        <w:wordWrap/>
        <w:bidi w:val="0"/>
        <w:adjustRightInd w:val="0"/>
        <w:spacing w:line="360" w:lineRule="auto"/>
        <w:ind w:left="0" w:leftChars="0" w:right="0" w:righ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布袋除尘器是一种高效、稳定的干式除尘器。由于袋式除尘器不受烟尘比电阻的影响，而且去除细颗粒物的能力比电除尘器还要好，从而受到了重视，逐渐得到了推广，现已成为一项成熟的技术，在工业上广泛地应用。</w:t>
      </w:r>
    </w:p>
    <w:p>
      <w:pPr>
        <w:pageBreakBefore w:val="0"/>
        <w:wordWrap/>
        <w:bidi w:val="0"/>
        <w:adjustRightInd w:val="0"/>
        <w:spacing w:line="360" w:lineRule="auto"/>
        <w:ind w:left="0" w:leftChars="0" w:right="0" w:righ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w:t>
      </w:r>
      <w:r>
        <w:rPr>
          <w:rFonts w:hint="default" w:ascii="Times New Roman" w:hAnsi="Times New Roman" w:cs="Times New Roman"/>
          <w:color w:val="auto"/>
          <w:sz w:val="24"/>
          <w:szCs w:val="24"/>
          <w:highlight w:val="none"/>
        </w:rPr>
        <w:t>饲料</w:t>
      </w:r>
      <w:r>
        <w:rPr>
          <w:rFonts w:hint="default" w:ascii="Times New Roman" w:hAnsi="Times New Roman" w:cs="Times New Roman"/>
          <w:bCs/>
          <w:color w:val="auto"/>
          <w:sz w:val="24"/>
          <w:szCs w:val="24"/>
          <w:highlight w:val="none"/>
          <w:lang w:val="en-US" w:eastAsia="zh-CN"/>
        </w:rPr>
        <w:t>加工车间</w:t>
      </w:r>
      <w:r>
        <w:rPr>
          <w:rFonts w:hint="default" w:ascii="Times New Roman" w:hAnsi="Times New Roman" w:cs="Times New Roman"/>
          <w:bCs/>
          <w:color w:val="auto"/>
          <w:sz w:val="24"/>
          <w:szCs w:val="24"/>
          <w:highlight w:val="none"/>
        </w:rPr>
        <w:t>粉尘</w:t>
      </w:r>
      <w:r>
        <w:rPr>
          <w:rFonts w:hint="default" w:ascii="Times New Roman" w:hAnsi="Times New Roman" w:cs="Times New Roman"/>
          <w:color w:val="auto"/>
          <w:sz w:val="24"/>
          <w:highlight w:val="none"/>
        </w:rPr>
        <w:t>经布袋除尘器处理后，通过1根15m高排气筒高空排放，最终排放浓度和排放速率符合《大气污染物综合排放标准》（GB16297-1996）表2二级标准。</w:t>
      </w:r>
    </w:p>
    <w:p>
      <w:pPr>
        <w:pageBreakBefore w:val="0"/>
        <w:wordWrap/>
        <w:bidi w:val="0"/>
        <w:adjustRightInd w:val="0"/>
        <w:spacing w:line="360" w:lineRule="auto"/>
        <w:ind w:left="0" w:leftChars="0" w:right="0" w:righ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因此，本项目</w:t>
      </w:r>
      <w:r>
        <w:rPr>
          <w:rFonts w:hint="default" w:ascii="Times New Roman" w:hAnsi="Times New Roman" w:cs="Times New Roman"/>
          <w:color w:val="auto"/>
          <w:sz w:val="24"/>
          <w:szCs w:val="24"/>
          <w:highlight w:val="none"/>
        </w:rPr>
        <w:t>饲料</w:t>
      </w:r>
      <w:r>
        <w:rPr>
          <w:rFonts w:hint="default" w:ascii="Times New Roman" w:hAnsi="Times New Roman" w:cs="Times New Roman"/>
          <w:color w:val="auto"/>
          <w:sz w:val="24"/>
          <w:szCs w:val="24"/>
          <w:highlight w:val="none"/>
          <w:lang w:eastAsia="zh-CN"/>
        </w:rPr>
        <w:t>破碎</w:t>
      </w:r>
      <w:r>
        <w:rPr>
          <w:rFonts w:hint="default" w:ascii="Times New Roman" w:hAnsi="Times New Roman" w:cs="Times New Roman"/>
          <w:color w:val="auto"/>
          <w:sz w:val="24"/>
          <w:szCs w:val="24"/>
          <w:highlight w:val="none"/>
        </w:rPr>
        <w:t>产生的粉尘</w:t>
      </w:r>
      <w:r>
        <w:rPr>
          <w:rFonts w:hint="default" w:ascii="Times New Roman" w:hAnsi="Times New Roman" w:cs="Times New Roman"/>
          <w:color w:val="auto"/>
          <w:sz w:val="24"/>
          <w:highlight w:val="none"/>
        </w:rPr>
        <w:t>所采取的污染防治措施可取得较好的环境效益，废气污染防治措施具有环境可行性，工艺技术较为成熟，运行维护较为简单，净化效果较为稳定可靠，能够确保废气达标排放。</w:t>
      </w:r>
    </w:p>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废水治理措施可行性分析</w:t>
      </w:r>
      <w:bookmarkEnd w:id="334"/>
    </w:p>
    <w:p>
      <w:pPr>
        <w:pStyle w:val="6"/>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rPr>
      </w:pPr>
      <w:bookmarkStart w:id="338" w:name="_Toc229909586"/>
      <w:r>
        <w:rPr>
          <w:rFonts w:hint="default" w:ascii="Times New Roman" w:hAnsi="Times New Roman" w:eastAsia="宋体" w:cs="Times New Roman"/>
          <w:color w:val="auto"/>
          <w:highlight w:val="none"/>
        </w:rPr>
        <w:t>废水</w:t>
      </w:r>
      <w:bookmarkEnd w:id="335"/>
      <w:bookmarkEnd w:id="336"/>
      <w:bookmarkEnd w:id="337"/>
      <w:bookmarkEnd w:id="338"/>
      <w:r>
        <w:rPr>
          <w:rFonts w:hint="default" w:ascii="Times New Roman" w:hAnsi="Times New Roman" w:eastAsia="宋体" w:cs="Times New Roman"/>
          <w:color w:val="auto"/>
          <w:highlight w:val="none"/>
        </w:rPr>
        <w:t>资源利用可行性分析</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项目运营期废水主要为奶牛尿液、</w:t>
      </w:r>
      <w:r>
        <w:rPr>
          <w:rFonts w:hint="eastAsia" w:cs="Times New Roman"/>
          <w:color w:val="auto"/>
          <w:sz w:val="24"/>
          <w:szCs w:val="22"/>
          <w:highlight w:val="none"/>
          <w:lang w:eastAsia="zh-CN"/>
        </w:rPr>
        <w:t>挤奶厅设备和地面清洗废水</w:t>
      </w:r>
      <w:r>
        <w:rPr>
          <w:rFonts w:hint="default" w:ascii="Times New Roman" w:hAnsi="Times New Roman" w:cs="Times New Roman"/>
          <w:color w:val="auto"/>
          <w:sz w:val="24"/>
          <w:szCs w:val="22"/>
          <w:highlight w:val="none"/>
        </w:rPr>
        <w:t>、生活污水。</w:t>
      </w:r>
      <w:r>
        <w:rPr>
          <w:rFonts w:hint="eastAsia" w:cs="Times New Roman"/>
          <w:color w:val="auto"/>
          <w:kern w:val="0"/>
          <w:sz w:val="24"/>
          <w:szCs w:val="24"/>
          <w:highlight w:val="none"/>
          <w:lang w:val="en-US" w:eastAsia="zh-CN" w:bidi="ar"/>
        </w:rPr>
        <w:t>牛尿进入垫料中，</w:t>
      </w:r>
      <w:r>
        <w:rPr>
          <w:rFonts w:hint="default" w:ascii="Times New Roman" w:hAnsi="Times New Roman" w:eastAsia="宋体" w:cs="Times New Roman"/>
          <w:color w:val="auto"/>
          <w:kern w:val="0"/>
          <w:sz w:val="24"/>
          <w:szCs w:val="24"/>
          <w:highlight w:val="none"/>
          <w:lang w:val="en-US" w:eastAsia="zh-CN" w:bidi="ar"/>
        </w:rPr>
        <w:t>部分自然蒸发，剩余</w:t>
      </w:r>
      <w:r>
        <w:rPr>
          <w:rFonts w:hint="eastAsia" w:cs="Times New Roman"/>
          <w:color w:val="auto"/>
          <w:kern w:val="0"/>
          <w:sz w:val="24"/>
          <w:szCs w:val="24"/>
          <w:highlight w:val="none"/>
          <w:lang w:val="en-US" w:eastAsia="zh-CN" w:bidi="ar"/>
        </w:rPr>
        <w:t>部分与垫料</w:t>
      </w:r>
      <w:r>
        <w:rPr>
          <w:rFonts w:hint="default" w:ascii="Times New Roman" w:hAnsi="Times New Roman" w:eastAsia="宋体" w:cs="Times New Roman"/>
          <w:color w:val="auto"/>
          <w:kern w:val="0"/>
          <w:sz w:val="24"/>
          <w:szCs w:val="24"/>
          <w:highlight w:val="none"/>
          <w:lang w:val="en-US" w:eastAsia="zh-CN" w:bidi="ar"/>
        </w:rPr>
        <w:t>一起进入</w:t>
      </w:r>
      <w:r>
        <w:rPr>
          <w:rFonts w:hint="default" w:ascii="Times New Roman" w:hAnsi="Times New Roman" w:cs="Times New Roman"/>
          <w:color w:val="auto"/>
          <w:kern w:val="0"/>
          <w:sz w:val="24"/>
          <w:szCs w:val="24"/>
          <w:highlight w:val="none"/>
          <w:lang w:val="en-US" w:eastAsia="zh-CN" w:bidi="ar"/>
        </w:rPr>
        <w:t>堆粪场</w:t>
      </w:r>
      <w:r>
        <w:rPr>
          <w:rFonts w:hint="default" w:ascii="Times New Roman" w:hAnsi="Times New Roman" w:eastAsia="宋体" w:cs="Times New Roman"/>
          <w:color w:val="auto"/>
          <w:kern w:val="0"/>
          <w:sz w:val="24"/>
          <w:szCs w:val="24"/>
          <w:highlight w:val="none"/>
          <w:lang w:val="en-US" w:eastAsia="zh-CN" w:bidi="ar"/>
        </w:rPr>
        <w:t>，不外排</w:t>
      </w:r>
      <w:r>
        <w:rPr>
          <w:rFonts w:hint="default" w:ascii="Times New Roman" w:hAnsi="Times New Roman" w:cs="Times New Roman"/>
          <w:color w:val="auto"/>
          <w:sz w:val="24"/>
          <w:szCs w:val="22"/>
          <w:highlight w:val="none"/>
        </w:rPr>
        <w:t>。</w:t>
      </w:r>
      <w:r>
        <w:rPr>
          <w:rFonts w:hint="eastAsia" w:cs="Times New Roman"/>
          <w:color w:val="auto"/>
          <w:sz w:val="24"/>
          <w:szCs w:val="22"/>
          <w:highlight w:val="none"/>
          <w:lang w:eastAsia="zh-CN"/>
        </w:rPr>
        <w:t>挤奶厅设备和地面清洗废水</w:t>
      </w:r>
      <w:r>
        <w:rPr>
          <w:rFonts w:hint="default" w:ascii="Times New Roman" w:hAnsi="Times New Roman" w:cs="Times New Roman"/>
          <w:color w:val="auto"/>
          <w:sz w:val="24"/>
          <w:szCs w:val="22"/>
          <w:highlight w:val="none"/>
          <w:lang w:eastAsia="zh-CN"/>
        </w:rPr>
        <w:t>与</w:t>
      </w:r>
      <w:r>
        <w:rPr>
          <w:rFonts w:hint="default" w:ascii="Times New Roman" w:hAnsi="Times New Roman" w:cs="Times New Roman"/>
          <w:color w:val="auto"/>
          <w:sz w:val="24"/>
          <w:szCs w:val="22"/>
          <w:highlight w:val="none"/>
        </w:rPr>
        <w:t>职工生活污水排入</w:t>
      </w:r>
      <w:r>
        <w:rPr>
          <w:rFonts w:hint="default" w:ascii="Times New Roman" w:hAnsi="Times New Roman" w:cs="Times New Roman"/>
          <w:color w:val="auto"/>
          <w:sz w:val="24"/>
          <w:szCs w:val="22"/>
          <w:highlight w:val="none"/>
          <w:lang w:eastAsia="zh-CN"/>
        </w:rPr>
        <w:t>集污池</w:t>
      </w:r>
      <w:r>
        <w:rPr>
          <w:rFonts w:hint="default" w:ascii="Times New Roman" w:hAnsi="Times New Roman" w:cs="Times New Roman"/>
          <w:color w:val="auto"/>
          <w:sz w:val="24"/>
          <w:szCs w:val="22"/>
          <w:highlight w:val="none"/>
        </w:rPr>
        <w:t>定期清掏</w:t>
      </w:r>
      <w:r>
        <w:rPr>
          <w:rFonts w:hint="eastAsia" w:cs="Times New Roman"/>
          <w:color w:val="auto"/>
          <w:sz w:val="24"/>
          <w:szCs w:val="22"/>
          <w:highlight w:val="none"/>
          <w:lang w:val="en-US" w:eastAsia="zh-CN"/>
        </w:rPr>
        <w:t>拉运至</w:t>
      </w:r>
      <w:r>
        <w:rPr>
          <w:rFonts w:hint="eastAsia"/>
          <w:color w:val="auto"/>
          <w:lang w:eastAsia="zh-CN"/>
        </w:rPr>
        <w:t>塔城市污水厂</w:t>
      </w:r>
      <w:r>
        <w:rPr>
          <w:rFonts w:hint="eastAsia"/>
          <w:color w:val="auto"/>
        </w:rPr>
        <w:t>处理</w:t>
      </w:r>
      <w:r>
        <w:rPr>
          <w:rFonts w:hint="default" w:ascii="Times New Roman" w:hAnsi="Times New Roman" w:cs="Times New Roman"/>
          <w:color w:val="auto"/>
          <w:sz w:val="24"/>
          <w:szCs w:val="22"/>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lang w:val="en-US" w:eastAsia="zh-CN"/>
        </w:rPr>
      </w:pPr>
      <w:r>
        <w:rPr>
          <w:rFonts w:ascii="Times New Roman" w:hAnsi="Times New Roman" w:eastAsia="宋体" w:cs="Times New Roman"/>
          <w:color w:val="auto"/>
          <w:sz w:val="24"/>
        </w:rPr>
        <w:t>塔城市污水厂</w:t>
      </w:r>
      <w:r>
        <w:rPr>
          <w:rFonts w:hint="eastAsia" w:ascii="Times New Roman" w:hAnsi="Times New Roman" w:eastAsia="宋体" w:cs="Times New Roman"/>
          <w:color w:val="auto"/>
          <w:sz w:val="24"/>
          <w:lang w:eastAsia="zh-CN"/>
        </w:rPr>
        <w:t>（</w:t>
      </w:r>
      <w:r>
        <w:rPr>
          <w:rFonts w:ascii="Times New Roman" w:hAnsi="Times New Roman" w:eastAsia="宋体" w:cs="Times New Roman"/>
          <w:color w:val="auto"/>
          <w:sz w:val="24"/>
        </w:rPr>
        <w:t>塔城市排水服务中心</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依托可行性分析：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lang w:val="en-US" w:eastAsia="zh-CN"/>
        </w:rPr>
      </w:pPr>
      <w:r>
        <w:rPr>
          <w:rFonts w:ascii="Times New Roman" w:hAnsi="Times New Roman" w:eastAsia="宋体" w:cs="Times New Roman"/>
          <w:color w:val="auto"/>
          <w:sz w:val="24"/>
        </w:rPr>
        <w:t>塔城市污水厂</w:t>
      </w:r>
      <w:r>
        <w:rPr>
          <w:rFonts w:hint="eastAsia" w:ascii="Times New Roman" w:hAnsi="Times New Roman" w:eastAsia="宋体" w:cs="Times New Roman"/>
          <w:color w:val="auto"/>
          <w:sz w:val="24"/>
          <w:lang w:eastAsia="zh-CN"/>
        </w:rPr>
        <w:t>（</w:t>
      </w:r>
      <w:r>
        <w:rPr>
          <w:rFonts w:ascii="Times New Roman" w:hAnsi="Times New Roman" w:eastAsia="宋体" w:cs="Times New Roman"/>
          <w:color w:val="auto"/>
          <w:sz w:val="24"/>
        </w:rPr>
        <w:t>塔城市排水服务中心</w:t>
      </w:r>
      <w:r>
        <w:rPr>
          <w:rFonts w:hint="eastAsia" w:ascii="Times New Roman" w:hAnsi="Times New Roman" w:eastAsia="宋体" w:cs="Times New Roman"/>
          <w:color w:val="auto"/>
          <w:sz w:val="24"/>
          <w:lang w:eastAsia="zh-CN"/>
        </w:rPr>
        <w:t>）</w:t>
      </w:r>
      <w:r>
        <w:rPr>
          <w:rFonts w:ascii="Times New Roman" w:hAnsi="Times New Roman" w:eastAsia="宋体" w:cs="Times New Roman"/>
          <w:color w:val="auto"/>
          <w:sz w:val="24"/>
        </w:rPr>
        <w:t>位于塔城市克塔高速公路塔城收费站南侧</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位于</w:t>
      </w:r>
      <w:r>
        <w:rPr>
          <w:rFonts w:hint="eastAsia" w:ascii="Times New Roman" w:hAnsi="Times New Roman" w:eastAsia="宋体" w:cs="Times New Roman"/>
          <w:color w:val="auto"/>
          <w:sz w:val="24"/>
          <w:lang w:eastAsia="zh-CN"/>
        </w:rPr>
        <w:t>本项目</w:t>
      </w:r>
      <w:r>
        <w:rPr>
          <w:rFonts w:hint="eastAsia" w:ascii="Times New Roman" w:hAnsi="Times New Roman" w:eastAsia="宋体" w:cs="Times New Roman"/>
          <w:color w:val="auto"/>
          <w:sz w:val="24"/>
          <w:lang w:val="en-US" w:eastAsia="zh-CN"/>
        </w:rPr>
        <w:t>西北方向19km处</w:t>
      </w:r>
      <w:r>
        <w:rPr>
          <w:rFonts w:ascii="Times New Roman" w:hAnsi="Times New Roman" w:eastAsia="宋体" w:cs="Times New Roman"/>
          <w:color w:val="auto"/>
          <w:sz w:val="24"/>
        </w:rPr>
        <w:t>。于</w:t>
      </w:r>
      <w:r>
        <w:rPr>
          <w:rFonts w:hint="default" w:ascii="Times New Roman" w:hAnsi="Times New Roman" w:eastAsia="宋体" w:cs="Times New Roman"/>
          <w:color w:val="auto"/>
          <w:sz w:val="24"/>
        </w:rPr>
        <w:t>2016年4月开工建设，2018年11月试运行</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2019年6月取得排污许可证（</w:t>
      </w:r>
      <w:r>
        <w:rPr>
          <w:rFonts w:ascii="Times New Roman" w:hAnsi="Times New Roman" w:eastAsia="宋体" w:cs="Times New Roman"/>
          <w:color w:val="auto"/>
          <w:sz w:val="24"/>
        </w:rPr>
        <w:t>许可证编号</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126542014583327289001Q），2022年6月办理延续</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建设规模为日处理能力30000立方米污水厂一座。污水厂采用奥贝尔氧化沟处理工艺＋深度处理（高效沉淀＋V型滤池）处理工艺。处理后的污水最终排放至污水再利用污水库，用于下游生态林灌溉。现污水厂执行一级A排放标准。设计进水水质标准：COD：450mg/L；氨氮：35mg/L；设计出水水质标准</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COD：50mg/L</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氨氮（5）8mg/L。污水厂出水指标均低于排放标准。</w:t>
      </w:r>
      <w:r>
        <w:rPr>
          <w:rFonts w:hint="eastAsia" w:ascii="Times New Roman" w:hAnsi="Times New Roman" w:eastAsia="宋体" w:cs="Times New Roman"/>
          <w:color w:val="auto"/>
          <w:sz w:val="24"/>
          <w:highlight w:val="none"/>
          <w:lang w:eastAsia="zh-CN"/>
        </w:rPr>
        <w:t>本项目产生的</w:t>
      </w:r>
      <w:r>
        <w:rPr>
          <w:rFonts w:hint="eastAsia" w:cs="Times New Roman"/>
          <w:color w:val="auto"/>
          <w:sz w:val="24"/>
          <w:highlight w:val="none"/>
          <w:lang w:val="en-US" w:eastAsia="zh-CN"/>
        </w:rPr>
        <w:t>废水为6.4</w:t>
      </w:r>
      <w:r>
        <w:rPr>
          <w:color w:val="auto"/>
          <w:sz w:val="24"/>
          <w:szCs w:val="24"/>
          <w:highlight w:val="none"/>
        </w:rPr>
        <w:t>m</w:t>
      </w:r>
      <w:r>
        <w:rPr>
          <w:color w:val="auto"/>
          <w:sz w:val="24"/>
          <w:szCs w:val="24"/>
          <w:highlight w:val="none"/>
          <w:vertAlign w:val="superscript"/>
        </w:rPr>
        <w:t>3</w:t>
      </w:r>
      <w:r>
        <w:rPr>
          <w:color w:val="auto"/>
          <w:sz w:val="24"/>
          <w:szCs w:val="24"/>
          <w:highlight w:val="none"/>
        </w:rPr>
        <w:t>/d</w:t>
      </w:r>
      <w:r>
        <w:rPr>
          <w:rFonts w:hint="eastAsia"/>
          <w:color w:val="auto"/>
          <w:sz w:val="24"/>
          <w:szCs w:val="24"/>
          <w:highlight w:val="none"/>
          <w:lang w:eastAsia="zh-CN"/>
        </w:rPr>
        <w:t>，占塔城市污水厂处理规模的</w:t>
      </w:r>
      <w:r>
        <w:rPr>
          <w:rFonts w:hint="eastAsia"/>
          <w:color w:val="auto"/>
          <w:sz w:val="24"/>
          <w:szCs w:val="24"/>
          <w:highlight w:val="none"/>
          <w:lang w:val="en-US" w:eastAsia="zh-CN"/>
        </w:rPr>
        <w:t>0.02%，</w:t>
      </w:r>
      <w:r>
        <w:rPr>
          <w:rFonts w:hint="eastAsia" w:cs="Times New Roman"/>
          <w:color w:val="auto"/>
          <w:sz w:val="24"/>
          <w:highlight w:val="none"/>
          <w:lang w:val="en-US" w:eastAsia="zh-CN"/>
        </w:rPr>
        <w:t>污染物浓度满足</w:t>
      </w:r>
      <w:r>
        <w:rPr>
          <w:rFonts w:ascii="Times New Roman" w:hAnsi="Times New Roman" w:eastAsia="宋体" w:cs="Times New Roman"/>
          <w:color w:val="auto"/>
          <w:sz w:val="24"/>
          <w:highlight w:val="none"/>
        </w:rPr>
        <w:t>塔城市污水厂</w:t>
      </w:r>
      <w:r>
        <w:rPr>
          <w:rFonts w:hint="default" w:ascii="Times New Roman" w:hAnsi="Times New Roman" w:eastAsia="宋体" w:cs="Times New Roman"/>
          <w:color w:val="auto"/>
          <w:sz w:val="24"/>
          <w:highlight w:val="none"/>
        </w:rPr>
        <w:t>进水水质标准</w:t>
      </w:r>
      <w:r>
        <w:rPr>
          <w:rFonts w:hint="eastAsia" w:cs="Times New Roman"/>
          <w:color w:val="auto"/>
          <w:sz w:val="24"/>
          <w:highlight w:val="none"/>
          <w:lang w:val="en-US" w:eastAsia="zh-CN"/>
        </w:rPr>
        <w:t>，因此</w:t>
      </w:r>
      <w:r>
        <w:rPr>
          <w:rFonts w:hint="eastAsia" w:ascii="Times New Roman" w:hAnsi="Times New Roman" w:eastAsia="宋体" w:cs="Times New Roman"/>
          <w:color w:val="auto"/>
          <w:sz w:val="24"/>
          <w:highlight w:val="none"/>
          <w:lang w:eastAsia="zh-CN"/>
        </w:rPr>
        <w:t>塔城市污水厂</w:t>
      </w:r>
      <w:r>
        <w:rPr>
          <w:rFonts w:hint="eastAsia" w:ascii="Times New Roman" w:hAnsi="Times New Roman" w:eastAsia="宋体" w:cs="Times New Roman"/>
          <w:color w:val="auto"/>
          <w:sz w:val="24"/>
          <w:highlight w:val="none"/>
          <w:lang w:val="en-US" w:eastAsia="zh-CN"/>
        </w:rPr>
        <w:t>可容纳本项目产生的污水。</w:t>
      </w:r>
    </w:p>
    <w:p>
      <w:pPr>
        <w:keepNext w:val="0"/>
        <w:keepLines w:val="0"/>
        <w:pageBreakBefore w:val="0"/>
        <w:widowControl w:val="0"/>
        <w:kinsoku/>
        <w:wordWrap/>
        <w:overflowPunct/>
        <w:topLinePunct w:val="0"/>
        <w:autoSpaceDE/>
        <w:autoSpaceDN/>
        <w:bidi w:val="0"/>
        <w:adjustRightInd w:val="0"/>
        <w:snapToGrid w:val="0"/>
        <w:ind w:firstLine="480"/>
        <w:textAlignment w:val="auto"/>
        <w:rPr>
          <w:color w:val="auto"/>
        </w:rPr>
      </w:pPr>
      <w:r>
        <w:rPr>
          <w:rFonts w:hint="eastAsia"/>
          <w:color w:val="auto"/>
        </w:rPr>
        <w:t>综上所述，项目废水的去向较为合理，处置方式可行。</w:t>
      </w:r>
    </w:p>
    <w:p>
      <w:pPr>
        <w:pStyle w:val="17"/>
        <w:keepNext w:val="0"/>
        <w:keepLines w:val="0"/>
        <w:pageBreakBefore w:val="0"/>
        <w:widowControl w:val="0"/>
        <w:kinsoku/>
        <w:wordWrap/>
        <w:overflowPunct/>
        <w:topLinePunct w:val="0"/>
        <w:autoSpaceDE/>
        <w:autoSpaceDN/>
        <w:bidi w:val="0"/>
        <w:adjustRightInd w:val="0"/>
        <w:snapToGrid w:val="0"/>
        <w:spacing w:afterLines="0"/>
        <w:textAlignment w:val="auto"/>
        <w:rPr>
          <w:rFonts w:hint="default" w:ascii="Times New Roman" w:hAnsi="Times New Roman" w:eastAsia="宋体" w:cs="Times New Roman"/>
          <w:color w:val="auto"/>
          <w:sz w:val="24"/>
          <w:szCs w:val="22"/>
          <w:highlight w:val="none"/>
        </w:rPr>
      </w:pPr>
    </w:p>
    <w:p>
      <w:pPr>
        <w:pStyle w:val="17"/>
        <w:rPr>
          <w:rFonts w:hint="default" w:ascii="Times New Roman" w:hAnsi="Times New Roman" w:eastAsia="宋体" w:cs="Times New Roman"/>
          <w:color w:val="auto"/>
          <w:sz w:val="24"/>
          <w:szCs w:val="22"/>
          <w:highlight w:val="none"/>
        </w:rPr>
      </w:pPr>
    </w:p>
    <w:p>
      <w:pPr>
        <w:pStyle w:val="17"/>
        <w:rPr>
          <w:rFonts w:hint="default" w:ascii="Times New Roman" w:hAnsi="Times New Roman" w:eastAsia="宋体" w:cs="Times New Roman"/>
          <w:color w:val="auto"/>
          <w:sz w:val="24"/>
          <w:szCs w:val="22"/>
          <w:highlight w:val="none"/>
        </w:rPr>
      </w:pPr>
    </w:p>
    <w:p>
      <w:pPr>
        <w:pStyle w:val="17"/>
        <w:rPr>
          <w:rFonts w:hint="default" w:ascii="Times New Roman" w:hAnsi="Times New Roman" w:eastAsia="宋体" w:cs="Times New Roman"/>
          <w:color w:val="auto"/>
          <w:sz w:val="24"/>
          <w:szCs w:val="22"/>
          <w:highlight w:val="none"/>
        </w:rPr>
      </w:pPr>
    </w:p>
    <w:p>
      <w:pPr>
        <w:pStyle w:val="6"/>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de-DE"/>
        </w:rPr>
        <w:t>分区防渗措施</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本项目建成后全场分为一般防渗区</w:t>
      </w:r>
      <w:r>
        <w:rPr>
          <w:rFonts w:hint="default" w:ascii="Times New Roman" w:hAnsi="Times New Roman" w:cs="Times New Roman"/>
          <w:color w:val="auto"/>
          <w:highlight w:val="none"/>
          <w:lang w:val="en-US" w:eastAsia="zh-CN"/>
        </w:rPr>
        <w:t>和简单防渗区</w:t>
      </w:r>
      <w:r>
        <w:rPr>
          <w:rFonts w:hint="default" w:ascii="Times New Roman" w:hAnsi="Times New Roman" w:cs="Times New Roman"/>
          <w:color w:val="auto"/>
          <w:highlight w:val="none"/>
        </w:rPr>
        <w:t>。</w:t>
      </w:r>
      <w:r>
        <w:rPr>
          <w:rFonts w:hint="default" w:ascii="Times New Roman" w:hAnsi="Times New Roman" w:cs="Times New Roman"/>
          <w:color w:val="auto"/>
          <w:szCs w:val="22"/>
          <w:highlight w:val="none"/>
        </w:rPr>
        <w:t>医疗废物暂存间</w:t>
      </w:r>
      <w:r>
        <w:rPr>
          <w:rFonts w:hint="eastAsia" w:ascii="Times New Roman" w:hAnsi="Times New Roman" w:eastAsia="宋体" w:cs="Times New Roman"/>
          <w:color w:val="auto"/>
          <w:sz w:val="24"/>
          <w:szCs w:val="24"/>
          <w:lang w:val="en-US" w:eastAsia="zh-CN"/>
        </w:rPr>
        <w:t>根据</w:t>
      </w:r>
      <w:r>
        <w:rPr>
          <w:rFonts w:hint="default" w:ascii="Times New Roman" w:hAnsi="Times New Roman" w:eastAsia="宋体" w:cs="Times New Roman"/>
          <w:color w:val="auto"/>
          <w:sz w:val="24"/>
          <w:szCs w:val="24"/>
          <w:lang w:eastAsia="zh-CN"/>
        </w:rPr>
        <w:t>《危险废物</w:t>
      </w:r>
      <w:r>
        <w:rPr>
          <w:rFonts w:hint="default" w:ascii="Times New Roman" w:hAnsi="Times New Roman" w:eastAsia="宋体" w:cs="Times New Roman"/>
          <w:color w:val="auto"/>
          <w:sz w:val="24"/>
          <w:szCs w:val="24"/>
          <w:lang w:val="en-US" w:eastAsia="zh-CN"/>
        </w:rPr>
        <w:t>贮存</w:t>
      </w:r>
      <w:r>
        <w:rPr>
          <w:rFonts w:hint="default" w:ascii="Times New Roman" w:hAnsi="Times New Roman" w:eastAsia="宋体" w:cs="Times New Roman"/>
          <w:color w:val="auto"/>
          <w:sz w:val="24"/>
          <w:szCs w:val="24"/>
          <w:lang w:eastAsia="zh-CN"/>
        </w:rPr>
        <w:t>污染控制标准》（</w:t>
      </w:r>
      <w:r>
        <w:rPr>
          <w:rFonts w:hint="eastAsia" w:ascii="Times New Roman" w:hAnsi="Times New Roman" w:eastAsia="宋体" w:cs="Times New Roman"/>
          <w:color w:val="auto"/>
          <w:sz w:val="24"/>
          <w:szCs w:val="24"/>
          <w:lang w:eastAsia="zh-CN"/>
        </w:rPr>
        <w:t>GB18597-2023</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要求，采用抗渗混凝土或高密度聚乙烯膜防渗。</w:t>
      </w:r>
      <w:r>
        <w:rPr>
          <w:rFonts w:hint="default" w:ascii="Times New Roman" w:hAnsi="Times New Roman" w:cs="Times New Roman"/>
          <w:color w:val="auto"/>
          <w:szCs w:val="22"/>
          <w:highlight w:val="none"/>
        </w:rPr>
        <w:t>一般防渗区：</w:t>
      </w:r>
      <w:r>
        <w:rPr>
          <w:rFonts w:hint="default" w:ascii="Times New Roman" w:hAnsi="Times New Roman" w:cs="Times New Roman"/>
          <w:color w:val="auto"/>
          <w:szCs w:val="22"/>
          <w:highlight w:val="none"/>
          <w:lang w:eastAsia="zh-CN"/>
        </w:rPr>
        <w:t>堆粪场、</w:t>
      </w:r>
      <w:r>
        <w:rPr>
          <w:rFonts w:hint="default" w:ascii="Times New Roman" w:hAnsi="Times New Roman" w:cs="Times New Roman"/>
          <w:color w:val="auto"/>
          <w:szCs w:val="22"/>
          <w:highlight w:val="none"/>
          <w:lang w:val="en-US" w:eastAsia="zh-CN"/>
        </w:rPr>
        <w:t>集污池</w:t>
      </w:r>
      <w:r>
        <w:rPr>
          <w:rFonts w:hint="eastAsia" w:cs="Times New Roman"/>
          <w:color w:val="auto"/>
          <w:szCs w:val="22"/>
          <w:highlight w:val="none"/>
          <w:lang w:eastAsia="zh-CN"/>
        </w:rPr>
        <w:t>、</w:t>
      </w:r>
      <w:r>
        <w:rPr>
          <w:rFonts w:hint="default" w:ascii="Times New Roman" w:hAnsi="Times New Roman" w:cs="Times New Roman"/>
          <w:color w:val="auto"/>
          <w:highlight w:val="none"/>
          <w:lang w:val="en-US" w:eastAsia="zh-CN"/>
        </w:rPr>
        <w:t>安全填埋井</w:t>
      </w:r>
      <w:r>
        <w:rPr>
          <w:rFonts w:hint="eastAsia" w:cs="Times New Roman"/>
          <w:color w:val="auto"/>
          <w:highlight w:val="none"/>
          <w:lang w:val="en-US" w:eastAsia="zh-CN"/>
        </w:rPr>
        <w:t>、</w:t>
      </w:r>
      <w:r>
        <w:rPr>
          <w:rFonts w:hint="default" w:ascii="Times New Roman" w:hAnsi="Times New Roman" w:eastAsia="宋体" w:cs="Times New Roman"/>
          <w:color w:val="auto"/>
          <w:szCs w:val="22"/>
          <w:highlight w:val="none"/>
          <w:lang w:val="en-US" w:eastAsia="zh-CN"/>
        </w:rPr>
        <w:t>青贮窖、牛舍</w:t>
      </w:r>
      <w:r>
        <w:rPr>
          <w:rFonts w:hint="default" w:ascii="Times New Roman" w:hAnsi="Times New Roman" w:cs="Times New Roman"/>
          <w:color w:val="auto"/>
          <w:szCs w:val="22"/>
          <w:highlight w:val="none"/>
        </w:rPr>
        <w:t>等。简单防渗区</w:t>
      </w:r>
      <w:r>
        <w:rPr>
          <w:rFonts w:hint="default" w:ascii="Times New Roman" w:hAnsi="Times New Roman" w:cs="Times New Roman"/>
          <w:color w:val="auto"/>
          <w:szCs w:val="22"/>
          <w:highlight w:val="none"/>
          <w:lang w:eastAsia="zh-CN"/>
        </w:rPr>
        <w:t>：</w:t>
      </w:r>
      <w:r>
        <w:rPr>
          <w:rFonts w:hint="default" w:ascii="Times New Roman" w:hAnsi="Times New Roman" w:cs="Times New Roman"/>
          <w:color w:val="auto"/>
          <w:szCs w:val="22"/>
          <w:highlight w:val="none"/>
          <w:lang w:val="en-US" w:eastAsia="zh-CN"/>
        </w:rPr>
        <w:t>饲料库房</w:t>
      </w:r>
      <w:r>
        <w:rPr>
          <w:rFonts w:hint="default" w:ascii="Times New Roman" w:hAnsi="Times New Roman" w:cs="Times New Roman"/>
          <w:color w:val="auto"/>
          <w:szCs w:val="22"/>
          <w:highlight w:val="none"/>
        </w:rPr>
        <w:t>、</w:t>
      </w:r>
      <w:r>
        <w:rPr>
          <w:rFonts w:hint="default" w:ascii="Times New Roman" w:hAnsi="Times New Roman" w:cs="Times New Roman"/>
          <w:color w:val="auto"/>
          <w:szCs w:val="22"/>
          <w:highlight w:val="none"/>
          <w:lang w:val="en-US" w:eastAsia="zh-CN"/>
        </w:rPr>
        <w:t>干草棚、</w:t>
      </w:r>
      <w:r>
        <w:rPr>
          <w:rFonts w:hint="default" w:ascii="Times New Roman" w:hAnsi="Times New Roman" w:cs="Times New Roman"/>
          <w:color w:val="auto"/>
          <w:szCs w:val="22"/>
          <w:highlight w:val="none"/>
        </w:rPr>
        <w:t>办公区等</w:t>
      </w:r>
      <w:r>
        <w:rPr>
          <w:rFonts w:hint="default" w:ascii="Times New Roman" w:hAnsi="Times New Roman" w:cs="Times New Roman"/>
          <w:color w:val="auto"/>
          <w:highlight w:val="none"/>
        </w:rPr>
        <w:t>。</w:t>
      </w:r>
      <w:r>
        <w:rPr>
          <w:rFonts w:hint="eastAsia" w:ascii="Times New Roman" w:hAnsi="Times New Roman" w:eastAsia="宋体" w:cs="Times New Roman"/>
          <w:color w:val="auto"/>
          <w:highlight w:val="none"/>
          <w:lang w:val="en-US" w:eastAsia="zh-CN"/>
        </w:rPr>
        <w:t>分区防渗图见图6</w:t>
      </w:r>
      <w:r>
        <w:rPr>
          <w:rFonts w:hint="eastAsia" w:cs="Times New Roman"/>
          <w:color w:val="auto"/>
          <w:highlight w:val="none"/>
          <w:lang w:val="en-US" w:eastAsia="zh-CN"/>
        </w:rPr>
        <w:t>.2</w:t>
      </w:r>
      <w:r>
        <w:rPr>
          <w:rFonts w:hint="eastAsia" w:ascii="Times New Roman" w:hAnsi="Times New Roman" w:eastAsia="宋体" w:cs="Times New Roman"/>
          <w:color w:val="auto"/>
          <w:highlight w:val="none"/>
          <w:lang w:val="en-US" w:eastAsia="zh-CN"/>
        </w:rPr>
        <w:t>-1。</w:t>
      </w:r>
    </w:p>
    <w:p>
      <w:pPr>
        <w:pageBreakBefore w:val="0"/>
        <w:wordWrap/>
        <w:bidi w:val="0"/>
        <w:adjustRightInd w:val="0"/>
        <w:ind w:left="0" w:leftChars="0" w:right="0" w:rightChars="0" w:firstLine="480"/>
        <w:rPr>
          <w:rFonts w:hint="eastAsia" w:cs="Times New Roman"/>
          <w:color w:val="auto"/>
          <w:highlight w:val="none"/>
          <w:lang w:eastAsia="zh-CN"/>
        </w:rPr>
      </w:pPr>
      <w:r>
        <w:rPr>
          <w:rFonts w:hint="default" w:ascii="Times New Roman" w:hAnsi="Times New Roman" w:eastAsia="宋体" w:cs="Times New Roman"/>
          <w:color w:val="auto"/>
          <w:highlight w:val="none"/>
        </w:rPr>
        <w:t>①一般防渗区</w:t>
      </w:r>
      <w:r>
        <w:rPr>
          <w:rFonts w:hint="eastAsia" w:cs="Times New Roman"/>
          <w:color w:val="auto"/>
          <w:highlight w:val="none"/>
          <w:lang w:eastAsia="zh-CN"/>
        </w:rPr>
        <w:t>：</w:t>
      </w:r>
    </w:p>
    <w:p>
      <w:pPr>
        <w:pageBreakBefore w:val="0"/>
        <w:wordWrap/>
        <w:bidi w:val="0"/>
        <w:adjustRightInd w:val="0"/>
        <w:ind w:left="0" w:leftChars="0" w:right="0" w:rightChars="0" w:firstLine="480"/>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防渗层厚度应相当于渗透系数为1.0×10</w:t>
      </w:r>
      <w:r>
        <w:rPr>
          <w:rFonts w:hint="default" w:ascii="Times New Roman" w:hAnsi="Times New Roman" w:cs="Times New Roman"/>
          <w:color w:val="auto"/>
          <w:szCs w:val="22"/>
          <w:highlight w:val="none"/>
          <w:vertAlign w:val="superscript"/>
        </w:rPr>
        <w:t>-</w:t>
      </w:r>
      <w:r>
        <w:rPr>
          <w:rFonts w:hint="default" w:ascii="Times New Roman" w:hAnsi="Times New Roman" w:cs="Times New Roman"/>
          <w:color w:val="auto"/>
          <w:szCs w:val="22"/>
          <w:highlight w:val="none"/>
          <w:vertAlign w:val="superscript"/>
          <w:lang w:val="en-US" w:eastAsia="zh-CN"/>
        </w:rPr>
        <w:t>7</w:t>
      </w:r>
      <w:r>
        <w:rPr>
          <w:rFonts w:hint="default" w:ascii="Times New Roman" w:hAnsi="Times New Roman" w:cs="Times New Roman"/>
          <w:color w:val="auto"/>
          <w:szCs w:val="22"/>
          <w:highlight w:val="none"/>
        </w:rPr>
        <w:t>cm/s和厚度为1.5m的黏土层的防渗性能。</w:t>
      </w:r>
    </w:p>
    <w:p>
      <w:pPr>
        <w:pageBreakBefore w:val="0"/>
        <w:wordWrap/>
        <w:bidi w:val="0"/>
        <w:adjustRightInd w:val="0"/>
        <w:ind w:left="0" w:leftChars="0" w:right="0" w:rightChars="0" w:firstLine="480"/>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②简单防渗区</w:t>
      </w:r>
      <w:r>
        <w:rPr>
          <w:rFonts w:hint="eastAsia" w:cs="Times New Roman"/>
          <w:color w:val="auto"/>
          <w:highlight w:val="none"/>
          <w:lang w:eastAsia="zh-CN"/>
        </w:rPr>
        <w:t>：</w:t>
      </w:r>
    </w:p>
    <w:p>
      <w:pPr>
        <w:pageBreakBefore w:val="0"/>
        <w:wordWrap/>
        <w:bidi w:val="0"/>
        <w:adjustRightInd w:val="0"/>
        <w:ind w:left="0" w:leftChars="0" w:right="0" w:rightChars="0" w:firstLine="480"/>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lang w:val="en-US" w:eastAsia="zh-CN"/>
        </w:rPr>
        <w:t>饲料库房</w:t>
      </w:r>
      <w:r>
        <w:rPr>
          <w:rFonts w:hint="default" w:ascii="Times New Roman" w:hAnsi="Times New Roman" w:cs="Times New Roman"/>
          <w:color w:val="auto"/>
          <w:szCs w:val="22"/>
          <w:highlight w:val="none"/>
        </w:rPr>
        <w:t>、</w:t>
      </w:r>
      <w:r>
        <w:rPr>
          <w:rFonts w:hint="default" w:ascii="Times New Roman" w:hAnsi="Times New Roman" w:cs="Times New Roman"/>
          <w:color w:val="auto"/>
          <w:szCs w:val="22"/>
          <w:highlight w:val="none"/>
          <w:lang w:val="en-US" w:eastAsia="zh-CN"/>
        </w:rPr>
        <w:t>干草棚、</w:t>
      </w:r>
      <w:r>
        <w:rPr>
          <w:rFonts w:hint="default" w:ascii="Times New Roman" w:hAnsi="Times New Roman" w:cs="Times New Roman"/>
          <w:color w:val="auto"/>
          <w:szCs w:val="22"/>
          <w:highlight w:val="none"/>
        </w:rPr>
        <w:t>办公区等釆取地面硬化措施。</w:t>
      </w:r>
    </w:p>
    <w:p>
      <w:pPr>
        <w:bidi w:val="0"/>
        <w:ind w:left="0" w:leftChars="0" w:firstLine="0" w:firstLineChars="0"/>
        <w:rPr>
          <w:color w:val="auto"/>
        </w:rPr>
      </w:pPr>
      <w:r>
        <w:rPr>
          <w:color w:val="auto"/>
          <w:sz w:val="24"/>
        </w:rPr>
        <mc:AlternateContent>
          <mc:Choice Requires="wps">
            <w:drawing>
              <wp:anchor distT="0" distB="0" distL="114300" distR="114300" simplePos="0" relativeHeight="251712512" behindDoc="0" locked="0" layoutInCell="1" allowOverlap="1">
                <wp:simplePos x="0" y="0"/>
                <wp:positionH relativeFrom="column">
                  <wp:posOffset>3475990</wp:posOffset>
                </wp:positionH>
                <wp:positionV relativeFrom="paragraph">
                  <wp:posOffset>2172335</wp:posOffset>
                </wp:positionV>
                <wp:extent cx="257175" cy="450215"/>
                <wp:effectExtent l="0" t="0" r="9525" b="6985"/>
                <wp:wrapNone/>
                <wp:docPr id="95" name="任意多边形 95"/>
                <wp:cNvGraphicFramePr/>
                <a:graphic xmlns:a="http://schemas.openxmlformats.org/drawingml/2006/main">
                  <a:graphicData uri="http://schemas.microsoft.com/office/word/2010/wordprocessingShape">
                    <wps:wsp>
                      <wps:cNvSpPr/>
                      <wps:spPr>
                        <a:xfrm>
                          <a:off x="4641215" y="3086735"/>
                          <a:ext cx="257175" cy="450215"/>
                        </a:xfrm>
                        <a:custGeom>
                          <a:avLst/>
                          <a:gdLst>
                            <a:gd name="connisteX0" fmla="*/ 0 w 233045"/>
                            <a:gd name="connsiteY0" fmla="*/ 22225 h 450215"/>
                            <a:gd name="connisteX1" fmla="*/ 190500 w 233045"/>
                            <a:gd name="connsiteY1" fmla="*/ 0 h 450215"/>
                            <a:gd name="connisteX2" fmla="*/ 233045 w 233045"/>
                            <a:gd name="connsiteY2" fmla="*/ 433070 h 450215"/>
                            <a:gd name="connisteX3" fmla="*/ 32385 w 233045"/>
                            <a:gd name="connsiteY3" fmla="*/ 450215 h 450215"/>
                            <a:gd name="connisteX4" fmla="*/ 0 w 233045"/>
                            <a:gd name="connsiteY4" fmla="*/ 22225 h 45021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233045" h="450215">
                              <a:moveTo>
                                <a:pt x="0" y="22225"/>
                              </a:moveTo>
                              <a:lnTo>
                                <a:pt x="190500" y="0"/>
                              </a:lnTo>
                              <a:lnTo>
                                <a:pt x="233045" y="433070"/>
                              </a:lnTo>
                              <a:lnTo>
                                <a:pt x="32385" y="450215"/>
                              </a:lnTo>
                              <a:lnTo>
                                <a:pt x="0" y="22225"/>
                              </a:lnTo>
                              <a:close/>
                            </a:path>
                          </a:pathLst>
                        </a:custGeom>
                        <a:solidFill>
                          <a:srgbClr val="FFC00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273.7pt;margin-top:171.05pt;height:35.45pt;width:20.25pt;z-index:251712512;mso-width-relative:page;mso-height-relative:page;" fillcolor="#FFC000" filled="t" stroked="f" coordsize="233045,450215" o:gfxdata="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GGz1x3dAAAACwEAAA8AAAAAAAAAAQAgAAAAIgAA&#10;AGRycy9kb3ducmV2LnhtbFBLAQIUABQAAAAIAIdO4kDQeEc3IAMAAFIIAAAOAAAAAAAAAAEAIAAA&#10;ACwBAABkcnMvZTJvRG9jLnhtbFBLBQYAAAAABgAGAFkBAAC+BgAAAAA=&#10;" path="m0,22225l190500,0,233045,433070,32385,450215,0,22225xe">
                <v:path o:connectlocs="0,22225;210224,0;257175,433070;35738,450215;0,22225" o:connectangles="0,0,0,0,0"/>
                <v:fill on="t" opacity="32768f" focussize="0,0"/>
                <v:stroke on="f" weight="2pt"/>
                <v:imagedata o:title=""/>
                <o:lock v:ext="edit" aspectratio="f"/>
              </v:shape>
            </w:pict>
          </mc:Fallback>
        </mc:AlternateContent>
      </w:r>
      <w:r>
        <w:rPr>
          <w:color w:val="auto"/>
          <w:sz w:val="24"/>
        </w:rPr>
        <mc:AlternateContent>
          <mc:Choice Requires="wps">
            <w:drawing>
              <wp:anchor distT="0" distB="0" distL="114300" distR="114300" simplePos="0" relativeHeight="251714560" behindDoc="0" locked="0" layoutInCell="1" allowOverlap="1">
                <wp:simplePos x="0" y="0"/>
                <wp:positionH relativeFrom="column">
                  <wp:posOffset>1765300</wp:posOffset>
                </wp:positionH>
                <wp:positionV relativeFrom="paragraph">
                  <wp:posOffset>362585</wp:posOffset>
                </wp:positionV>
                <wp:extent cx="510540" cy="571500"/>
                <wp:effectExtent l="0" t="0" r="3810" b="0"/>
                <wp:wrapNone/>
                <wp:docPr id="98" name="任意多边形 98"/>
                <wp:cNvGraphicFramePr/>
                <a:graphic xmlns:a="http://schemas.openxmlformats.org/drawingml/2006/main">
                  <a:graphicData uri="http://schemas.microsoft.com/office/word/2010/wordprocessingShape">
                    <wps:wsp>
                      <wps:cNvSpPr/>
                      <wps:spPr>
                        <a:xfrm>
                          <a:off x="2906395" y="1276985"/>
                          <a:ext cx="510540" cy="571500"/>
                        </a:xfrm>
                        <a:custGeom>
                          <a:avLst/>
                          <a:gdLst>
                            <a:gd name="connisteX0" fmla="*/ 0 w 510540"/>
                            <a:gd name="connsiteY0" fmla="*/ 53975 h 571500"/>
                            <a:gd name="connisteX1" fmla="*/ 449580 w 510540"/>
                            <a:gd name="connsiteY1" fmla="*/ 0 h 571500"/>
                            <a:gd name="connisteX2" fmla="*/ 510540 w 510540"/>
                            <a:gd name="connsiteY2" fmla="*/ 537845 h 571500"/>
                            <a:gd name="connisteX3" fmla="*/ 57150 w 510540"/>
                            <a:gd name="connsiteY3" fmla="*/ 571500 h 571500"/>
                            <a:gd name="connisteX4" fmla="*/ 0 w 510540"/>
                            <a:gd name="connsiteY4" fmla="*/ 53975 h 57150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510540" h="571500">
                              <a:moveTo>
                                <a:pt x="0" y="53975"/>
                              </a:moveTo>
                              <a:lnTo>
                                <a:pt x="449580" y="0"/>
                              </a:lnTo>
                              <a:lnTo>
                                <a:pt x="510540" y="537845"/>
                              </a:lnTo>
                              <a:lnTo>
                                <a:pt x="57150" y="571500"/>
                              </a:lnTo>
                              <a:lnTo>
                                <a:pt x="0" y="53975"/>
                              </a:lnTo>
                              <a:close/>
                            </a:path>
                          </a:pathLst>
                        </a:custGeom>
                        <a:solidFill>
                          <a:srgbClr val="FF000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139pt;margin-top:28.55pt;height:45pt;width:40.2pt;z-index:251714560;mso-width-relative:page;mso-height-relative:page;" fillcolor="#FF0000" filled="t" stroked="f" coordsize="510540,571500" o:gfxdata="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" path="m0,53975l449580,0,510540,537845,57150,571500,0,53975xe">
                <v:path o:connectlocs="0,53975;449580,0;510540,537845;57150,571500;0,53975" o:connectangles="0,0,0,0,0"/>
                <v:fill on="t" opacity="32768f" focussize="0,0"/>
                <v:stroke on="f" weight="2pt"/>
                <v:imagedata o:title=""/>
                <o:lock v:ext="edit" aspectratio="f"/>
              </v:shape>
            </w:pict>
          </mc:Fallback>
        </mc:AlternateContent>
      </w:r>
      <w:r>
        <w:rPr>
          <w:color w:val="auto"/>
          <w:sz w:val="24"/>
        </w:rPr>
        <mc:AlternateContent>
          <mc:Choice Requires="wps">
            <w:drawing>
              <wp:anchor distT="0" distB="0" distL="114300" distR="114300" simplePos="0" relativeHeight="251713536" behindDoc="0" locked="0" layoutInCell="1" allowOverlap="1">
                <wp:simplePos x="0" y="0"/>
                <wp:positionH relativeFrom="column">
                  <wp:posOffset>1417955</wp:posOffset>
                </wp:positionH>
                <wp:positionV relativeFrom="paragraph">
                  <wp:posOffset>416560</wp:posOffset>
                </wp:positionV>
                <wp:extent cx="195580" cy="76200"/>
                <wp:effectExtent l="0" t="0" r="13970" b="0"/>
                <wp:wrapNone/>
                <wp:docPr id="96" name="任意多边形 96"/>
                <wp:cNvGraphicFramePr/>
                <a:graphic xmlns:a="http://schemas.openxmlformats.org/drawingml/2006/main">
                  <a:graphicData uri="http://schemas.microsoft.com/office/word/2010/wordprocessingShape">
                    <wps:wsp>
                      <wps:cNvSpPr/>
                      <wps:spPr>
                        <a:xfrm>
                          <a:off x="0" y="0"/>
                          <a:ext cx="195580" cy="76200"/>
                        </a:xfrm>
                        <a:custGeom>
                          <a:avLst/>
                          <a:gdLst>
                            <a:gd name="connisteX0" fmla="*/ 0 w 873125"/>
                            <a:gd name="connsiteY0" fmla="*/ 79375 h 285750"/>
                            <a:gd name="connisteX1" fmla="*/ 848995 w 873125"/>
                            <a:gd name="connsiteY1" fmla="*/ 0 h 285750"/>
                            <a:gd name="connisteX2" fmla="*/ 873125 w 873125"/>
                            <a:gd name="connsiteY2" fmla="*/ 190500 h 285750"/>
                            <a:gd name="connisteX3" fmla="*/ 39370 w 873125"/>
                            <a:gd name="connsiteY3" fmla="*/ 285750 h 285750"/>
                            <a:gd name="connisteX4" fmla="*/ 0 w 873125"/>
                            <a:gd name="connsiteY4" fmla="*/ 79375 h 28575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873125" h="285750">
                              <a:moveTo>
                                <a:pt x="0" y="79375"/>
                              </a:moveTo>
                              <a:lnTo>
                                <a:pt x="848995" y="0"/>
                              </a:lnTo>
                              <a:lnTo>
                                <a:pt x="873125" y="190500"/>
                              </a:lnTo>
                              <a:lnTo>
                                <a:pt x="39370" y="285750"/>
                              </a:lnTo>
                              <a:lnTo>
                                <a:pt x="0" y="79375"/>
                              </a:lnTo>
                              <a:close/>
                            </a:path>
                          </a:pathLst>
                        </a:custGeom>
                        <a:solidFill>
                          <a:srgbClr val="FFC000">
                            <a:alpha val="50000"/>
                          </a:srgbClr>
                        </a:solidFill>
                        <a:ln w="317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111.65pt;margin-top:32.8pt;height:6pt;width:15.4pt;z-index:251713536;mso-width-relative:page;mso-height-relative:page;" fillcolor="#FFC000" filled="t" stroked="f" coordsize="873125,285750" o:gfxdata="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" path="m0,79375l848995,0,873125,190500,39370,285750,0,79375xe">
                <v:path o:connectlocs="0,21166;190174,0;195580,50800;8818,76200;0,21166" o:connectangles="0,0,0,0,0"/>
                <v:fill on="t" opacity="32768f" focussize="0,0"/>
                <v:stroke on="f" weight="0.25pt"/>
                <v:imagedata o:title=""/>
                <o:lock v:ext="edit" aspectratio="f"/>
              </v:shape>
            </w:pict>
          </mc:Fallback>
        </mc:AlternateContent>
      </w:r>
      <w:r>
        <w:rPr>
          <w:color w:val="auto"/>
          <w:sz w:val="24"/>
        </w:rPr>
        <mc:AlternateContent>
          <mc:Choice Requires="wps">
            <w:drawing>
              <wp:anchor distT="0" distB="0" distL="114300" distR="114300" simplePos="0" relativeHeight="251711488" behindDoc="0" locked="0" layoutInCell="1" allowOverlap="1">
                <wp:simplePos x="0" y="0"/>
                <wp:positionH relativeFrom="column">
                  <wp:posOffset>1854835</wp:posOffset>
                </wp:positionH>
                <wp:positionV relativeFrom="paragraph">
                  <wp:posOffset>2822575</wp:posOffset>
                </wp:positionV>
                <wp:extent cx="1581785" cy="299085"/>
                <wp:effectExtent l="0" t="0" r="18415" b="5715"/>
                <wp:wrapNone/>
                <wp:docPr id="94" name="任意多边形 94"/>
                <wp:cNvGraphicFramePr/>
                <a:graphic xmlns:a="http://schemas.openxmlformats.org/drawingml/2006/main">
                  <a:graphicData uri="http://schemas.microsoft.com/office/word/2010/wordprocessingShape">
                    <wps:wsp>
                      <wps:cNvSpPr/>
                      <wps:spPr>
                        <a:xfrm>
                          <a:off x="0" y="0"/>
                          <a:ext cx="1581785" cy="299085"/>
                        </a:xfrm>
                        <a:custGeom>
                          <a:avLst/>
                          <a:gdLst>
                            <a:gd name="connisteX0" fmla="*/ 0 w 1061720"/>
                            <a:gd name="connsiteY0" fmla="*/ 101600 h 269875"/>
                            <a:gd name="connisteX1" fmla="*/ 15240 w 1061720"/>
                            <a:gd name="connsiteY1" fmla="*/ 269875 h 269875"/>
                            <a:gd name="connisteX2" fmla="*/ 1061720 w 1061720"/>
                            <a:gd name="connsiteY2" fmla="*/ 165100 h 269875"/>
                            <a:gd name="connisteX3" fmla="*/ 1042035 w 1061720"/>
                            <a:gd name="connsiteY3" fmla="*/ 0 h 269875"/>
                            <a:gd name="connisteX4" fmla="*/ 0 w 1061720"/>
                            <a:gd name="connsiteY4" fmla="*/ 101600 h 26987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1061720" h="269875">
                              <a:moveTo>
                                <a:pt x="0" y="101600"/>
                              </a:moveTo>
                              <a:lnTo>
                                <a:pt x="15240" y="269875"/>
                              </a:lnTo>
                              <a:lnTo>
                                <a:pt x="1061720" y="165100"/>
                              </a:lnTo>
                              <a:lnTo>
                                <a:pt x="1042035" y="0"/>
                              </a:lnTo>
                              <a:lnTo>
                                <a:pt x="0" y="101600"/>
                              </a:lnTo>
                              <a:close/>
                            </a:path>
                          </a:pathLst>
                        </a:custGeom>
                        <a:solidFill>
                          <a:srgbClr val="FF000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146.05pt;margin-top:222.25pt;height:23.55pt;width:124.55pt;z-index:251711488;mso-width-relative:page;mso-height-relative:page;" fillcolor="#FF0000" filled="t" stroked="f" coordsize="1061720,269875" o:gfxdata="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" path="m0,101600l15240,269875,1061720,165100,1042035,0,0,101600xe">
                <v:path o:connectlocs="0,112596;22705,299085;1581785,182969;1552457,0;0,112596" o:connectangles="0,0,0,0,0"/>
                <v:fill on="t" opacity="32768f" focussize="0,0"/>
                <v:stroke on="f" weight="2pt"/>
                <v:imagedata o:title=""/>
                <o:lock v:ext="edit" aspectratio="f"/>
              </v:shape>
            </w:pict>
          </mc:Fallback>
        </mc:AlternateContent>
      </w:r>
      <w:r>
        <w:rPr>
          <w:color w:val="auto"/>
          <w:sz w:val="24"/>
        </w:rPr>
        <mc:AlternateContent>
          <mc:Choice Requires="wps">
            <w:drawing>
              <wp:anchor distT="0" distB="0" distL="114300" distR="114300" simplePos="0" relativeHeight="251710464" behindDoc="0" locked="0" layoutInCell="1" allowOverlap="1">
                <wp:simplePos x="0" y="0"/>
                <wp:positionH relativeFrom="column">
                  <wp:posOffset>1805305</wp:posOffset>
                </wp:positionH>
                <wp:positionV relativeFrom="paragraph">
                  <wp:posOffset>2320290</wp:posOffset>
                </wp:positionV>
                <wp:extent cx="1581785" cy="299085"/>
                <wp:effectExtent l="0" t="0" r="18415" b="5715"/>
                <wp:wrapNone/>
                <wp:docPr id="93" name="任意多边形 93"/>
                <wp:cNvGraphicFramePr/>
                <a:graphic xmlns:a="http://schemas.openxmlformats.org/drawingml/2006/main">
                  <a:graphicData uri="http://schemas.microsoft.com/office/word/2010/wordprocessingShape">
                    <wps:wsp>
                      <wps:cNvSpPr/>
                      <wps:spPr>
                        <a:xfrm>
                          <a:off x="0" y="0"/>
                          <a:ext cx="1581785" cy="299085"/>
                        </a:xfrm>
                        <a:custGeom>
                          <a:avLst/>
                          <a:gdLst>
                            <a:gd name="connisteX0" fmla="*/ 0 w 1061720"/>
                            <a:gd name="connsiteY0" fmla="*/ 101600 h 269875"/>
                            <a:gd name="connisteX1" fmla="*/ 15240 w 1061720"/>
                            <a:gd name="connsiteY1" fmla="*/ 269875 h 269875"/>
                            <a:gd name="connisteX2" fmla="*/ 1061720 w 1061720"/>
                            <a:gd name="connsiteY2" fmla="*/ 165100 h 269875"/>
                            <a:gd name="connisteX3" fmla="*/ 1042035 w 1061720"/>
                            <a:gd name="connsiteY3" fmla="*/ 0 h 269875"/>
                            <a:gd name="connisteX4" fmla="*/ 0 w 1061720"/>
                            <a:gd name="connsiteY4" fmla="*/ 101600 h 26987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1061720" h="269875">
                              <a:moveTo>
                                <a:pt x="0" y="101600"/>
                              </a:moveTo>
                              <a:lnTo>
                                <a:pt x="15240" y="269875"/>
                              </a:lnTo>
                              <a:lnTo>
                                <a:pt x="1061720" y="165100"/>
                              </a:lnTo>
                              <a:lnTo>
                                <a:pt x="1042035" y="0"/>
                              </a:lnTo>
                              <a:lnTo>
                                <a:pt x="0" y="101600"/>
                              </a:lnTo>
                              <a:close/>
                            </a:path>
                          </a:pathLst>
                        </a:custGeom>
                        <a:solidFill>
                          <a:srgbClr val="FF000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142.15pt;margin-top:182.7pt;height:23.55pt;width:124.55pt;z-index:251710464;mso-width-relative:page;mso-height-relative:page;" fillcolor="#FF0000" filled="t" stroked="f" coordsize="1061720,269875" o:gfxdata="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&#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AAAAABkcnMvUEsBAhQAFAAAAAgAh07iQKwg/TraAAAACwEAAA8AAAAAAAAAAQAgAAAAIgAAAGRy&#10;cy9kb3ducmV2LnhtbFBLAQIUABQAAAAIAIdO4kB1/tw4IAMAAFUIAAAOAAAAAAAAAAEAIAAAACkB&#10;AABkcnMvZTJvRG9jLnhtbFBLBQYAAAAABgAGAFkBAAC7BgAAAAA=&#10;" path="m0,101600l15240,269875,1061720,165100,1042035,0,0,101600xe">
                <v:path o:connectlocs="0,112596;22705,299085;1581785,182969;1552457,0;0,112596" o:connectangles="0,0,0,0,0"/>
                <v:fill on="t" opacity="32768f" focussize="0,0"/>
                <v:stroke on="f" weight="2pt"/>
                <v:imagedata o:title=""/>
                <o:lock v:ext="edit" aspectratio="f"/>
              </v:shape>
            </w:pict>
          </mc:Fallback>
        </mc:AlternateContent>
      </w:r>
      <w:r>
        <w:rPr>
          <w:color w:val="auto"/>
          <w:sz w:val="24"/>
        </w:rPr>
        <mc:AlternateContent>
          <mc:Choice Requires="wps">
            <w:drawing>
              <wp:anchor distT="0" distB="0" distL="114300" distR="114300" simplePos="0" relativeHeight="251709440" behindDoc="0" locked="0" layoutInCell="1" allowOverlap="1">
                <wp:simplePos x="0" y="0"/>
                <wp:positionH relativeFrom="column">
                  <wp:posOffset>638810</wp:posOffset>
                </wp:positionH>
                <wp:positionV relativeFrom="paragraph">
                  <wp:posOffset>2971800</wp:posOffset>
                </wp:positionV>
                <wp:extent cx="1061720" cy="269875"/>
                <wp:effectExtent l="0" t="0" r="5080" b="15875"/>
                <wp:wrapNone/>
                <wp:docPr id="92" name="任意多边形 92"/>
                <wp:cNvGraphicFramePr/>
                <a:graphic xmlns:a="http://schemas.openxmlformats.org/drawingml/2006/main">
                  <a:graphicData uri="http://schemas.microsoft.com/office/word/2010/wordprocessingShape">
                    <wps:wsp>
                      <wps:cNvSpPr/>
                      <wps:spPr>
                        <a:xfrm>
                          <a:off x="0" y="0"/>
                          <a:ext cx="1061720" cy="269875"/>
                        </a:xfrm>
                        <a:custGeom>
                          <a:avLst/>
                          <a:gdLst>
                            <a:gd name="connisteX0" fmla="*/ 0 w 1061720"/>
                            <a:gd name="connsiteY0" fmla="*/ 101600 h 269875"/>
                            <a:gd name="connisteX1" fmla="*/ 15240 w 1061720"/>
                            <a:gd name="connsiteY1" fmla="*/ 269875 h 269875"/>
                            <a:gd name="connisteX2" fmla="*/ 1061720 w 1061720"/>
                            <a:gd name="connsiteY2" fmla="*/ 165100 h 269875"/>
                            <a:gd name="connisteX3" fmla="*/ 1042035 w 1061720"/>
                            <a:gd name="connsiteY3" fmla="*/ 0 h 269875"/>
                            <a:gd name="connisteX4" fmla="*/ 0 w 1061720"/>
                            <a:gd name="connsiteY4" fmla="*/ 101600 h 26987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1061720" h="269875">
                              <a:moveTo>
                                <a:pt x="0" y="101600"/>
                              </a:moveTo>
                              <a:lnTo>
                                <a:pt x="15240" y="269875"/>
                              </a:lnTo>
                              <a:lnTo>
                                <a:pt x="1061720" y="165100"/>
                              </a:lnTo>
                              <a:lnTo>
                                <a:pt x="1042035" y="0"/>
                              </a:lnTo>
                              <a:lnTo>
                                <a:pt x="0" y="101600"/>
                              </a:lnTo>
                              <a:close/>
                            </a:path>
                          </a:pathLst>
                        </a:custGeom>
                        <a:solidFill>
                          <a:srgbClr val="FF000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50.3pt;margin-top:234pt;height:21.25pt;width:83.6pt;z-index:251709440;mso-width-relative:page;mso-height-relative:page;" fillcolor="#FF0000" filled="t" stroked="f" coordsize="1061720,269875" o:gfxdata="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ykC8tgAAAALAQAADwAAAAAAAAABACAAAAAiAAAAZHJzL2Rvd25yZXYueG1sUEsB&#10;AhQAFAAAAAgAh07iQFEK34oSAwAAVQgAAA4AAAAAAAAAAQAgAAAAJwEAAGRycy9lMm9Eb2MueG1s&#10;UEsFBgAAAAAGAAYAWQEAAKsGAAAAAA==&#10;" path="m0,101600l15240,269875,1061720,165100,1042035,0,0,101600xe">
                <v:path o:connectlocs="0,101600;15240,269875;1061720,165100;1042035,0;0,101600" o:connectangles="0,0,0,0,0"/>
                <v:fill on="t" opacity="32768f" focussize="0,0"/>
                <v:stroke on="f" weight="2pt"/>
                <v:imagedata o:title=""/>
                <o:lock v:ext="edit" aspectratio="f"/>
              </v:shape>
            </w:pict>
          </mc:Fallback>
        </mc:AlternateContent>
      </w:r>
      <w:r>
        <w:rPr>
          <w:color w:val="auto"/>
          <w:sz w:val="24"/>
        </w:rPr>
        <mc:AlternateContent>
          <mc:Choice Requires="wps">
            <w:drawing>
              <wp:anchor distT="0" distB="0" distL="114300" distR="114300" simplePos="0" relativeHeight="251708416" behindDoc="0" locked="0" layoutInCell="1" allowOverlap="1">
                <wp:simplePos x="0" y="0"/>
                <wp:positionH relativeFrom="column">
                  <wp:posOffset>601980</wp:posOffset>
                </wp:positionH>
                <wp:positionV relativeFrom="paragraph">
                  <wp:posOffset>2466975</wp:posOffset>
                </wp:positionV>
                <wp:extent cx="1061720" cy="269875"/>
                <wp:effectExtent l="0" t="0" r="5080" b="15875"/>
                <wp:wrapNone/>
                <wp:docPr id="91" name="任意多边形 91"/>
                <wp:cNvGraphicFramePr/>
                <a:graphic xmlns:a="http://schemas.openxmlformats.org/drawingml/2006/main">
                  <a:graphicData uri="http://schemas.microsoft.com/office/word/2010/wordprocessingShape">
                    <wps:wsp>
                      <wps:cNvSpPr/>
                      <wps:spPr>
                        <a:xfrm>
                          <a:off x="0" y="0"/>
                          <a:ext cx="1061720" cy="269875"/>
                        </a:xfrm>
                        <a:custGeom>
                          <a:avLst/>
                          <a:gdLst>
                            <a:gd name="connisteX0" fmla="*/ 0 w 1061720"/>
                            <a:gd name="connsiteY0" fmla="*/ 101600 h 269875"/>
                            <a:gd name="connisteX1" fmla="*/ 15240 w 1061720"/>
                            <a:gd name="connsiteY1" fmla="*/ 269875 h 269875"/>
                            <a:gd name="connisteX2" fmla="*/ 1061720 w 1061720"/>
                            <a:gd name="connsiteY2" fmla="*/ 165100 h 269875"/>
                            <a:gd name="connisteX3" fmla="*/ 1042035 w 1061720"/>
                            <a:gd name="connsiteY3" fmla="*/ 0 h 269875"/>
                            <a:gd name="connisteX4" fmla="*/ 0 w 1061720"/>
                            <a:gd name="connsiteY4" fmla="*/ 101600 h 26987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1061720" h="269875">
                              <a:moveTo>
                                <a:pt x="0" y="101600"/>
                              </a:moveTo>
                              <a:lnTo>
                                <a:pt x="15240" y="269875"/>
                              </a:lnTo>
                              <a:lnTo>
                                <a:pt x="1061720" y="165100"/>
                              </a:lnTo>
                              <a:lnTo>
                                <a:pt x="1042035" y="0"/>
                              </a:lnTo>
                              <a:lnTo>
                                <a:pt x="0" y="101600"/>
                              </a:lnTo>
                              <a:close/>
                            </a:path>
                          </a:pathLst>
                        </a:custGeom>
                        <a:solidFill>
                          <a:srgbClr val="FF000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47.4pt;margin-top:194.25pt;height:21.25pt;width:83.6pt;z-index:251708416;mso-width-relative:page;mso-height-relative:page;" fillcolor="#FF0000" filled="t" stroked="f" coordsize="1061720,269875" o:gfxdata="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" path="m0,101600l15240,269875,1061720,165100,1042035,0,0,101600xe">
                <v:path o:connectlocs="0,101600;15240,269875;1061720,165100;1042035,0;0,101600" o:connectangles="0,0,0,0,0"/>
                <v:fill on="t" opacity="32768f" focussize="0,0"/>
                <v:stroke on="f" weight="2pt"/>
                <v:imagedata o:title=""/>
                <o:lock v:ext="edit" aspectratio="f"/>
              </v:shape>
            </w:pict>
          </mc:Fallback>
        </mc:AlternateContent>
      </w:r>
      <w:r>
        <w:rPr>
          <w:color w:val="auto"/>
          <w:sz w:val="24"/>
        </w:rPr>
        <mc:AlternateContent>
          <mc:Choice Requires="wps">
            <w:drawing>
              <wp:anchor distT="0" distB="0" distL="114300" distR="114300" simplePos="0" relativeHeight="251707392" behindDoc="0" locked="0" layoutInCell="1" allowOverlap="1">
                <wp:simplePos x="0" y="0"/>
                <wp:positionH relativeFrom="column">
                  <wp:posOffset>1749425</wp:posOffset>
                </wp:positionH>
                <wp:positionV relativeFrom="paragraph">
                  <wp:posOffset>1833880</wp:posOffset>
                </wp:positionV>
                <wp:extent cx="1581785" cy="299085"/>
                <wp:effectExtent l="0" t="0" r="18415" b="5715"/>
                <wp:wrapNone/>
                <wp:docPr id="90" name="任意多边形 90"/>
                <wp:cNvGraphicFramePr/>
                <a:graphic xmlns:a="http://schemas.openxmlformats.org/drawingml/2006/main">
                  <a:graphicData uri="http://schemas.microsoft.com/office/word/2010/wordprocessingShape">
                    <wps:wsp>
                      <wps:cNvSpPr/>
                      <wps:spPr>
                        <a:xfrm>
                          <a:off x="0" y="0"/>
                          <a:ext cx="1581785" cy="299085"/>
                        </a:xfrm>
                        <a:custGeom>
                          <a:avLst/>
                          <a:gdLst>
                            <a:gd name="connisteX0" fmla="*/ 0 w 1061720"/>
                            <a:gd name="connsiteY0" fmla="*/ 101600 h 269875"/>
                            <a:gd name="connisteX1" fmla="*/ 15240 w 1061720"/>
                            <a:gd name="connsiteY1" fmla="*/ 269875 h 269875"/>
                            <a:gd name="connisteX2" fmla="*/ 1061720 w 1061720"/>
                            <a:gd name="connsiteY2" fmla="*/ 165100 h 269875"/>
                            <a:gd name="connisteX3" fmla="*/ 1042035 w 1061720"/>
                            <a:gd name="connsiteY3" fmla="*/ 0 h 269875"/>
                            <a:gd name="connisteX4" fmla="*/ 0 w 1061720"/>
                            <a:gd name="connsiteY4" fmla="*/ 101600 h 26987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1061720" h="269875">
                              <a:moveTo>
                                <a:pt x="0" y="101600"/>
                              </a:moveTo>
                              <a:lnTo>
                                <a:pt x="15240" y="269875"/>
                              </a:lnTo>
                              <a:lnTo>
                                <a:pt x="1061720" y="165100"/>
                              </a:lnTo>
                              <a:lnTo>
                                <a:pt x="1042035" y="0"/>
                              </a:lnTo>
                              <a:lnTo>
                                <a:pt x="0" y="101600"/>
                              </a:lnTo>
                              <a:close/>
                            </a:path>
                          </a:pathLst>
                        </a:custGeom>
                        <a:solidFill>
                          <a:srgbClr val="FF000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137.75pt;margin-top:144.4pt;height:23.55pt;width:124.55pt;z-index:251707392;mso-width-relative:page;mso-height-relative:page;" fillcolor="#FF0000" filled="t" stroked="f" coordsize="1061720,269875" o:gfxdata="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" path="m0,101600l15240,269875,1061720,165100,1042035,0,0,101600xe">
                <v:path o:connectlocs="0,112596;22705,299085;1581785,182969;1552457,0;0,112596" o:connectangles="0,0,0,0,0"/>
                <v:fill on="t" opacity="32768f" focussize="0,0"/>
                <v:stroke on="f" weight="2pt"/>
                <v:imagedata o:title=""/>
                <o:lock v:ext="edit" aspectratio="f"/>
              </v:shape>
            </w:pict>
          </mc:Fallback>
        </mc:AlternateContent>
      </w:r>
      <w:r>
        <w:rPr>
          <w:color w:val="auto"/>
          <w:sz w:val="24"/>
        </w:rPr>
        <mc:AlternateContent>
          <mc:Choice Requires="wps">
            <w:drawing>
              <wp:anchor distT="0" distB="0" distL="114300" distR="114300" simplePos="0" relativeHeight="251706368" behindDoc="0" locked="0" layoutInCell="1" allowOverlap="1">
                <wp:simplePos x="0" y="0"/>
                <wp:positionH relativeFrom="column">
                  <wp:posOffset>543560</wp:posOffset>
                </wp:positionH>
                <wp:positionV relativeFrom="paragraph">
                  <wp:posOffset>1975485</wp:posOffset>
                </wp:positionV>
                <wp:extent cx="1061720" cy="269875"/>
                <wp:effectExtent l="0" t="0" r="5080" b="15875"/>
                <wp:wrapNone/>
                <wp:docPr id="89" name="任意多边形 89"/>
                <wp:cNvGraphicFramePr/>
                <a:graphic xmlns:a="http://schemas.openxmlformats.org/drawingml/2006/main">
                  <a:graphicData uri="http://schemas.microsoft.com/office/word/2010/wordprocessingShape">
                    <wps:wsp>
                      <wps:cNvSpPr/>
                      <wps:spPr>
                        <a:xfrm>
                          <a:off x="1684655" y="2889885"/>
                          <a:ext cx="1061720" cy="269875"/>
                        </a:xfrm>
                        <a:custGeom>
                          <a:avLst/>
                          <a:gdLst>
                            <a:gd name="connisteX0" fmla="*/ 0 w 1061720"/>
                            <a:gd name="connsiteY0" fmla="*/ 101600 h 269875"/>
                            <a:gd name="connisteX1" fmla="*/ 15240 w 1061720"/>
                            <a:gd name="connsiteY1" fmla="*/ 269875 h 269875"/>
                            <a:gd name="connisteX2" fmla="*/ 1061720 w 1061720"/>
                            <a:gd name="connsiteY2" fmla="*/ 165100 h 269875"/>
                            <a:gd name="connisteX3" fmla="*/ 1042035 w 1061720"/>
                            <a:gd name="connsiteY3" fmla="*/ 0 h 269875"/>
                            <a:gd name="connisteX4" fmla="*/ 0 w 1061720"/>
                            <a:gd name="connsiteY4" fmla="*/ 101600 h 26987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1061720" h="269875">
                              <a:moveTo>
                                <a:pt x="0" y="101600"/>
                              </a:moveTo>
                              <a:lnTo>
                                <a:pt x="15240" y="269875"/>
                              </a:lnTo>
                              <a:lnTo>
                                <a:pt x="1061720" y="165100"/>
                              </a:lnTo>
                              <a:lnTo>
                                <a:pt x="1042035" y="0"/>
                              </a:lnTo>
                              <a:lnTo>
                                <a:pt x="0" y="101600"/>
                              </a:lnTo>
                              <a:close/>
                            </a:path>
                          </a:pathLst>
                        </a:custGeom>
                        <a:solidFill>
                          <a:srgbClr val="FF000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42.8pt;margin-top:155.55pt;height:21.25pt;width:83.6pt;z-index:251706368;mso-width-relative:page;mso-height-relative:page;" fillcolor="#FF0000" filled="t" stroked="f" coordsize="1061720,269875" o:gfxdata="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" path="m0,101600l15240,269875,1061720,165100,1042035,0,0,101600xe">
                <v:path o:connectlocs="0,101600;15240,269875;1061720,165100;1042035,0;0,101600" o:connectangles="0,0,0,0,0"/>
                <v:fill on="t" opacity="32768f" focussize="0,0"/>
                <v:stroke on="f" weight="2pt"/>
                <v:imagedata o:title=""/>
                <o:lock v:ext="edit" aspectratio="f"/>
              </v:shape>
            </w:pict>
          </mc:Fallback>
        </mc:AlternateContent>
      </w:r>
      <w:r>
        <w:rPr>
          <w:color w:val="auto"/>
          <w:sz w:val="24"/>
        </w:rPr>
        <mc:AlternateContent>
          <mc:Choice Requires="wps">
            <w:drawing>
              <wp:anchor distT="0" distB="0" distL="114300" distR="114300" simplePos="0" relativeHeight="251705344" behindDoc="0" locked="0" layoutInCell="1" allowOverlap="1">
                <wp:simplePos x="0" y="0"/>
                <wp:positionH relativeFrom="column">
                  <wp:posOffset>3425190</wp:posOffset>
                </wp:positionH>
                <wp:positionV relativeFrom="paragraph">
                  <wp:posOffset>3932555</wp:posOffset>
                </wp:positionV>
                <wp:extent cx="363855" cy="316230"/>
                <wp:effectExtent l="0" t="0" r="17145" b="7620"/>
                <wp:wrapNone/>
                <wp:docPr id="82" name="任意多边形 82"/>
                <wp:cNvGraphicFramePr/>
                <a:graphic xmlns:a="http://schemas.openxmlformats.org/drawingml/2006/main">
                  <a:graphicData uri="http://schemas.microsoft.com/office/word/2010/wordprocessingShape">
                    <wps:wsp>
                      <wps:cNvSpPr/>
                      <wps:spPr>
                        <a:xfrm>
                          <a:off x="4566285" y="4846955"/>
                          <a:ext cx="363855" cy="316230"/>
                        </a:xfrm>
                        <a:custGeom>
                          <a:avLst/>
                          <a:gdLst>
                            <a:gd name="connisteX0" fmla="*/ 0 w 363855"/>
                            <a:gd name="connsiteY0" fmla="*/ 36830 h 316230"/>
                            <a:gd name="connisteX1" fmla="*/ 27305 w 363855"/>
                            <a:gd name="connsiteY1" fmla="*/ 316230 h 316230"/>
                            <a:gd name="connisteX2" fmla="*/ 363855 w 363855"/>
                            <a:gd name="connsiteY2" fmla="*/ 271780 h 316230"/>
                            <a:gd name="connisteX3" fmla="*/ 336550 w 363855"/>
                            <a:gd name="connsiteY3" fmla="*/ 0 h 316230"/>
                            <a:gd name="connisteX4" fmla="*/ 0 w 363855"/>
                            <a:gd name="connsiteY4" fmla="*/ 36830 h 31623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363855" h="316230">
                              <a:moveTo>
                                <a:pt x="0" y="36830"/>
                              </a:moveTo>
                              <a:lnTo>
                                <a:pt x="27305" y="316230"/>
                              </a:lnTo>
                              <a:lnTo>
                                <a:pt x="363855" y="271780"/>
                              </a:lnTo>
                              <a:lnTo>
                                <a:pt x="336550" y="0"/>
                              </a:lnTo>
                              <a:lnTo>
                                <a:pt x="0" y="36830"/>
                              </a:lnTo>
                              <a:close/>
                            </a:path>
                          </a:pathLst>
                        </a:custGeom>
                        <a:solidFill>
                          <a:srgbClr val="FF000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269.7pt;margin-top:309.65pt;height:24.9pt;width:28.65pt;z-index:251705344;mso-width-relative:page;mso-height-relative:page;" fillcolor="#FF0000" filled="t" stroked="f" coordsize="363855,316230" o:gfxdata="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" path="m0,36830l27305,316230,363855,271780,336550,0,0,36830xe">
                <v:path o:connectlocs="0,36830;27305,316230;363855,271780;336550,0;0,36830" o:connectangles="0,0,0,0,0"/>
                <v:fill on="t" opacity="32768f" focussize="0,0"/>
                <v:stroke on="f" weight="2pt"/>
                <v:imagedata o:title=""/>
                <o:lock v:ext="edit" aspectratio="f"/>
              </v:shape>
            </w:pict>
          </mc:Fallback>
        </mc:AlternateContent>
      </w:r>
      <w:r>
        <w:rPr>
          <w:color w:val="auto"/>
          <w:sz w:val="24"/>
        </w:rPr>
        <mc:AlternateContent>
          <mc:Choice Requires="wps">
            <w:drawing>
              <wp:anchor distT="0" distB="0" distL="114300" distR="114300" simplePos="0" relativeHeight="251704320" behindDoc="0" locked="0" layoutInCell="1" allowOverlap="1">
                <wp:simplePos x="0" y="0"/>
                <wp:positionH relativeFrom="column">
                  <wp:posOffset>412750</wp:posOffset>
                </wp:positionH>
                <wp:positionV relativeFrom="paragraph">
                  <wp:posOffset>440055</wp:posOffset>
                </wp:positionV>
                <wp:extent cx="873125" cy="285750"/>
                <wp:effectExtent l="0" t="0" r="3175" b="0"/>
                <wp:wrapNone/>
                <wp:docPr id="43" name="任意多边形 43"/>
                <wp:cNvGraphicFramePr/>
                <a:graphic xmlns:a="http://schemas.openxmlformats.org/drawingml/2006/main">
                  <a:graphicData uri="http://schemas.microsoft.com/office/word/2010/wordprocessingShape">
                    <wps:wsp>
                      <wps:cNvSpPr/>
                      <wps:spPr>
                        <a:xfrm>
                          <a:off x="1553845" y="1354455"/>
                          <a:ext cx="873125" cy="285750"/>
                        </a:xfrm>
                        <a:custGeom>
                          <a:avLst/>
                          <a:gdLst>
                            <a:gd name="connisteX0" fmla="*/ 0 w 873125"/>
                            <a:gd name="connsiteY0" fmla="*/ 79375 h 285750"/>
                            <a:gd name="connisteX1" fmla="*/ 848995 w 873125"/>
                            <a:gd name="connsiteY1" fmla="*/ 0 h 285750"/>
                            <a:gd name="connisteX2" fmla="*/ 873125 w 873125"/>
                            <a:gd name="connsiteY2" fmla="*/ 190500 h 285750"/>
                            <a:gd name="connisteX3" fmla="*/ 39370 w 873125"/>
                            <a:gd name="connsiteY3" fmla="*/ 285750 h 285750"/>
                            <a:gd name="connisteX4" fmla="*/ 0 w 873125"/>
                            <a:gd name="connsiteY4" fmla="*/ 79375 h 28575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873125" h="285750">
                              <a:moveTo>
                                <a:pt x="0" y="79375"/>
                              </a:moveTo>
                              <a:lnTo>
                                <a:pt x="848995" y="0"/>
                              </a:lnTo>
                              <a:lnTo>
                                <a:pt x="873125" y="190500"/>
                              </a:lnTo>
                              <a:lnTo>
                                <a:pt x="39370" y="285750"/>
                              </a:lnTo>
                              <a:lnTo>
                                <a:pt x="0" y="79375"/>
                              </a:lnTo>
                              <a:close/>
                            </a:path>
                          </a:pathLst>
                        </a:custGeom>
                        <a:solidFill>
                          <a:srgbClr val="FFC000">
                            <a:alpha val="50000"/>
                          </a:srgbClr>
                        </a:solidFill>
                        <a:ln w="317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32.5pt;margin-top:34.65pt;height:22.5pt;width:68.75pt;z-index:251704320;mso-width-relative:page;mso-height-relative:page;" fillcolor="#FFC000" filled="t" stroked="f" coordsize="873125,285750" o:gfxdata="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" path="m0,79375l848995,0,873125,190500,39370,285750,0,79375xe">
                <v:path o:connectlocs="0,79375;848995,0;873125,190500;39370,285750;0,79375" o:connectangles="0,0,0,0,0"/>
                <v:fill on="t" opacity="32768f" focussize="0,0"/>
                <v:stroke on="f" weight="0.25pt"/>
                <v:imagedata o:title=""/>
                <o:lock v:ext="edit" aspectratio="f"/>
              </v:shape>
            </w:pict>
          </mc:Fallback>
        </mc:AlternateContent>
      </w:r>
      <w:r>
        <w:rPr>
          <w:color w:val="auto"/>
          <w:sz w:val="24"/>
        </w:rPr>
        <mc:AlternateContent>
          <mc:Choice Requires="wps">
            <w:drawing>
              <wp:anchor distT="0" distB="0" distL="114300" distR="114300" simplePos="0" relativeHeight="251703296" behindDoc="0" locked="0" layoutInCell="1" allowOverlap="1">
                <wp:simplePos x="0" y="0"/>
                <wp:positionH relativeFrom="column">
                  <wp:posOffset>4516755</wp:posOffset>
                </wp:positionH>
                <wp:positionV relativeFrom="paragraph">
                  <wp:posOffset>5149215</wp:posOffset>
                </wp:positionV>
                <wp:extent cx="891540" cy="692785"/>
                <wp:effectExtent l="0" t="0" r="3810" b="12065"/>
                <wp:wrapNone/>
                <wp:docPr id="37" name="文本框 37"/>
                <wp:cNvGraphicFramePr/>
                <a:graphic xmlns:a="http://schemas.openxmlformats.org/drawingml/2006/main">
                  <a:graphicData uri="http://schemas.microsoft.com/office/word/2010/wordprocessingShape">
                    <wps:wsp>
                      <wps:cNvSpPr txBox="1"/>
                      <wps:spPr>
                        <a:xfrm>
                          <a:off x="5951220" y="6118860"/>
                          <a:ext cx="891540" cy="6927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480" w:lineRule="auto"/>
                              <w:ind w:left="0" w:leftChars="0" w:firstLine="0" w:firstLineChars="0"/>
                              <w:rPr>
                                <w:b/>
                                <w:bCs/>
                                <w:sz w:val="21"/>
                                <w:szCs w:val="21"/>
                              </w:rPr>
                            </w:pPr>
                            <w:r>
                              <w:rPr>
                                <w:rFonts w:hint="default" w:ascii="Times New Roman" w:hAnsi="Times New Roman" w:cs="Times New Roman"/>
                                <w:b/>
                                <w:bCs/>
                                <w:color w:val="auto"/>
                                <w:sz w:val="21"/>
                                <w:szCs w:val="21"/>
                                <w:highlight w:val="none"/>
                                <w:lang w:val="en-US" w:eastAsia="zh-CN"/>
                              </w:rPr>
                              <w:t>简单防渗区</w:t>
                            </w:r>
                          </w:p>
                          <w:p>
                            <w:pPr>
                              <w:spacing w:line="480" w:lineRule="auto"/>
                              <w:ind w:left="0" w:leftChars="0"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一般防渗区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5.65pt;margin-top:405.45pt;height:54.55pt;width:70.2pt;z-index:251703296;mso-width-relative:page;mso-height-relative:page;" filled="f" stroked="f" coordsize="21600,21600" o:gfxdata="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Po5vmNsAAAALAQAADwAAAAAAAAAB&#10;ACAAAAAiAAAAZHJzL2Rvd25yZXYueG1sUEsBAhQAFAAAAAgAh07iQOc/bt9GAgAAcwQAAA4AAAAA&#10;AAAAAQAgAAAAKgEAAGRycy9lMm9Eb2MueG1sUEsFBgAAAAAGAAYAWQEAAOIFAAAAAA==&#10;">
                <v:fill on="f" focussize="0,0"/>
                <v:stroke on="f" weight="0.5pt"/>
                <v:imagedata o:title=""/>
                <o:lock v:ext="edit" aspectratio="f"/>
                <v:textbox>
                  <w:txbxContent>
                    <w:p>
                      <w:pPr>
                        <w:spacing w:line="480" w:lineRule="auto"/>
                        <w:ind w:left="0" w:leftChars="0" w:firstLine="0" w:firstLineChars="0"/>
                        <w:rPr>
                          <w:b/>
                          <w:bCs/>
                          <w:sz w:val="21"/>
                          <w:szCs w:val="21"/>
                        </w:rPr>
                      </w:pPr>
                      <w:r>
                        <w:rPr>
                          <w:rFonts w:hint="default" w:ascii="Times New Roman" w:hAnsi="Times New Roman" w:cs="Times New Roman"/>
                          <w:b/>
                          <w:bCs/>
                          <w:color w:val="auto"/>
                          <w:sz w:val="21"/>
                          <w:szCs w:val="21"/>
                          <w:highlight w:val="none"/>
                          <w:lang w:val="en-US" w:eastAsia="zh-CN"/>
                        </w:rPr>
                        <w:t>简单防渗区</w:t>
                      </w:r>
                    </w:p>
                    <w:p>
                      <w:pPr>
                        <w:spacing w:line="480" w:lineRule="auto"/>
                        <w:ind w:left="0" w:leftChars="0"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一般防渗区</w:t>
                      </w:r>
                    </w:p>
                  </w:txbxContent>
                </v:textbox>
              </v:shape>
            </w:pict>
          </mc:Fallback>
        </mc:AlternateContent>
      </w:r>
      <w:r>
        <w:rPr>
          <w:color w:val="auto"/>
          <w:sz w:val="24"/>
        </w:rPr>
        <mc:AlternateContent>
          <mc:Choice Requires="wps">
            <w:drawing>
              <wp:anchor distT="0" distB="0" distL="114300" distR="114300" simplePos="0" relativeHeight="251702272" behindDoc="0" locked="0" layoutInCell="1" allowOverlap="1">
                <wp:simplePos x="0" y="0"/>
                <wp:positionH relativeFrom="column">
                  <wp:posOffset>4200525</wp:posOffset>
                </wp:positionH>
                <wp:positionV relativeFrom="paragraph">
                  <wp:posOffset>5539740</wp:posOffset>
                </wp:positionV>
                <wp:extent cx="349250" cy="198755"/>
                <wp:effectExtent l="0" t="0" r="12700" b="10795"/>
                <wp:wrapNone/>
                <wp:docPr id="25" name="矩形 25"/>
                <wp:cNvGraphicFramePr/>
                <a:graphic xmlns:a="http://schemas.openxmlformats.org/drawingml/2006/main">
                  <a:graphicData uri="http://schemas.microsoft.com/office/word/2010/wordprocessingShape">
                    <wps:wsp>
                      <wps:cNvSpPr/>
                      <wps:spPr>
                        <a:xfrm>
                          <a:off x="0" y="0"/>
                          <a:ext cx="349250" cy="198755"/>
                        </a:xfrm>
                        <a:prstGeom prst="rect">
                          <a:avLst/>
                        </a:prstGeom>
                        <a:solidFill>
                          <a:srgbClr val="FF000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0.75pt;margin-top:436.2pt;height:15.65pt;width:27.5pt;z-index:251702272;v-text-anchor:middle;mso-width-relative:page;mso-height-relative:page;" fillcolor="#FF0000" filled="t" stroked="f" coordsize="21600,21600" o:gfxdata="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Yh9TFdoAAAALAQAADwAAAAAAAAABACAAAAAiAAAAZHJzL2Rvd25yZXYu&#10;eG1sUEsBAhQAFAAAAAgAh07iQEvyzJxrAgAA1gQAAA4AAAAAAAAAAQAgAAAAKQEAAGRycy9lMm9E&#10;b2MueG1sUEsFBgAAAAAGAAYAWQEAAAYGAAAAAA==&#10;">
                <v:fill on="t" opacity="32768f" focussize="0,0"/>
                <v:stroke on="f" weight="2pt"/>
                <v:imagedata o:title=""/>
                <o:lock v:ext="edit" aspectratio="f"/>
              </v:rect>
            </w:pict>
          </mc:Fallback>
        </mc:AlternateContent>
      </w:r>
      <w:r>
        <w:rPr>
          <w:color w:val="auto"/>
          <w:sz w:val="24"/>
        </w:rPr>
        <mc:AlternateContent>
          <mc:Choice Requires="wps">
            <w:drawing>
              <wp:anchor distT="0" distB="0" distL="114300" distR="114300" simplePos="0" relativeHeight="251701248" behindDoc="0" locked="0" layoutInCell="1" allowOverlap="1">
                <wp:simplePos x="0" y="0"/>
                <wp:positionH relativeFrom="column">
                  <wp:posOffset>4199255</wp:posOffset>
                </wp:positionH>
                <wp:positionV relativeFrom="paragraph">
                  <wp:posOffset>5165725</wp:posOffset>
                </wp:positionV>
                <wp:extent cx="349250" cy="198755"/>
                <wp:effectExtent l="0" t="0" r="12700" b="10795"/>
                <wp:wrapNone/>
                <wp:docPr id="6" name="矩形 6"/>
                <wp:cNvGraphicFramePr/>
                <a:graphic xmlns:a="http://schemas.openxmlformats.org/drawingml/2006/main">
                  <a:graphicData uri="http://schemas.microsoft.com/office/word/2010/wordprocessingShape">
                    <wps:wsp>
                      <wps:cNvSpPr/>
                      <wps:spPr>
                        <a:xfrm>
                          <a:off x="1640840" y="2809240"/>
                          <a:ext cx="349250" cy="198755"/>
                        </a:xfrm>
                        <a:prstGeom prst="rect">
                          <a:avLst/>
                        </a:prstGeom>
                        <a:solidFill>
                          <a:srgbClr val="FFC00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0.65pt;margin-top:406.75pt;height:15.65pt;width:27.5pt;z-index:251701248;v-text-anchor:middle;mso-width-relative:page;mso-height-relative:page;" fillcolor="#FFC000" filled="t" stroked="f" coordsize="21600,21600" o:gfxdata="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LROUf/ZAAAACwEAAA8AAAAAAAAAAQAgAAAAIgAA&#10;AGRycy9kb3ducmV2LnhtbFBLAQIUABQAAAAIAIdO4kCuruOVeQIAAOAEAAAOAAAAAAAAAAEAIAAA&#10;ACgBAABkcnMvZTJvRG9jLnhtbFBLBQYAAAAABgAGAFkBAAATBgAAAAA=&#10;">
                <v:fill on="t" opacity="32768f" focussize="0,0"/>
                <v:stroke on="f" weight="2pt"/>
                <v:imagedata o:title=""/>
                <o:lock v:ext="edit" aspectratio="f"/>
              </v:rect>
            </w:pict>
          </mc:Fallback>
        </mc:AlternateContent>
      </w:r>
      <w:r>
        <w:rPr>
          <w:color w:val="auto"/>
        </w:rPr>
        <w:drawing>
          <wp:inline distT="0" distB="0" distL="114300" distR="114300">
            <wp:extent cx="5441315" cy="6299835"/>
            <wp:effectExtent l="0" t="0" r="6985" b="5715"/>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60"/>
                    <a:stretch>
                      <a:fillRect/>
                    </a:stretch>
                  </pic:blipFill>
                  <pic:spPr>
                    <a:xfrm>
                      <a:off x="0" y="0"/>
                      <a:ext cx="5441315" cy="6299835"/>
                    </a:xfrm>
                    <a:prstGeom prst="rect">
                      <a:avLst/>
                    </a:prstGeom>
                    <a:noFill/>
                    <a:ln>
                      <a:noFill/>
                    </a:ln>
                  </pic:spPr>
                </pic:pic>
              </a:graphicData>
            </a:graphic>
          </wp:inline>
        </w:drawing>
      </w:r>
    </w:p>
    <w:p>
      <w:pPr>
        <w:pageBreakBefore w:val="0"/>
        <w:wordWrap/>
        <w:bidi w:val="0"/>
        <w:adjustRightInd w:val="0"/>
        <w:ind w:left="0" w:leftChars="0" w:right="0" w:rightChars="0" w:firstLine="0" w:firstLineChars="0"/>
        <w:jc w:val="center"/>
        <w:rPr>
          <w:rFonts w:hint="default"/>
          <w:b/>
          <w:bCs/>
          <w:color w:val="auto"/>
        </w:rPr>
      </w:pPr>
      <w:r>
        <w:rPr>
          <w:rFonts w:hint="eastAsia" w:ascii="Times New Roman" w:hAnsi="Times New Roman" w:eastAsia="宋体" w:cs="Times New Roman"/>
          <w:b/>
          <w:bCs/>
          <w:color w:val="auto"/>
          <w:highlight w:val="none"/>
          <w:lang w:val="en-US" w:eastAsia="zh-CN"/>
        </w:rPr>
        <w:t>图6</w:t>
      </w:r>
      <w:r>
        <w:rPr>
          <w:rFonts w:hint="eastAsia" w:cs="Times New Roman"/>
          <w:b/>
          <w:bCs/>
          <w:color w:val="auto"/>
          <w:highlight w:val="none"/>
          <w:lang w:val="en-US" w:eastAsia="zh-CN"/>
        </w:rPr>
        <w:t>.2</w:t>
      </w:r>
      <w:r>
        <w:rPr>
          <w:rFonts w:hint="eastAsia" w:ascii="Times New Roman" w:hAnsi="Times New Roman" w:eastAsia="宋体" w:cs="Times New Roman"/>
          <w:b/>
          <w:bCs/>
          <w:color w:val="auto"/>
          <w:highlight w:val="none"/>
          <w:lang w:val="en-US" w:eastAsia="zh-CN"/>
        </w:rPr>
        <w:t>-1  分区防渗图</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防治地下水污染的措施有：</w:t>
      </w:r>
    </w:p>
    <w:p>
      <w:pPr>
        <w:keepNext w:val="0"/>
        <w:keepLines w:val="0"/>
        <w:pageBreakBefore w:val="0"/>
        <w:widowControl w:val="0"/>
        <w:kinsoku/>
        <w:wordWrap/>
        <w:overflowPunct/>
        <w:topLinePunct w:val="0"/>
        <w:autoSpaceDE/>
        <w:autoSpaceDN/>
        <w:bidi w:val="0"/>
        <w:adjustRightInd w:val="0"/>
        <w:snapToGrid w:val="0"/>
        <w:ind w:left="0" w:leftChars="0" w:right="0" w:rightChars="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（1）主动措施</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为了最大限度降低养殖生产过程中高浓度有机废水的跑冒滴漏，防止地下水污染，本项目在生产工艺、设备、建筑结构、总图等方面应考虑相应的控制措施，具体措施如下：</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r>
        <w:rPr>
          <w:rFonts w:hint="default" w:ascii="Times New Roman" w:hAnsi="Times New Roman" w:cs="Times New Roman"/>
          <w:color w:val="auto"/>
          <w:highlight w:val="none"/>
          <w:lang w:eastAsia="zh-CN"/>
        </w:rPr>
        <w:t>堆粪场</w:t>
      </w:r>
      <w:r>
        <w:rPr>
          <w:rFonts w:hint="default" w:ascii="Times New Roman" w:hAnsi="Times New Roman" w:cs="Times New Roman"/>
          <w:color w:val="auto"/>
          <w:highlight w:val="none"/>
        </w:rPr>
        <w:t>、</w:t>
      </w:r>
      <w:r>
        <w:rPr>
          <w:rFonts w:hint="default" w:ascii="Times New Roman" w:hAnsi="Times New Roman" w:cs="Times New Roman"/>
          <w:color w:val="auto"/>
          <w:szCs w:val="22"/>
          <w:highlight w:val="none"/>
          <w:lang w:val="en-US" w:eastAsia="zh-CN"/>
        </w:rPr>
        <w:t>集污池</w:t>
      </w:r>
      <w:r>
        <w:rPr>
          <w:rFonts w:hint="default" w:ascii="Times New Roman" w:hAnsi="Times New Roman" w:cs="Times New Roman"/>
          <w:color w:val="auto"/>
          <w:highlight w:val="none"/>
        </w:rPr>
        <w:t>等易产生泄漏的重点区域</w:t>
      </w:r>
      <w:r>
        <w:rPr>
          <w:rFonts w:hint="eastAsia" w:cs="Times New Roman"/>
          <w:color w:val="auto"/>
          <w:highlight w:val="none"/>
          <w:lang w:eastAsia="zh-CN"/>
        </w:rPr>
        <w:t>，</w:t>
      </w:r>
      <w:r>
        <w:rPr>
          <w:rFonts w:hint="default" w:ascii="Times New Roman" w:hAnsi="Times New Roman" w:cs="Times New Roman"/>
          <w:color w:val="auto"/>
          <w:highlight w:val="none"/>
        </w:rPr>
        <w:t>应设置防止</w:t>
      </w:r>
      <w:r>
        <w:rPr>
          <w:rFonts w:hint="default" w:ascii="Times New Roman" w:hAnsi="Times New Roman" w:cs="Times New Roman"/>
          <w:color w:val="auto"/>
          <w:highlight w:val="none"/>
          <w:lang w:eastAsia="zh-CN"/>
        </w:rPr>
        <w:t>泄漏</w:t>
      </w:r>
      <w:r>
        <w:rPr>
          <w:rFonts w:hint="default" w:ascii="Times New Roman" w:hAnsi="Times New Roman" w:cs="Times New Roman"/>
          <w:color w:val="auto"/>
          <w:highlight w:val="none"/>
        </w:rPr>
        <w:t>的</w:t>
      </w:r>
      <w:r>
        <w:rPr>
          <w:rFonts w:hint="eastAsia" w:cs="Times New Roman"/>
          <w:color w:val="auto"/>
          <w:highlight w:val="none"/>
          <w:lang w:val="en-US" w:eastAsia="zh-CN"/>
        </w:rPr>
        <w:t>措施</w:t>
      </w:r>
      <w:r>
        <w:rPr>
          <w:rFonts w:hint="default" w:ascii="Times New Roman" w:hAnsi="Times New Roman" w:cs="Times New Roman"/>
          <w:color w:val="auto"/>
          <w:highlight w:val="none"/>
        </w:rPr>
        <w:t>。</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eastAsia" w:cs="Times New Roman"/>
          <w:color w:val="auto"/>
          <w:highlight w:val="none"/>
          <w:lang w:val="en-US" w:eastAsia="zh-CN"/>
        </w:rPr>
        <w:t>项目区</w:t>
      </w:r>
      <w:r>
        <w:rPr>
          <w:rFonts w:hint="default" w:ascii="Times New Roman" w:hAnsi="Times New Roman" w:cs="Times New Roman"/>
          <w:color w:val="auto"/>
          <w:highlight w:val="none"/>
        </w:rPr>
        <w:t>内除输送生产用水和生活用水等非污染介质的管道外，</w:t>
      </w:r>
      <w:r>
        <w:rPr>
          <w:rFonts w:hint="eastAsia" w:cs="Times New Roman"/>
          <w:color w:val="auto"/>
          <w:highlight w:val="none"/>
          <w:lang w:val="en-US" w:eastAsia="zh-CN"/>
        </w:rPr>
        <w:t>其余</w:t>
      </w:r>
      <w:r>
        <w:rPr>
          <w:rFonts w:hint="default" w:ascii="Times New Roman" w:hAnsi="Times New Roman" w:cs="Times New Roman"/>
          <w:color w:val="auto"/>
          <w:highlight w:val="none"/>
        </w:rPr>
        <w:t>管道上所有安装后不需拆卸的螺纹连接部位均应密封焊，其它需要经常进行拆装或不允许密封焊的螺纹连接部位应有可靠的密封措施。如确实需要地下敷设时，应采取必要的防渗措施。</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（2）被动措施</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防止地下水污染的被动控制措施即为地面防渗工程。污染防治区首先采取措施，切断泄漏粪污水流入非污染区的途径，在清场夯压的基础上铺设HDPE膜</w:t>
      </w:r>
      <w:r>
        <w:rPr>
          <w:rFonts w:hint="eastAsia" w:cs="Times New Roman"/>
          <w:color w:val="auto"/>
          <w:highlight w:val="none"/>
          <w:lang w:val="en-US" w:eastAsia="zh-CN"/>
        </w:rPr>
        <w:t>或</w:t>
      </w:r>
      <w:r>
        <w:rPr>
          <w:rFonts w:hint="default" w:ascii="Times New Roman" w:hAnsi="Times New Roman" w:cs="Times New Roman"/>
          <w:color w:val="auto"/>
          <w:highlight w:val="none"/>
        </w:rPr>
        <w:t>混凝土进行防渗。防渗结构型式通常有天然防渗结构、刚性防渗结构、柔性防渗结构和复合防渗结构等。根据本项目包气带防污性能，项目区不能采取天然防渗。</w:t>
      </w:r>
    </w:p>
    <w:p>
      <w:pPr>
        <w:pStyle w:val="6"/>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lang w:val="de-DE"/>
        </w:rPr>
      </w:pPr>
      <w:bookmarkStart w:id="339" w:name="_Toc196218618"/>
      <w:bookmarkStart w:id="340" w:name="_Toc183085460"/>
      <w:bookmarkStart w:id="341" w:name="_Toc183085734"/>
      <w:bookmarkStart w:id="342" w:name="_Toc229909587"/>
      <w:r>
        <w:rPr>
          <w:rFonts w:hint="default" w:ascii="Times New Roman" w:hAnsi="Times New Roman" w:eastAsia="宋体" w:cs="Times New Roman"/>
          <w:color w:val="auto"/>
          <w:highlight w:val="none"/>
          <w:lang w:val="de-DE"/>
        </w:rPr>
        <w:t>地下水环境监测与管理</w:t>
      </w:r>
    </w:p>
    <w:p>
      <w:pPr>
        <w:pageBreakBefore w:val="0"/>
        <w:wordWrap/>
        <w:autoSpaceDE w:val="0"/>
        <w:autoSpaceDN w:val="0"/>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建立地下水环境监测管理体系，包括制定地下水环境影响跟踪监测计划，建立地下水环境影响跟踪监测制度、配备先进的监测仪器和设备，以便及时发现问题采取措施。本项目地下水评价等级为三级，</w:t>
      </w:r>
      <w:r>
        <w:rPr>
          <w:rFonts w:hint="default" w:ascii="Times New Roman" w:hAnsi="Times New Roman" w:cs="Times New Roman"/>
          <w:color w:val="auto"/>
          <w:highlight w:val="none"/>
          <w:lang w:val="en-US" w:eastAsia="zh-CN"/>
        </w:rPr>
        <w:t>跟踪监测点</w:t>
      </w:r>
      <w:r>
        <w:rPr>
          <w:rFonts w:hint="default" w:ascii="Times New Roman" w:hAnsi="Times New Roman" w:cs="Times New Roman"/>
          <w:color w:val="auto"/>
          <w:highlight w:val="none"/>
        </w:rPr>
        <w:t>一般不少于</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个</w:t>
      </w:r>
      <w:r>
        <w:rPr>
          <w:rStyle w:val="46"/>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至少在建设项目下游布置1个监测井。项目区下游</w:t>
      </w:r>
      <w:r>
        <w:rPr>
          <w:rFonts w:hint="default" w:ascii="Times New Roman" w:hAnsi="Times New Roman" w:cs="Times New Roman"/>
          <w:color w:val="auto"/>
          <w:highlight w:val="none"/>
          <w:lang w:val="en-US" w:eastAsia="zh-CN"/>
        </w:rPr>
        <w:t>监测井的基本</w:t>
      </w:r>
      <w:r>
        <w:rPr>
          <w:rFonts w:hint="default" w:ascii="Times New Roman" w:hAnsi="Times New Roman" w:cs="Times New Roman"/>
          <w:color w:val="auto"/>
          <w:highlight w:val="none"/>
        </w:rPr>
        <w:t>功能为：污染扩散</w:t>
      </w:r>
      <w:r>
        <w:rPr>
          <w:rFonts w:hint="default" w:ascii="Times New Roman" w:hAnsi="Times New Roman" w:cs="Times New Roman"/>
          <w:color w:val="auto"/>
          <w:highlight w:val="none"/>
          <w:lang w:val="en-US" w:eastAsia="zh-CN"/>
        </w:rPr>
        <w:t>监测</w:t>
      </w:r>
      <w:r>
        <w:rPr>
          <w:rFonts w:hint="default" w:ascii="Times New Roman" w:hAnsi="Times New Roman" w:cs="Times New Roman"/>
          <w:color w:val="auto"/>
          <w:highlight w:val="none"/>
        </w:rPr>
        <w:t>点。</w:t>
      </w:r>
    </w:p>
    <w:p>
      <w:pPr>
        <w:pageBreakBefore w:val="0"/>
        <w:wordWrap/>
        <w:bidi w:val="0"/>
        <w:adjustRightInd w:val="0"/>
        <w:ind w:left="0" w:leftChars="0" w:right="0" w:right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根据环境管理对监测工作的需要，突出有关监测机构、人员及装备的建议。制定地下水环境跟踪监测与信息公开计划，内容包括记录本项目</w:t>
      </w:r>
      <w:r>
        <w:rPr>
          <w:rFonts w:hint="default" w:ascii="Times New Roman" w:hAnsi="Times New Roman" w:cs="Times New Roman"/>
          <w:color w:val="auto"/>
          <w:highlight w:val="none"/>
          <w:lang w:val="en-US" w:eastAsia="zh-CN"/>
        </w:rPr>
        <w:t>所在场地及其影响区域</w:t>
      </w:r>
      <w:r>
        <w:rPr>
          <w:rFonts w:hint="default" w:ascii="Times New Roman" w:hAnsi="Times New Roman" w:cs="Times New Roman"/>
          <w:color w:val="auto"/>
          <w:highlight w:val="none"/>
        </w:rPr>
        <w:t>地下水</w:t>
      </w:r>
      <w:r>
        <w:rPr>
          <w:rFonts w:hint="default" w:ascii="Times New Roman" w:hAnsi="Times New Roman" w:cs="Times New Roman"/>
          <w:color w:val="auto"/>
          <w:highlight w:val="none"/>
          <w:lang w:val="en-US" w:eastAsia="zh-CN"/>
        </w:rPr>
        <w:t>环境跟踪监测数据</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对</w:t>
      </w:r>
      <w:r>
        <w:rPr>
          <w:rFonts w:hint="default" w:ascii="Times New Roman" w:hAnsi="Times New Roman" w:cs="Times New Roman"/>
          <w:color w:val="auto"/>
          <w:highlight w:val="none"/>
        </w:rPr>
        <w:t>固废处理设施运行情况、跑冒滴漏记录</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维护进行记录，定期检测项目区下游水井的特征污染因子COD和氨氮的浓度值。</w:t>
      </w:r>
      <w:r>
        <w:rPr>
          <w:rFonts w:hint="default" w:ascii="Times New Roman" w:hAnsi="Times New Roman" w:cs="Times New Roman"/>
          <w:color w:val="auto"/>
          <w:highlight w:val="none"/>
          <w:lang w:val="en-US" w:eastAsia="zh-CN"/>
        </w:rPr>
        <w:t>如发现特征指标存在升高现象，应增大采样频次，分析原因，及时发现问题。上述监测结果应按相关规定及时建立档案，并定期向所在地生态环境主管部门汇报，公开常规监测数据。</w:t>
      </w:r>
    </w:p>
    <w:p>
      <w:pPr>
        <w:pageBreakBefore w:val="0"/>
        <w:wordWrap/>
        <w:bidi w:val="0"/>
        <w:adjustRightInd w:val="0"/>
        <w:ind w:left="0" w:leftChars="0" w:right="0" w:right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管理措施：成立事故处理组织，一旦发生废水事故排放，应立即组织人力、物力和财力加紧对废水进行回收、拦截，以防止污染地下水。</w:t>
      </w:r>
    </w:p>
    <w:p>
      <w:pPr>
        <w:pageBreakBefore w:val="0"/>
        <w:wordWrap/>
        <w:bidi w:val="0"/>
        <w:adjustRightInd w:val="0"/>
        <w:ind w:left="0" w:leftChars="0" w:right="0" w:rightChars="0"/>
        <w:rPr>
          <w:rFonts w:hint="default" w:ascii="Times New Roman" w:hAnsi="Times New Roman" w:cs="Times New Roman"/>
          <w:color w:val="auto"/>
          <w:highlight w:val="none"/>
          <w:lang w:val="de-DE"/>
        </w:rPr>
      </w:pPr>
      <w:r>
        <w:rPr>
          <w:rFonts w:hint="default" w:ascii="Times New Roman" w:hAnsi="Times New Roman" w:cs="Times New Roman"/>
          <w:color w:val="auto"/>
          <w:highlight w:val="none"/>
          <w:lang w:val="en-US" w:eastAsia="zh-CN"/>
        </w:rPr>
        <w:t>综上分析，污染物排放简单，在落实好防渗、防污措施后，本项目污染物能得到有效处理，对地下水水质影响较小，项目的建设不会产生其他环节地质问题，因此对地下水环境质量影响较小。</w:t>
      </w:r>
    </w:p>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343" w:name="_Toc31064"/>
      <w:r>
        <w:rPr>
          <w:rFonts w:hint="default" w:ascii="Times New Roman" w:hAnsi="Times New Roman" w:cs="Times New Roman"/>
          <w:color w:val="auto"/>
          <w:highlight w:val="none"/>
        </w:rPr>
        <w:t>噪声治理措施</w:t>
      </w:r>
      <w:bookmarkEnd w:id="339"/>
      <w:bookmarkEnd w:id="340"/>
      <w:bookmarkEnd w:id="341"/>
      <w:bookmarkEnd w:id="342"/>
      <w:r>
        <w:rPr>
          <w:rFonts w:hint="default" w:ascii="Times New Roman" w:hAnsi="Times New Roman" w:cs="Times New Roman"/>
          <w:color w:val="auto"/>
          <w:highlight w:val="none"/>
        </w:rPr>
        <w:t>可行性分析</w:t>
      </w:r>
      <w:bookmarkEnd w:id="343"/>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本项目属于</w:t>
      </w:r>
      <w:r>
        <w:rPr>
          <w:rFonts w:hint="default" w:ascii="Times New Roman" w:hAnsi="Times New Roman" w:cs="Times New Roman"/>
          <w:color w:val="auto"/>
          <w:highlight w:val="none"/>
          <w:lang w:val="en-US" w:eastAsia="zh-CN"/>
        </w:rPr>
        <w:t>畜禽</w:t>
      </w:r>
      <w:r>
        <w:rPr>
          <w:rFonts w:hint="default" w:ascii="Times New Roman" w:hAnsi="Times New Roman" w:cs="Times New Roman"/>
          <w:color w:val="auto"/>
          <w:highlight w:val="none"/>
        </w:rPr>
        <w:t>养殖业，主要噪声源包括小型饲料加工设备、牛的叫声以及出入场区的车辆噪声。</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养殖场在噪声防治上主要考虑以下几个方面：</w:t>
      </w:r>
    </w:p>
    <w:p>
      <w:pPr>
        <w:pStyle w:val="19"/>
        <w:pageBreakBefore w:val="0"/>
        <w:wordWrap/>
        <w:bidi w:val="0"/>
        <w:adjustRightInd w:val="0"/>
        <w:spacing w:after="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（1）在满足工艺技术要求的前提下，优先选用低噪声、振动小的设备，从设备本身降低噪声值；</w:t>
      </w:r>
    </w:p>
    <w:p>
      <w:pPr>
        <w:pStyle w:val="19"/>
        <w:pageBreakBefore w:val="0"/>
        <w:wordWrap/>
        <w:bidi w:val="0"/>
        <w:adjustRightInd w:val="0"/>
        <w:spacing w:after="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（2）在设计中合理布局，充分利用厂内建筑物的隔声作用，以减轻各类声源对周围环境的影响；</w:t>
      </w:r>
    </w:p>
    <w:p>
      <w:pPr>
        <w:pStyle w:val="19"/>
        <w:pageBreakBefore w:val="0"/>
        <w:wordWrap/>
        <w:bidi w:val="0"/>
        <w:adjustRightInd w:val="0"/>
        <w:spacing w:after="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（3）对出入场区车辆实行减速、禁鸣等管理措施，严禁汽车在</w:t>
      </w:r>
      <w:r>
        <w:rPr>
          <w:rFonts w:hint="default" w:ascii="Times New Roman" w:hAnsi="Times New Roman" w:cs="Times New Roman"/>
          <w:color w:val="auto"/>
          <w:highlight w:val="none"/>
          <w:lang w:eastAsia="zh-CN"/>
        </w:rPr>
        <w:t>场区</w:t>
      </w:r>
      <w:r>
        <w:rPr>
          <w:rFonts w:hint="default" w:ascii="Times New Roman" w:hAnsi="Times New Roman" w:cs="Times New Roman"/>
          <w:color w:val="auto"/>
          <w:highlight w:val="none"/>
        </w:rPr>
        <w:t>内鸣笛，货物运输车辆应配备低音喇叭，在</w:t>
      </w:r>
      <w:r>
        <w:rPr>
          <w:rFonts w:hint="default" w:ascii="Times New Roman" w:hAnsi="Times New Roman" w:cs="Times New Roman"/>
          <w:color w:val="auto"/>
          <w:highlight w:val="none"/>
          <w:lang w:eastAsia="zh-CN"/>
        </w:rPr>
        <w:t>场区</w:t>
      </w:r>
      <w:r>
        <w:rPr>
          <w:rFonts w:hint="default" w:ascii="Times New Roman" w:hAnsi="Times New Roman" w:cs="Times New Roman"/>
          <w:color w:val="auto"/>
          <w:highlight w:val="none"/>
        </w:rPr>
        <w:t>门前做到不鸣或少鸣笛，以减轻交通噪声对</w:t>
      </w:r>
      <w:r>
        <w:rPr>
          <w:rFonts w:hint="default" w:ascii="Times New Roman" w:hAnsi="Times New Roman" w:cs="Times New Roman"/>
          <w:color w:val="auto"/>
          <w:highlight w:val="none"/>
          <w:lang w:eastAsia="zh-CN"/>
        </w:rPr>
        <w:t>场区</w:t>
      </w:r>
      <w:r>
        <w:rPr>
          <w:rFonts w:hint="default" w:ascii="Times New Roman" w:hAnsi="Times New Roman" w:cs="Times New Roman"/>
          <w:color w:val="auto"/>
          <w:highlight w:val="none"/>
        </w:rPr>
        <w:t>及周围居民点的影响。</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养殖场饲料加工设备噪声源为一般性噪声设备，上述噪声治理措施均是成熟可靠的措施，只要严格管理、勤于维护，均可达到预期的治理效果。</w:t>
      </w:r>
    </w:p>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344" w:name="_Toc12433"/>
      <w:r>
        <w:rPr>
          <w:rFonts w:hint="default" w:ascii="Times New Roman" w:hAnsi="Times New Roman" w:cs="Times New Roman"/>
          <w:color w:val="auto"/>
          <w:highlight w:val="none"/>
          <w:lang w:val="en-US" w:eastAsia="zh-CN"/>
        </w:rPr>
        <w:t>固体废物</w:t>
      </w:r>
      <w:r>
        <w:rPr>
          <w:rFonts w:hint="default" w:ascii="Times New Roman" w:hAnsi="Times New Roman" w:cs="Times New Roman"/>
          <w:color w:val="auto"/>
          <w:highlight w:val="none"/>
        </w:rPr>
        <w:t>处理处置措施可行性分析</w:t>
      </w:r>
      <w:bookmarkEnd w:id="344"/>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本项目产生的固体废物主要有</w:t>
      </w:r>
      <w:r>
        <w:rPr>
          <w:rFonts w:hint="default" w:ascii="Times New Roman" w:hAnsi="Times New Roman" w:eastAsia="宋体" w:cs="Times New Roman"/>
          <w:color w:val="auto"/>
          <w:highlight w:val="none"/>
          <w:lang w:val="en-US" w:eastAsia="zh-CN"/>
        </w:rPr>
        <w:t>粪污</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医疗</w:t>
      </w:r>
      <w:r>
        <w:rPr>
          <w:rFonts w:hint="default" w:ascii="Times New Roman" w:hAnsi="Times New Roman" w:eastAsia="宋体" w:cs="Times New Roman"/>
          <w:color w:val="auto"/>
          <w:highlight w:val="none"/>
        </w:rPr>
        <w:t>废物</w:t>
      </w:r>
      <w:r>
        <w:rPr>
          <w:rFonts w:hint="default" w:ascii="Times New Roman" w:hAnsi="Times New Roman" w:eastAsia="宋体" w:cs="Times New Roman"/>
          <w:color w:val="auto"/>
          <w:highlight w:val="none"/>
          <w:lang w:eastAsia="zh-CN"/>
        </w:rPr>
        <w:t>、病死牛尸、</w:t>
      </w:r>
      <w:r>
        <w:rPr>
          <w:rFonts w:hint="default" w:ascii="Times New Roman" w:hAnsi="Times New Roman" w:eastAsia="宋体" w:cs="Times New Roman"/>
          <w:color w:val="auto"/>
          <w:highlight w:val="none"/>
        </w:rPr>
        <w:t>生活垃圾和</w:t>
      </w:r>
      <w:r>
        <w:rPr>
          <w:rFonts w:hint="default" w:ascii="Times New Roman" w:hAnsi="Times New Roman" w:eastAsia="宋体" w:cs="Times New Roman"/>
          <w:color w:val="auto"/>
          <w:highlight w:val="none"/>
          <w:lang w:val="en-US" w:eastAsia="zh-CN"/>
        </w:rPr>
        <w:t>布袋除尘收集的粉尘</w:t>
      </w:r>
      <w:r>
        <w:rPr>
          <w:rFonts w:hint="default" w:ascii="Times New Roman" w:hAnsi="Times New Roman" w:eastAsia="宋体" w:cs="Times New Roman"/>
          <w:color w:val="auto"/>
          <w:highlight w:val="none"/>
        </w:rPr>
        <w:t>。</w:t>
      </w:r>
    </w:p>
    <w:p>
      <w:pPr>
        <w:pStyle w:val="6"/>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lang w:val="en-US" w:eastAsia="zh-CN"/>
        </w:rPr>
      </w:pPr>
      <w:bookmarkStart w:id="345" w:name="_Toc229909590"/>
      <w:r>
        <w:rPr>
          <w:rFonts w:hint="default" w:ascii="Times New Roman" w:hAnsi="Times New Roman" w:eastAsia="宋体" w:cs="Times New Roman"/>
          <w:color w:val="auto"/>
          <w:highlight w:val="none"/>
          <w:lang w:val="en-US" w:eastAsia="zh-CN"/>
        </w:rPr>
        <w:t>固体废物治理措施可行性</w:t>
      </w:r>
    </w:p>
    <w:p>
      <w:pPr>
        <w:keepNext w:val="0"/>
        <w:keepLines w:val="0"/>
        <w:pageBreakBefore w:val="0"/>
        <w:widowControl w:val="0"/>
        <w:kinsoku/>
        <w:wordWrap/>
        <w:overflowPunct/>
        <w:topLinePunct w:val="0"/>
        <w:autoSpaceDE/>
        <w:autoSpaceDN/>
        <w:bidi w:val="0"/>
        <w:adjustRightInd w:val="0"/>
        <w:snapToGrid w:val="0"/>
        <w:ind w:left="0" w:leftChars="0" w:right="0" w:rightChars="0" w:firstLine="48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cs="Times New Roman"/>
          <w:color w:val="auto"/>
          <w:kern w:val="0"/>
          <w:sz w:val="24"/>
          <w:szCs w:val="24"/>
          <w:highlight w:val="none"/>
          <w:lang w:val="en-US" w:eastAsia="zh-CN" w:bidi="ar"/>
        </w:rPr>
        <w:t>根据《排污许可证申请与核发技术规范 工业固体废物（试行）》（HJ 1200</w:t>
      </w:r>
      <w:r>
        <w:rPr>
          <w:rFonts w:hint="eastAsia"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2021）中相关要求，</w:t>
      </w:r>
      <w:r>
        <w:rPr>
          <w:rFonts w:hint="default" w:ascii="Times New Roman" w:hAnsi="Times New Roman" w:eastAsia="宋体" w:cs="Times New Roman"/>
          <w:color w:val="auto"/>
          <w:kern w:val="0"/>
          <w:sz w:val="24"/>
          <w:szCs w:val="24"/>
          <w:highlight w:val="none"/>
          <w:lang w:val="en-US" w:eastAsia="zh-CN" w:bidi="ar"/>
        </w:rPr>
        <w:t>本项目采用干清粪工艺，粪污日产日清，</w:t>
      </w:r>
      <w:r>
        <w:rPr>
          <w:rFonts w:hint="eastAsia" w:cs="Times New Roman"/>
          <w:color w:val="auto"/>
          <w:kern w:val="0"/>
          <w:sz w:val="24"/>
          <w:szCs w:val="24"/>
          <w:highlight w:val="none"/>
          <w:lang w:val="en-US" w:eastAsia="zh-CN" w:bidi="ar"/>
        </w:rPr>
        <w:t>垫料半年一换，</w:t>
      </w:r>
      <w:r>
        <w:rPr>
          <w:rFonts w:hint="default" w:ascii="Times New Roman" w:hAnsi="Times New Roman" w:eastAsia="宋体" w:cs="Times New Roman"/>
          <w:color w:val="auto"/>
          <w:kern w:val="0"/>
          <w:sz w:val="24"/>
          <w:szCs w:val="24"/>
          <w:highlight w:val="none"/>
          <w:lang w:val="en-US" w:eastAsia="zh-CN" w:bidi="ar"/>
        </w:rPr>
        <w:t>由清粪车清理至堆粪场，经好氧发酵后</w:t>
      </w:r>
      <w:r>
        <w:rPr>
          <w:rFonts w:hint="eastAsia" w:cs="Times New Roman"/>
          <w:color w:val="auto"/>
          <w:kern w:val="0"/>
          <w:sz w:val="24"/>
          <w:szCs w:val="24"/>
          <w:highlight w:val="none"/>
          <w:lang w:val="en-US" w:eastAsia="zh-CN" w:bidi="ar"/>
        </w:rPr>
        <w:t>用于垫料及还田利用</w:t>
      </w:r>
      <w:r>
        <w:rPr>
          <w:rFonts w:hint="default" w:ascii="Times New Roman" w:hAnsi="Times New Roman" w:eastAsia="宋体" w:cs="Times New Roman"/>
          <w:color w:val="auto"/>
          <w:kern w:val="0"/>
          <w:sz w:val="24"/>
          <w:szCs w:val="24"/>
          <w:highlight w:val="none"/>
          <w:lang w:val="en-US" w:eastAsia="zh-CN" w:bidi="ar"/>
        </w:rPr>
        <w:t>；项目医疗废物采用专用容器收集，暂存于场区</w:t>
      </w:r>
      <w:r>
        <w:rPr>
          <w:rFonts w:hint="default" w:ascii="Times New Roman" w:hAnsi="Times New Roman" w:cs="Times New Roman"/>
          <w:color w:val="auto"/>
          <w:kern w:val="0"/>
          <w:sz w:val="24"/>
          <w:szCs w:val="24"/>
          <w:highlight w:val="none"/>
          <w:lang w:val="en-US" w:eastAsia="zh-CN" w:bidi="ar"/>
        </w:rPr>
        <w:t>医疗废物暂存间</w:t>
      </w:r>
      <w:r>
        <w:rPr>
          <w:rFonts w:hint="default" w:ascii="Times New Roman" w:hAnsi="Times New Roman" w:eastAsia="宋体" w:cs="Times New Roman"/>
          <w:color w:val="auto"/>
          <w:kern w:val="0"/>
          <w:sz w:val="24"/>
          <w:szCs w:val="24"/>
          <w:highlight w:val="none"/>
          <w:lang w:val="en-US" w:eastAsia="zh-CN" w:bidi="ar"/>
        </w:rPr>
        <w:t>内，定期交有资质单位处置；</w:t>
      </w:r>
      <w:r>
        <w:rPr>
          <w:rFonts w:hint="default" w:ascii="Times New Roman" w:hAnsi="Times New Roman" w:eastAsia="宋体" w:cs="Times New Roman"/>
          <w:color w:val="auto"/>
          <w:kern w:val="2"/>
          <w:sz w:val="24"/>
          <w:szCs w:val="24"/>
          <w:highlight w:val="none"/>
          <w:lang w:val="en-US" w:eastAsia="zh-CN" w:bidi="ar-SA"/>
        </w:rPr>
        <w:t>病死牛尸体</w:t>
      </w:r>
      <w:r>
        <w:rPr>
          <w:rFonts w:hint="default" w:ascii="Times New Roman" w:hAnsi="Times New Roman" w:eastAsia="宋体" w:cs="Times New Roman"/>
          <w:color w:val="auto"/>
          <w:highlight w:val="none"/>
        </w:rPr>
        <w:t>由</w:t>
      </w:r>
      <w:r>
        <w:rPr>
          <w:rFonts w:hint="default" w:ascii="Times New Roman" w:hAnsi="Times New Roman" w:cs="Times New Roman"/>
          <w:color w:val="auto"/>
          <w:highlight w:val="none"/>
          <w:lang w:val="en-US" w:eastAsia="zh-CN"/>
        </w:rPr>
        <w:t>安全填埋井填埋</w:t>
      </w:r>
      <w:r>
        <w:rPr>
          <w:rFonts w:hint="default" w:ascii="Times New Roman" w:hAnsi="Times New Roman" w:eastAsia="宋体" w:cs="Times New Roman"/>
          <w:color w:val="auto"/>
          <w:kern w:val="0"/>
          <w:sz w:val="24"/>
          <w:szCs w:val="24"/>
          <w:highlight w:val="none"/>
          <w:lang w:val="en-US" w:eastAsia="zh-CN" w:bidi="ar"/>
        </w:rPr>
        <w:t>；生活垃圾由环卫部门统一收集处置；布袋除尘收集的粉尘作为饲料用于饲养。</w:t>
      </w:r>
    </w:p>
    <w:p>
      <w:pPr>
        <w:pStyle w:val="17"/>
        <w:pageBreakBefore w:val="0"/>
        <w:wordWrap/>
        <w:bidi w:val="0"/>
        <w:adjustRightInd w:val="0"/>
        <w:ind w:left="0" w:leftChars="0" w:right="0" w:rightChars="0"/>
        <w:jc w:val="left"/>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固体废物均得到综合利用或妥善处置，措施可行。</w:t>
      </w:r>
    </w:p>
    <w:p>
      <w:pPr>
        <w:pStyle w:val="6"/>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lang w:val="de-DE"/>
        </w:rPr>
      </w:pPr>
      <w:r>
        <w:rPr>
          <w:rFonts w:hint="default" w:ascii="Times New Roman" w:hAnsi="Times New Roman" w:eastAsia="宋体" w:cs="Times New Roman"/>
          <w:color w:val="auto"/>
          <w:highlight w:val="none"/>
          <w:lang w:val="de-DE"/>
        </w:rPr>
        <w:t>好氧堆肥场可容纳性分析</w:t>
      </w:r>
    </w:p>
    <w:p>
      <w:pPr>
        <w:rPr>
          <w:rFonts w:hint="default" w:ascii="Times New Roman" w:hAnsi="Times New Roman" w:cs="Times New Roman"/>
          <w:color w:val="auto"/>
          <w:highlight w:val="none"/>
          <w:lang w:val="de-DE"/>
        </w:rPr>
      </w:pPr>
      <w:r>
        <w:rPr>
          <w:rFonts w:hint="default" w:ascii="Times New Roman" w:hAnsi="Times New Roman" w:cs="Times New Roman"/>
          <w:color w:val="auto"/>
          <w:highlight w:val="none"/>
          <w:lang w:val="de-DE"/>
        </w:rPr>
        <w:t>本项目按照《畜禽养殖业污染防治技术规范》（HJ/T81-2001）</w:t>
      </w:r>
      <w:r>
        <w:rPr>
          <w:rFonts w:hint="default" w:ascii="Times New Roman" w:hAnsi="Times New Roman" w:cs="Times New Roman"/>
          <w:color w:val="auto"/>
          <w:highlight w:val="none"/>
        </w:rPr>
        <w:t>《粪便无害化卫生要求》（GB7959-2012）</w:t>
      </w:r>
      <w:r>
        <w:rPr>
          <w:rFonts w:hint="default" w:ascii="Times New Roman" w:hAnsi="Times New Roman" w:cs="Times New Roman"/>
          <w:color w:val="auto"/>
          <w:highlight w:val="none"/>
          <w:lang w:val="de-DE"/>
        </w:rPr>
        <w:t>及《畜禽养殖业污染治理工程技术规范》（HJ497-2009）要求，规范化建设堆粪场，进行发酵处置，发酵过程温度控制在55～65℃，且持续时间不得少于5天，最高温度不宜超过75℃，必须有防渗漏、溢流、防雨、防风措施，在底部设计管道。堆粪场地的设计满足下列规定：</w:t>
      </w:r>
    </w:p>
    <w:p>
      <w:pPr>
        <w:pageBreakBefore w:val="0"/>
        <w:wordWrap/>
        <w:bidi w:val="0"/>
        <w:adjustRightInd w:val="0"/>
        <w:ind w:left="0" w:leftChars="0" w:right="0" w:rightChars="0"/>
        <w:rPr>
          <w:rFonts w:hint="default" w:ascii="Times New Roman" w:hAnsi="Times New Roman" w:cs="Times New Roman"/>
          <w:color w:val="auto"/>
          <w:highlight w:val="none"/>
          <w:lang w:val="de-DE"/>
        </w:rPr>
      </w:pPr>
      <w:r>
        <w:rPr>
          <w:rFonts w:hint="default" w:ascii="Times New Roman" w:hAnsi="Times New Roman" w:cs="Times New Roman"/>
          <w:color w:val="auto"/>
          <w:highlight w:val="none"/>
          <w:lang w:val="de-DE"/>
        </w:rPr>
        <w:t>① 贮存设施的位置必须远离各类功能地表水体（距离不得小于400米），并应设在养殖场生产及生活管理区的常年主导风向的下风向或侧风向处。</w:t>
      </w:r>
    </w:p>
    <w:p>
      <w:pPr>
        <w:pageBreakBefore w:val="0"/>
        <w:wordWrap/>
        <w:bidi w:val="0"/>
        <w:adjustRightInd w:val="0"/>
        <w:ind w:left="0" w:leftChars="0" w:right="0" w:rightChars="0"/>
        <w:rPr>
          <w:rFonts w:hint="default" w:ascii="Times New Roman" w:hAnsi="Times New Roman" w:cs="Times New Roman"/>
          <w:color w:val="auto"/>
          <w:highlight w:val="yellow"/>
          <w:lang w:val="de-DE"/>
        </w:rPr>
      </w:pPr>
      <w:r>
        <w:rPr>
          <w:rFonts w:hint="default" w:ascii="Times New Roman" w:hAnsi="Times New Roman" w:cs="Times New Roman"/>
          <w:color w:val="auto"/>
          <w:highlight w:val="none"/>
          <w:lang w:val="de-DE"/>
        </w:rPr>
        <w:t>② 对于种养结合的养殖场，畜禽粪便贮存设施的总容积不得低于当地农作物生产用肥的最大间隔。本项目堆肥后的粪污用于还田施肥，及时拉走还田不占用堆粪场，实现滚动式循环。本项目</w:t>
      </w:r>
      <w:r>
        <w:rPr>
          <w:rFonts w:hint="default" w:ascii="Times New Roman" w:hAnsi="Times New Roman" w:cs="Times New Roman"/>
          <w:color w:val="auto"/>
          <w:highlight w:val="none"/>
          <w:lang w:val="en-US" w:eastAsia="zh-CN"/>
        </w:rPr>
        <w:t>堆肥</w:t>
      </w:r>
      <w:r>
        <w:rPr>
          <w:rFonts w:hint="default" w:ascii="Times New Roman" w:hAnsi="Times New Roman" w:cs="Times New Roman"/>
          <w:color w:val="auto"/>
          <w:highlight w:val="none"/>
          <w:lang w:val="de-DE"/>
        </w:rPr>
        <w:t>后</w:t>
      </w:r>
      <w:r>
        <w:rPr>
          <w:rFonts w:hint="eastAsia" w:cs="Times New Roman"/>
          <w:color w:val="auto"/>
          <w:highlight w:val="none"/>
          <w:lang w:val="de-DE" w:eastAsia="zh-CN"/>
        </w:rPr>
        <w:t>有机肥产生量</w:t>
      </w:r>
      <w:r>
        <w:rPr>
          <w:rFonts w:hint="default" w:ascii="Times New Roman" w:hAnsi="Times New Roman" w:cs="Times New Roman"/>
          <w:color w:val="auto"/>
          <w:highlight w:val="none"/>
          <w:lang w:val="de-DE"/>
        </w:rPr>
        <w:t>为</w:t>
      </w:r>
      <w:r>
        <w:rPr>
          <w:rFonts w:hint="default" w:ascii="Times New Roman" w:hAnsi="Times New Roman" w:cs="Times New Roman"/>
          <w:color w:val="auto"/>
          <w:highlight w:val="none"/>
          <w:lang w:val="en-US" w:eastAsia="zh-CN"/>
        </w:rPr>
        <w:t>7507.32</w:t>
      </w:r>
      <w:r>
        <w:rPr>
          <w:rFonts w:hint="default" w:ascii="Times New Roman" w:hAnsi="Times New Roman" w:cs="Times New Roman"/>
          <w:color w:val="auto"/>
          <w:highlight w:val="none"/>
          <w:lang w:val="de-DE"/>
        </w:rPr>
        <w:t>t/a</w:t>
      </w:r>
      <w:r>
        <w:rPr>
          <w:rFonts w:hint="default" w:ascii="Times New Roman" w:hAnsi="Times New Roman" w:cs="Times New Roman"/>
          <w:color w:val="auto"/>
          <w:highlight w:val="none"/>
          <w:lang w:val="de-DE" w:eastAsia="zh-CN"/>
        </w:rPr>
        <w:t>，</w:t>
      </w:r>
      <w:r>
        <w:rPr>
          <w:rFonts w:hint="default" w:ascii="Times New Roman" w:hAnsi="Times New Roman" w:cs="Times New Roman"/>
          <w:color w:val="auto"/>
          <w:highlight w:val="none"/>
          <w:lang w:val="de-DE"/>
        </w:rPr>
        <w:t>新建一座</w:t>
      </w:r>
      <w:r>
        <w:rPr>
          <w:rFonts w:hint="default" w:ascii="Times New Roman" w:hAnsi="Times New Roman" w:cs="Times New Roman"/>
          <w:color w:val="auto"/>
          <w:highlight w:val="none"/>
          <w:lang w:val="en-US" w:eastAsia="zh-CN"/>
        </w:rPr>
        <w:t>3000</w:t>
      </w:r>
      <w:r>
        <w:rPr>
          <w:rFonts w:hint="default" w:ascii="Times New Roman" w:hAnsi="Times New Roman" w:cs="Times New Roman"/>
          <w:color w:val="auto"/>
          <w:highlight w:val="none"/>
          <w:lang w:val="de-DE"/>
        </w:rPr>
        <w:t>m</w:t>
      </w:r>
      <w:r>
        <w:rPr>
          <w:rFonts w:hint="eastAsia" w:cs="Times New Roman"/>
          <w:color w:val="auto"/>
          <w:highlight w:val="none"/>
          <w:vertAlign w:val="superscript"/>
          <w:lang w:val="en-US" w:eastAsia="zh-CN"/>
        </w:rPr>
        <w:t>2</w:t>
      </w:r>
      <w:r>
        <w:rPr>
          <w:rFonts w:hint="default" w:ascii="Times New Roman" w:hAnsi="Times New Roman" w:cs="Times New Roman"/>
          <w:color w:val="auto"/>
          <w:highlight w:val="none"/>
          <w:lang w:val="en-US" w:eastAsia="zh-CN"/>
        </w:rPr>
        <w:t>混凝土</w:t>
      </w:r>
      <w:r>
        <w:rPr>
          <w:rFonts w:hint="default" w:ascii="Times New Roman" w:hAnsi="Times New Roman" w:cs="Times New Roman"/>
          <w:color w:val="auto"/>
          <w:highlight w:val="none"/>
          <w:lang w:val="de-DE"/>
        </w:rPr>
        <w:t>结构</w:t>
      </w:r>
      <w:r>
        <w:rPr>
          <w:rFonts w:hint="default" w:ascii="Times New Roman" w:hAnsi="Times New Roman" w:cs="Times New Roman"/>
          <w:color w:val="auto"/>
          <w:highlight w:val="none"/>
          <w:lang w:val="de-DE" w:eastAsia="zh-CN"/>
        </w:rPr>
        <w:t>堆粪场</w:t>
      </w:r>
      <w:r>
        <w:rPr>
          <w:rFonts w:hint="default" w:ascii="Times New Roman" w:hAnsi="Times New Roman" w:cs="Times New Roman"/>
          <w:color w:val="auto"/>
          <w:highlight w:val="none"/>
          <w:lang w:val="de-DE"/>
        </w:rPr>
        <w:t>进行堆肥处理，</w:t>
      </w:r>
      <w:r>
        <w:rPr>
          <w:rFonts w:ascii="Times New Roman" w:hAnsi="Times New Roman" w:eastAsia="宋体" w:cs="Times New Roman"/>
          <w:color w:val="auto"/>
          <w:sz w:val="24"/>
          <w:szCs w:val="24"/>
        </w:rPr>
        <w:t>牛粪堆放高度约2m</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rPr>
        <w:t>堆粪场最大存放量为</w:t>
      </w:r>
      <w:r>
        <w:rPr>
          <w:rFonts w:hint="eastAsia" w:ascii="Times New Roman" w:hAnsi="Times New Roman" w:eastAsia="宋体" w:cs="Times New Roman"/>
          <w:color w:val="auto"/>
          <w:sz w:val="24"/>
          <w:szCs w:val="24"/>
          <w:lang w:val="en-US" w:eastAsia="zh-CN"/>
        </w:rPr>
        <w:t>600</w:t>
      </w:r>
      <w:r>
        <w:rPr>
          <w:rFonts w:hint="eastAsia" w:ascii="Times New Roman" w:hAnsi="Times New Roman" w:eastAsia="宋体" w:cs="Times New Roman"/>
          <w:color w:val="auto"/>
          <w:sz w:val="24"/>
          <w:szCs w:val="24"/>
        </w:rPr>
        <w:t>0</w:t>
      </w:r>
      <w:r>
        <w:rPr>
          <w:rFonts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vertAlign w:val="baseline"/>
          <w:lang w:val="en-US" w:eastAsia="zh-CN"/>
        </w:rPr>
        <w:t>。项目所在区域冬季温度较低，以4个月计，约2502.44t粪污暂存于</w:t>
      </w:r>
      <w:r>
        <w:rPr>
          <w:rFonts w:hint="default" w:ascii="Times New Roman" w:hAnsi="Times New Roman" w:cs="Times New Roman"/>
          <w:color w:val="auto"/>
          <w:highlight w:val="none"/>
          <w:lang w:val="de-DE"/>
        </w:rPr>
        <w:t>堆粪场</w:t>
      </w:r>
      <w:r>
        <w:rPr>
          <w:rFonts w:hint="eastAsia" w:cs="Times New Roman"/>
          <w:color w:val="auto"/>
          <w:highlight w:val="none"/>
          <w:lang w:val="de-DE" w:eastAsia="zh-CN"/>
        </w:rPr>
        <w:t>，</w:t>
      </w:r>
      <w:r>
        <w:rPr>
          <w:rFonts w:hint="default" w:ascii="Times New Roman" w:hAnsi="Times New Roman" w:cs="Times New Roman"/>
          <w:color w:val="auto"/>
          <w:highlight w:val="none"/>
          <w:lang w:val="de-DE"/>
        </w:rPr>
        <w:t>堆粪场容积可以满足牛粪堆存要求。</w:t>
      </w:r>
    </w:p>
    <w:p>
      <w:pPr>
        <w:pageBreakBefore w:val="0"/>
        <w:wordWrap/>
        <w:bidi w:val="0"/>
        <w:adjustRightInd w:val="0"/>
        <w:ind w:left="0" w:leftChars="0" w:right="0" w:rightChars="0"/>
        <w:rPr>
          <w:rFonts w:hint="default" w:ascii="Times New Roman" w:hAnsi="Times New Roman" w:cs="Times New Roman"/>
          <w:color w:val="auto"/>
          <w:highlight w:val="none"/>
          <w:lang w:val="de-DE"/>
        </w:rPr>
      </w:pPr>
      <w:r>
        <w:rPr>
          <w:rFonts w:hint="default" w:ascii="Times New Roman" w:hAnsi="Times New Roman" w:cs="Times New Roman"/>
          <w:color w:val="auto"/>
          <w:highlight w:val="none"/>
          <w:lang w:val="de-DE"/>
        </w:rPr>
        <w:t>③ 采取防渗措施，不得对地下水造成污染。</w:t>
      </w:r>
    </w:p>
    <w:p>
      <w:pPr>
        <w:pageBreakBefore w:val="0"/>
        <w:wordWrap/>
        <w:bidi w:val="0"/>
        <w:adjustRightInd w:val="0"/>
        <w:ind w:left="0" w:leftChars="0" w:right="0" w:rightChars="0"/>
        <w:rPr>
          <w:rFonts w:hint="default" w:ascii="Times New Roman" w:hAnsi="Times New Roman" w:cs="Times New Roman"/>
          <w:color w:val="auto"/>
          <w:highlight w:val="none"/>
          <w:lang w:val="de-DE"/>
        </w:rPr>
      </w:pPr>
      <w:r>
        <w:rPr>
          <w:rFonts w:hint="default" w:ascii="Times New Roman" w:hAnsi="Times New Roman" w:cs="Times New Roman"/>
          <w:color w:val="auto"/>
          <w:highlight w:val="none"/>
          <w:lang w:val="de-DE"/>
        </w:rPr>
        <w:t xml:space="preserve">④ 配置防雨淋设施。 </w:t>
      </w:r>
    </w:p>
    <w:p>
      <w:pPr>
        <w:pStyle w:val="6"/>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lang w:val="de-DE"/>
        </w:rPr>
      </w:pPr>
      <w:r>
        <w:rPr>
          <w:rFonts w:hint="default" w:ascii="Times New Roman" w:hAnsi="Times New Roman" w:eastAsia="宋体" w:cs="Times New Roman"/>
          <w:color w:val="auto"/>
          <w:highlight w:val="none"/>
          <w:lang w:val="de-DE"/>
        </w:rPr>
        <w:t>好氧</w:t>
      </w:r>
      <w:r>
        <w:rPr>
          <w:rFonts w:hint="default" w:ascii="Times New Roman" w:hAnsi="Times New Roman" w:cs="Times New Roman"/>
          <w:color w:val="auto"/>
          <w:highlight w:val="none"/>
          <w:lang w:val="de-DE" w:eastAsia="zh-CN"/>
        </w:rPr>
        <w:t>堆粪场</w:t>
      </w:r>
      <w:r>
        <w:rPr>
          <w:rFonts w:hint="default" w:ascii="Times New Roman" w:hAnsi="Times New Roman" w:eastAsia="宋体" w:cs="Times New Roman"/>
          <w:color w:val="auto"/>
          <w:highlight w:val="none"/>
          <w:lang w:val="de-DE"/>
        </w:rPr>
        <w:t>达标性分析</w:t>
      </w:r>
    </w:p>
    <w:p>
      <w:pPr>
        <w:pageBreakBefore w:val="0"/>
        <w:wordWrap/>
        <w:bidi w:val="0"/>
        <w:adjustRightInd w:val="0"/>
        <w:spacing w:line="360" w:lineRule="auto"/>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项目根据《畜禽养殖业污染治理工程技术规范》（HJ 497</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rPr>
        <w:t>2009）</w:t>
      </w:r>
      <w:r>
        <w:rPr>
          <w:rFonts w:hint="eastAsia" w:ascii="Times New Roman" w:hAnsi="Times New Roman" w:cs="Times New Roman"/>
          <w:color w:val="auto"/>
          <w:highlight w:val="none"/>
          <w:lang w:eastAsia="zh-CN"/>
        </w:rPr>
        <w:t>、</w:t>
      </w:r>
      <w:r>
        <w:rPr>
          <w:rFonts w:hint="eastAsia"/>
          <w:color w:val="auto"/>
          <w:highlight w:val="none"/>
          <w:lang w:val="en-US" w:eastAsia="zh-CN"/>
        </w:rPr>
        <w:t>《规模畜禽养殖场污染防治最佳可行技术指南》（HJ-BAT-10）</w:t>
      </w:r>
      <w:r>
        <w:rPr>
          <w:rFonts w:hint="default" w:ascii="Times New Roman" w:hAnsi="Times New Roman" w:cs="Times New Roman"/>
          <w:color w:val="auto"/>
          <w:highlight w:val="none"/>
        </w:rPr>
        <w:t>要求方式进行堆肥，属于生物发酵法（堆肥）具有下述特点： </w:t>
      </w:r>
    </w:p>
    <w:p>
      <w:pPr>
        <w:pStyle w:val="121"/>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t>自身产生一定的热量，并且高温持续时间长，不需外加热源，即可达到无害化；</w:t>
      </w:r>
    </w:p>
    <w:p>
      <w:pPr>
        <w:pStyle w:val="121"/>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rPr>
        <w:t>使纤维素这种难于降解的物质分解，使堆肥物料有了较高程度的腐植化，提高有效养分；</w:t>
      </w:r>
    </w:p>
    <w:p>
      <w:pPr>
        <w:pStyle w:val="121"/>
        <w:pageBreakBefore w:val="0"/>
        <w:wordWrap/>
        <w:bidi w:val="0"/>
        <w:adjustRightInd w:val="0"/>
        <w:ind w:left="0" w:leftChars="0" w:right="0" w:rightChars="0" w:firstLine="480"/>
        <w:rPr>
          <w:rFonts w:hint="default" w:ascii="Times New Roman" w:hAnsi="Times New Roman" w:eastAsia="宋体" w:cs="Times New Roman"/>
          <w:color w:val="auto"/>
          <w:highlight w:val="none"/>
        </w:rPr>
      </w:pP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3）</w:t>
      </w:r>
      <w:r>
        <w:rPr>
          <w:rFonts w:hint="default" w:ascii="Times New Roman" w:hAnsi="Times New Roman" w:eastAsia="宋体" w:cs="Times New Roman"/>
          <w:color w:val="auto"/>
          <w:highlight w:val="none"/>
        </w:rPr>
        <w:t>基建费用低、容易管理、设备简单； </w:t>
      </w:r>
    </w:p>
    <w:p>
      <w:pPr>
        <w:pStyle w:val="121"/>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rPr>
        <w:t>产品</w:t>
      </w:r>
      <w:r>
        <w:rPr>
          <w:rFonts w:hint="eastAsia" w:ascii="Times New Roman" w:hAnsi="Times New Roman" w:cs="Times New Roman"/>
          <w:color w:val="auto"/>
          <w:highlight w:val="none"/>
          <w:lang w:val="en-US" w:eastAsia="zh-CN"/>
        </w:rPr>
        <w:t>无恶臭</w:t>
      </w:r>
      <w:r>
        <w:rPr>
          <w:rFonts w:hint="default" w:ascii="Times New Roman" w:hAnsi="Times New Roman" w:cs="Times New Roman"/>
          <w:color w:val="auto"/>
          <w:highlight w:val="none"/>
        </w:rPr>
        <w:t>、质地疏松、含水率低、容重小、便于运输施用和后续加工复合肥。</w:t>
      </w:r>
    </w:p>
    <w:p>
      <w:pPr>
        <w:pStyle w:val="121"/>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项目堆肥工艺属于《畜禽养殖业污染治理工程技术规范》（HJ 497</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rPr>
        <w:t>2009）推荐工艺，并严格按照该技术规范进行施工管理，因此项目堆肥可符合《畜禽养殖业污染物排放标准》（GB18596-2001）中表6及相关规定，措施可行。</w:t>
      </w:r>
    </w:p>
    <w:p>
      <w:pPr>
        <w:pStyle w:val="6"/>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lang w:val="de-DE" w:eastAsia="zh-CN"/>
        </w:rPr>
      </w:pPr>
      <w:r>
        <w:rPr>
          <w:rFonts w:hint="default" w:ascii="Times New Roman" w:hAnsi="Times New Roman" w:eastAsia="宋体" w:cs="Times New Roman"/>
          <w:color w:val="auto"/>
          <w:highlight w:val="none"/>
          <w:lang w:val="en-US" w:eastAsia="zh-CN"/>
        </w:rPr>
        <w:t>粪污</w:t>
      </w:r>
      <w:r>
        <w:rPr>
          <w:rFonts w:hint="default" w:ascii="Times New Roman" w:hAnsi="Times New Roman" w:eastAsia="宋体" w:cs="Times New Roman"/>
          <w:color w:val="auto"/>
          <w:highlight w:val="none"/>
          <w:lang w:val="de-DE" w:eastAsia="zh-CN"/>
        </w:rPr>
        <w:t>土地消纳可行性分析</w:t>
      </w:r>
    </w:p>
    <w:p>
      <w:pPr>
        <w:pageBreakBefore w:val="0"/>
        <w:wordWrap/>
        <w:bidi w:val="0"/>
        <w:adjustRightInd w:val="0"/>
        <w:ind w:left="0" w:leftChars="0" w:right="0" w:rightChars="0" w:firstLine="480"/>
        <w:rPr>
          <w:rFonts w:hint="default" w:ascii="Times New Roman" w:hAnsi="Times New Roman" w:cs="Times New Roman"/>
          <w:color w:val="auto"/>
          <w:szCs w:val="22"/>
          <w:highlight w:val="yellow"/>
          <w:lang w:val="en-US"/>
        </w:rPr>
      </w:pPr>
      <w:r>
        <w:rPr>
          <w:rFonts w:hint="default" w:ascii="Times New Roman" w:hAnsi="Times New Roman" w:cs="Times New Roman"/>
          <w:color w:val="auto"/>
          <w:szCs w:val="22"/>
          <w:highlight w:val="none"/>
        </w:rPr>
        <w:t>根据《畜禽粪污土地承载力测算技术指南》 （农业部办公厅，2018.1.15），对养殖小区及配套的消纳土地进行测算。</w:t>
      </w:r>
    </w:p>
    <w:p>
      <w:pPr>
        <w:pStyle w:val="116"/>
        <w:pageBreakBefore w:val="0"/>
        <w:wordWrap/>
        <w:bidi w:val="0"/>
        <w:adjustRightInd w:val="0"/>
        <w:spacing w:line="360" w:lineRule="auto"/>
        <w:ind w:left="0" w:leftChars="0" w:right="0" w:rightChars="0"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猪当量</w:t>
      </w:r>
    </w:p>
    <w:p>
      <w:pPr>
        <w:pStyle w:val="116"/>
        <w:pageBreakBefore w:val="0"/>
        <w:wordWrap/>
        <w:bidi w:val="0"/>
        <w:adjustRightInd w:val="0"/>
        <w:spacing w:line="360" w:lineRule="auto"/>
        <w:ind w:left="0" w:leftChars="0" w:right="0" w:rightChars="0" w:firstLine="480"/>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rPr>
        <w:t>指用于衡量畜禽氮（磷）排泄量的度量单位，1头猪为1个猪当量。根据《畜禽粪污土地承载力测算技术指南》，1</w:t>
      </w:r>
      <w:r>
        <w:rPr>
          <w:rFonts w:hint="default" w:ascii="Times New Roman" w:hAnsi="Times New Roman" w:cs="Times New Roman"/>
          <w:color w:val="auto"/>
          <w:sz w:val="24"/>
          <w:szCs w:val="24"/>
          <w:highlight w:val="none"/>
          <w:lang w:val="en-US" w:eastAsia="zh-CN"/>
        </w:rPr>
        <w:t>00</w:t>
      </w:r>
      <w:r>
        <w:rPr>
          <w:rFonts w:hint="default" w:ascii="Times New Roman" w:hAnsi="Times New Roman" w:cs="Times New Roman"/>
          <w:color w:val="auto"/>
          <w:sz w:val="24"/>
          <w:szCs w:val="24"/>
          <w:highlight w:val="none"/>
        </w:rPr>
        <w:t>头</w:t>
      </w:r>
      <w:r>
        <w:rPr>
          <w:rFonts w:hint="default" w:ascii="Times New Roman" w:hAnsi="Times New Roman" w:cs="Times New Roman"/>
          <w:color w:val="auto"/>
          <w:sz w:val="24"/>
          <w:szCs w:val="24"/>
          <w:highlight w:val="none"/>
          <w:lang w:eastAsia="zh-CN"/>
        </w:rPr>
        <w:t>猪</w:t>
      </w:r>
      <w:r>
        <w:rPr>
          <w:rFonts w:hint="default" w:ascii="Times New Roman" w:hAnsi="Times New Roman" w:cs="Times New Roman"/>
          <w:color w:val="auto"/>
          <w:sz w:val="24"/>
          <w:szCs w:val="24"/>
          <w:highlight w:val="none"/>
        </w:rPr>
        <w:t>折算</w:t>
      </w:r>
      <w:r>
        <w:rPr>
          <w:rFonts w:hint="default" w:ascii="Times New Roman" w:hAnsi="Times New Roman" w:cs="Times New Roman"/>
          <w:color w:val="auto"/>
          <w:sz w:val="24"/>
          <w:szCs w:val="24"/>
          <w:highlight w:val="none"/>
          <w:lang w:val="en-US" w:eastAsia="zh-CN"/>
        </w:rPr>
        <w:t>15</w:t>
      </w:r>
      <w:r>
        <w:rPr>
          <w:rFonts w:hint="default" w:ascii="Times New Roman" w:hAnsi="Times New Roman" w:cs="Times New Roman"/>
          <w:color w:val="auto"/>
          <w:sz w:val="24"/>
          <w:szCs w:val="24"/>
          <w:highlight w:val="none"/>
        </w:rPr>
        <w:t>头</w:t>
      </w:r>
      <w:r>
        <w:rPr>
          <w:rFonts w:hint="default" w:ascii="Times New Roman" w:hAnsi="Times New Roman" w:cs="Times New Roman"/>
          <w:color w:val="auto"/>
          <w:sz w:val="24"/>
          <w:szCs w:val="24"/>
          <w:highlight w:val="none"/>
          <w:lang w:eastAsia="zh-CN"/>
        </w:rPr>
        <w:t>奶牛</w:t>
      </w:r>
      <w:r>
        <w:rPr>
          <w:rFonts w:hint="default" w:ascii="Times New Roman" w:hAnsi="Times New Roman" w:eastAsia="宋体" w:cs="Times New Roman"/>
          <w:color w:val="auto"/>
          <w:sz w:val="24"/>
          <w:szCs w:val="24"/>
          <w:highlight w:val="none"/>
        </w:rPr>
        <w:t>，建</w:t>
      </w:r>
      <w:r>
        <w:rPr>
          <w:rFonts w:hint="default" w:ascii="Times New Roman" w:hAnsi="Times New Roman" w:cs="Times New Roman"/>
          <w:color w:val="auto"/>
          <w:sz w:val="24"/>
          <w:szCs w:val="24"/>
          <w:highlight w:val="none"/>
          <w:lang w:eastAsia="zh-CN"/>
        </w:rPr>
        <w:t>成</w:t>
      </w:r>
      <w:r>
        <w:rPr>
          <w:rFonts w:hint="default" w:ascii="Times New Roman" w:hAnsi="Times New Roman" w:eastAsia="宋体" w:cs="Times New Roman"/>
          <w:color w:val="auto"/>
          <w:sz w:val="24"/>
          <w:szCs w:val="24"/>
          <w:highlight w:val="none"/>
        </w:rPr>
        <w:t>后</w:t>
      </w:r>
      <w:r>
        <w:rPr>
          <w:rFonts w:hint="default" w:ascii="Times New Roman" w:hAnsi="Times New Roman" w:cs="Times New Roman"/>
          <w:color w:val="auto"/>
          <w:sz w:val="24"/>
          <w:szCs w:val="24"/>
          <w:highlight w:val="none"/>
          <w:lang w:eastAsia="zh-CN"/>
        </w:rPr>
        <w:t>奶牛</w:t>
      </w:r>
      <w:r>
        <w:rPr>
          <w:rFonts w:hint="default" w:ascii="Times New Roman" w:hAnsi="Times New Roman" w:eastAsia="宋体" w:cs="Times New Roman"/>
          <w:color w:val="auto"/>
          <w:sz w:val="24"/>
          <w:szCs w:val="24"/>
          <w:highlight w:val="none"/>
        </w:rPr>
        <w:t>存栏量为</w:t>
      </w:r>
      <w:r>
        <w:rPr>
          <w:rFonts w:hint="default" w:ascii="Times New Roman" w:hAnsi="Times New Roman" w:cs="Times New Roman"/>
          <w:color w:val="auto"/>
          <w:sz w:val="24"/>
          <w:szCs w:val="24"/>
          <w:highlight w:val="none"/>
          <w:lang w:val="en-US" w:eastAsia="zh-CN"/>
        </w:rPr>
        <w:t>3000</w:t>
      </w:r>
      <w:r>
        <w:rPr>
          <w:rFonts w:hint="default" w:ascii="Times New Roman" w:hAnsi="Times New Roman" w:eastAsia="宋体" w:cs="Times New Roman"/>
          <w:color w:val="auto"/>
          <w:sz w:val="24"/>
          <w:szCs w:val="24"/>
          <w:highlight w:val="none"/>
        </w:rPr>
        <w:t>头，折猪当量为</w:t>
      </w:r>
      <w:r>
        <w:rPr>
          <w:rFonts w:hint="default" w:ascii="Times New Roman" w:hAnsi="Times New Roman" w:cs="Times New Roman"/>
          <w:color w:val="auto"/>
          <w:sz w:val="24"/>
          <w:szCs w:val="24"/>
          <w:highlight w:val="none"/>
          <w:lang w:val="en-US" w:eastAsia="zh-CN"/>
        </w:rPr>
        <w:t>20000</w:t>
      </w:r>
      <w:r>
        <w:rPr>
          <w:rFonts w:hint="default" w:ascii="Times New Roman" w:hAnsi="Times New Roman" w:eastAsia="宋体" w:cs="Times New Roman"/>
          <w:color w:val="auto"/>
          <w:sz w:val="24"/>
          <w:szCs w:val="24"/>
          <w:highlight w:val="none"/>
        </w:rPr>
        <w:t>头。</w:t>
      </w:r>
    </w:p>
    <w:p>
      <w:pPr>
        <w:pStyle w:val="116"/>
        <w:pageBreakBefore w:val="0"/>
        <w:wordWrap/>
        <w:bidi w:val="0"/>
        <w:adjustRightInd w:val="0"/>
        <w:spacing w:line="360" w:lineRule="auto"/>
        <w:ind w:left="0" w:leftChars="0" w:right="0" w:rightChars="0"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测算原则</w:t>
      </w:r>
    </w:p>
    <w:p>
      <w:pPr>
        <w:pStyle w:val="116"/>
        <w:pageBreakBefore w:val="0"/>
        <w:wordWrap/>
        <w:bidi w:val="0"/>
        <w:adjustRightInd w:val="0"/>
        <w:spacing w:line="360" w:lineRule="auto"/>
        <w:ind w:left="0" w:leftChars="0" w:right="0" w:rightChars="0"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畜禽粪污土地承载力及规模养殖场配套土地面积测算以粪肥氮养分供给和植物氮养分需求为基础进行核算，对于设施蔬菜等作物为主或土壤本底值磷含量较高的特殊区域或农用地，可选择以磷为基础进行测算。畜禽粪肥养分需求量根据土壤肥力、作物类型和产量、粪肥施用比例等确定。畜禽粪肥养分供给量根据畜禽养殖量、粪污养分产生量、粪污收集处理方式等确定。</w:t>
      </w:r>
    </w:p>
    <w:p>
      <w:pPr>
        <w:pStyle w:val="116"/>
        <w:pageBreakBefore w:val="0"/>
        <w:wordWrap/>
        <w:bidi w:val="0"/>
        <w:adjustRightInd w:val="0"/>
        <w:spacing w:line="360" w:lineRule="auto"/>
        <w:ind w:left="0" w:leftChars="0" w:right="0" w:rightChars="0"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区域畜禽粪污土地承载力测算</w:t>
      </w:r>
    </w:p>
    <w:p>
      <w:pPr>
        <w:pStyle w:val="17"/>
        <w:pageBreakBefore w:val="0"/>
        <w:wordWrap/>
        <w:bidi w:val="0"/>
        <w:adjustRightInd w:val="0"/>
        <w:ind w:left="0" w:leftChars="0" w:right="0" w:rightChars="0"/>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1）区域植物养分需求量</w:t>
      </w:r>
    </w:p>
    <w:p>
      <w:pPr>
        <w:pStyle w:val="17"/>
        <w:pageBreakBefore w:val="0"/>
        <w:wordWrap/>
        <w:bidi w:val="0"/>
        <w:adjustRightInd w:val="0"/>
        <w:ind w:left="0" w:leftChars="0" w:right="0" w:rightChars="0"/>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根据区域内各类植物（包括作物、人工牧草、人工林地等）的氮（磷）养分需求量测算，计算方法如下：</w:t>
      </w:r>
    </w:p>
    <w:p>
      <w:pPr>
        <w:pStyle w:val="17"/>
        <w:pageBreakBefore w:val="0"/>
        <w:wordWrap/>
        <w:bidi w:val="0"/>
        <w:adjustRightInd w:val="0"/>
        <w:ind w:left="0" w:leftChars="0" w:right="0" w:rightChars="0" w:firstLine="0" w:firstLineChars="0"/>
        <w:jc w:val="center"/>
        <w:rPr>
          <w:rFonts w:hint="default" w:ascii="Times New Roman" w:hAnsi="Times New Roman" w:cs="Times New Roman"/>
          <w:color w:val="auto"/>
          <w:szCs w:val="22"/>
          <w:highlight w:val="none"/>
        </w:rPr>
      </w:pPr>
      <w:r>
        <w:rPr>
          <w:rFonts w:hint="default" w:ascii="Times New Roman" w:hAnsi="Times New Roman" w:cs="Times New Roman"/>
          <w:color w:val="auto"/>
          <w:highlight w:val="none"/>
        </w:rPr>
        <w:drawing>
          <wp:inline distT="0" distB="0" distL="114300" distR="114300">
            <wp:extent cx="5390515" cy="390525"/>
            <wp:effectExtent l="0" t="0" r="635" b="9525"/>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61"/>
                    <a:srcRect l="3371" r="3558" b="23404"/>
                    <a:stretch>
                      <a:fillRect/>
                    </a:stretch>
                  </pic:blipFill>
                  <pic:spPr>
                    <a:xfrm>
                      <a:off x="0" y="0"/>
                      <a:ext cx="5390515" cy="390525"/>
                    </a:xfrm>
                    <a:prstGeom prst="rect">
                      <a:avLst/>
                    </a:prstGeom>
                    <a:noFill/>
                    <a:ln>
                      <a:noFill/>
                    </a:ln>
                  </pic:spPr>
                </pic:pic>
              </a:graphicData>
            </a:graphic>
          </wp:inline>
        </w:drawing>
      </w:r>
    </w:p>
    <w:p>
      <w:pPr>
        <w:pStyle w:val="116"/>
        <w:pageBreakBefore w:val="0"/>
        <w:wordWrap/>
        <w:bidi w:val="0"/>
        <w:adjustRightInd w:val="0"/>
        <w:spacing w:line="360" w:lineRule="auto"/>
        <w:ind w:left="0" w:leftChars="0" w:right="0" w:rightChars="0"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根据《畜禽粪污土地承载力测算技术指南》附表，玉米产量为6t/</w:t>
      </w:r>
      <w:r>
        <w:rPr>
          <w:rFonts w:hint="default" w:ascii="Times New Roman" w:hAnsi="Times New Roman" w:cs="Times New Roman"/>
          <w:color w:val="auto"/>
          <w:sz w:val="24"/>
          <w:szCs w:val="24"/>
          <w:highlight w:val="none"/>
          <w:lang w:val="en-US" w:eastAsia="zh-CN"/>
        </w:rPr>
        <w:t>hm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rPr>
        <w:t>，苜蓿产量为</w:t>
      </w:r>
      <w:r>
        <w:rPr>
          <w:rFonts w:hint="default" w:ascii="Times New Roman" w:hAnsi="Times New Roman" w:cs="Times New Roman"/>
          <w:color w:val="auto"/>
          <w:sz w:val="24"/>
          <w:szCs w:val="24"/>
          <w:highlight w:val="none"/>
          <w:lang w:val="en-US" w:eastAsia="zh-CN"/>
        </w:rPr>
        <w:t>20</w:t>
      </w:r>
      <w:r>
        <w:rPr>
          <w:rFonts w:hint="default" w:ascii="Times New Roman" w:hAnsi="Times New Roman" w:cs="Times New Roman"/>
          <w:color w:val="auto"/>
          <w:sz w:val="24"/>
          <w:szCs w:val="24"/>
          <w:highlight w:val="none"/>
        </w:rPr>
        <w:t>t/</w:t>
      </w:r>
      <w:r>
        <w:rPr>
          <w:rFonts w:hint="default" w:ascii="Times New Roman" w:hAnsi="Times New Roman" w:cs="Times New Roman"/>
          <w:color w:val="auto"/>
          <w:sz w:val="24"/>
          <w:szCs w:val="24"/>
          <w:highlight w:val="none"/>
          <w:lang w:val="en-US" w:eastAsia="zh-CN"/>
        </w:rPr>
        <w:t>hm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vertAlign w:val="baseline"/>
          <w:lang w:val="en-US" w:eastAsia="zh-CN"/>
        </w:rPr>
        <w:t>。</w:t>
      </w:r>
    </w:p>
    <w:p>
      <w:pPr>
        <w:pStyle w:val="116"/>
        <w:pageBreakBefore w:val="0"/>
        <w:wordWrap/>
        <w:bidi w:val="0"/>
        <w:adjustRightInd w:val="0"/>
        <w:spacing w:line="360" w:lineRule="auto"/>
        <w:ind w:left="0" w:leftChars="0" w:right="0" w:rightChars="0"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每100kg产量苜蓿需要氮元素0.2kg，磷元素0.2kg，</w:t>
      </w:r>
    </w:p>
    <w:p>
      <w:pPr>
        <w:pStyle w:val="116"/>
        <w:pageBreakBefore w:val="0"/>
        <w:wordWrap/>
        <w:bidi w:val="0"/>
        <w:adjustRightInd w:val="0"/>
        <w:spacing w:line="360" w:lineRule="auto"/>
        <w:ind w:left="0" w:leftChars="0" w:right="0" w:rightChars="0"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每100kg产量玉米需要氮元素2.3kg，磷元素0.3kg。</w:t>
      </w:r>
    </w:p>
    <w:p>
      <w:pPr>
        <w:pStyle w:val="116"/>
        <w:pageBreakBefore w:val="0"/>
        <w:wordWrap/>
        <w:bidi w:val="0"/>
        <w:adjustRightInd w:val="0"/>
        <w:spacing w:line="360" w:lineRule="auto"/>
        <w:ind w:left="0" w:leftChars="0" w:right="0" w:rightChars="0"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区域植物粪肥养分需求量计算</w:t>
      </w:r>
    </w:p>
    <w:p>
      <w:pPr>
        <w:pStyle w:val="116"/>
        <w:pageBreakBefore w:val="0"/>
        <w:wordWrap/>
        <w:bidi w:val="0"/>
        <w:adjustRightInd w:val="0"/>
        <w:spacing w:line="360" w:lineRule="auto"/>
        <w:ind w:left="0" w:leftChars="0" w:right="0" w:rightChars="0"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根据不同土壤肥力下，区域内植物氮（磷）总养分需求量中需要施肥的比例、粪肥占施肥比例和粪肥当季利用效率测算，计算方法如下：</w:t>
      </w:r>
    </w:p>
    <w:p>
      <w:pPr>
        <w:pStyle w:val="116"/>
        <w:pageBreakBefore w:val="0"/>
        <w:wordWrap/>
        <w:bidi w:val="0"/>
        <w:adjustRightInd w:val="0"/>
        <w:spacing w:line="360" w:lineRule="auto"/>
        <w:ind w:left="0" w:leftChars="0" w:right="0" w:rightChars="0"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highlight w:val="none"/>
        </w:rPr>
        <w:drawing>
          <wp:inline distT="0" distB="0" distL="114300" distR="114300">
            <wp:extent cx="5658485" cy="409575"/>
            <wp:effectExtent l="0" t="0" r="18415" b="9525"/>
            <wp:docPr id="4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
                    <pic:cNvPicPr>
                      <a:picLocks noChangeAspect="1"/>
                    </pic:cNvPicPr>
                  </pic:nvPicPr>
                  <pic:blipFill>
                    <a:blip r:embed="rId62"/>
                    <a:stretch>
                      <a:fillRect/>
                    </a:stretch>
                  </pic:blipFill>
                  <pic:spPr>
                    <a:xfrm>
                      <a:off x="0" y="0"/>
                      <a:ext cx="5658485" cy="409575"/>
                    </a:xfrm>
                    <a:prstGeom prst="rect">
                      <a:avLst/>
                    </a:prstGeom>
                    <a:noFill/>
                    <a:ln>
                      <a:noFill/>
                    </a:ln>
                  </pic:spPr>
                </pic:pic>
              </a:graphicData>
            </a:graphic>
          </wp:inline>
        </w:drawing>
      </w:r>
    </w:p>
    <w:p>
      <w:pPr>
        <w:pStyle w:val="116"/>
        <w:pageBreakBefore w:val="0"/>
        <w:wordWrap/>
        <w:bidi w:val="0"/>
        <w:adjustRightInd w:val="0"/>
        <w:spacing w:line="360" w:lineRule="auto"/>
        <w:ind w:left="0" w:leftChars="0" w:right="0" w:rightChars="0"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氮（磷）施肥供给养分占比根据土壤氮（磷）养分确定，土壤不同氮磷养分水平下的施肥供给养分占比取</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5%。粪肥占施肥比例为1。粪肥中氮素当季利用率取值范围推荐值为25%～30%，本项目取2</w:t>
      </w:r>
      <w:r>
        <w:rPr>
          <w:rFonts w:hint="default" w:ascii="Times New Roman" w:hAnsi="Times New Roman" w:cs="Times New Roman"/>
          <w:color w:val="auto"/>
          <w:sz w:val="24"/>
          <w:szCs w:val="24"/>
          <w:highlight w:val="none"/>
          <w:lang w:val="en-US" w:eastAsia="zh-CN"/>
        </w:rPr>
        <w:t>7.</w:t>
      </w:r>
      <w:r>
        <w:rPr>
          <w:rFonts w:hint="default" w:ascii="Times New Roman" w:hAnsi="Times New Roman" w:cs="Times New Roman"/>
          <w:color w:val="auto"/>
          <w:sz w:val="24"/>
          <w:szCs w:val="24"/>
          <w:highlight w:val="none"/>
        </w:rPr>
        <w:t>5%，磷素当季利用率取值范围推荐值为30%～35%，本项目取3</w:t>
      </w:r>
      <w:r>
        <w:rPr>
          <w:rFonts w:hint="default" w:ascii="Times New Roman" w:hAnsi="Times New Roman" w:cs="Times New Roman"/>
          <w:color w:val="auto"/>
          <w:sz w:val="24"/>
          <w:szCs w:val="24"/>
          <w:highlight w:val="none"/>
          <w:lang w:val="en-US" w:eastAsia="zh-CN"/>
        </w:rPr>
        <w:t>2.5</w:t>
      </w:r>
      <w:r>
        <w:rPr>
          <w:rFonts w:hint="default" w:ascii="Times New Roman" w:hAnsi="Times New Roman" w:cs="Times New Roman"/>
          <w:color w:val="auto"/>
          <w:sz w:val="24"/>
          <w:szCs w:val="24"/>
          <w:highlight w:val="none"/>
        </w:rPr>
        <w:t>%。</w:t>
      </w:r>
    </w:p>
    <w:p>
      <w:pPr>
        <w:pStyle w:val="116"/>
        <w:pageBreakBefore w:val="0"/>
        <w:wordWrap/>
        <w:bidi w:val="0"/>
        <w:adjustRightInd w:val="0"/>
        <w:spacing w:line="360" w:lineRule="auto"/>
        <w:ind w:left="0" w:leftChars="0" w:right="0" w:rightChars="0"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单位猪当量粪肥养分供给量</w:t>
      </w:r>
    </w:p>
    <w:p>
      <w:pPr>
        <w:pStyle w:val="116"/>
        <w:pageBreakBefore w:val="0"/>
        <w:wordWrap/>
        <w:bidi w:val="0"/>
        <w:adjustRightInd w:val="0"/>
        <w:spacing w:line="360" w:lineRule="auto"/>
        <w:ind w:left="0" w:leftChars="0" w:right="0" w:rightChars="0"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综合考虑畜禽粪污养分在收集、处理和贮存过程中的损失，单位猪当量氮养分供给量为7.0kg，磷养分供给量为1.2kg。</w:t>
      </w:r>
    </w:p>
    <w:p>
      <w:pPr>
        <w:pStyle w:val="116"/>
        <w:pageBreakBefore w:val="0"/>
        <w:wordWrap/>
        <w:bidi w:val="0"/>
        <w:adjustRightInd w:val="0"/>
        <w:spacing w:line="360" w:lineRule="auto"/>
        <w:ind w:left="0" w:leftChars="0" w:right="0" w:rightChars="0" w:firstLine="480"/>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单位猪当量粪肥氮养分供给量</w:t>
      </w:r>
      <w:r>
        <w:rPr>
          <w:rFonts w:hint="default" w:ascii="Times New Roman" w:hAnsi="Times New Roman" w:cs="Times New Roman"/>
          <w:color w:val="auto"/>
          <w:sz w:val="24"/>
          <w:szCs w:val="24"/>
          <w:highlight w:val="none"/>
          <w:lang w:val="en-US" w:eastAsia="zh-CN"/>
        </w:rPr>
        <w:t>为140</w:t>
      </w:r>
      <w:r>
        <w:rPr>
          <w:rFonts w:hint="default" w:ascii="Times New Roman" w:hAnsi="Times New Roman" w:cs="Times New Roman"/>
          <w:color w:val="auto"/>
          <w:sz w:val="24"/>
          <w:szCs w:val="24"/>
          <w:highlight w:val="none"/>
        </w:rPr>
        <w:t>t</w:t>
      </w:r>
      <w:r>
        <w:rPr>
          <w:rFonts w:hint="default" w:ascii="Times New Roman" w:hAnsi="Times New Roman" w:cs="Times New Roman"/>
          <w:color w:val="auto"/>
          <w:sz w:val="24"/>
          <w:szCs w:val="24"/>
          <w:highlight w:val="none"/>
          <w:lang w:eastAsia="zh-CN"/>
        </w:rPr>
        <w:t>。</w:t>
      </w:r>
    </w:p>
    <w:p>
      <w:pPr>
        <w:pStyle w:val="116"/>
        <w:pageBreakBefore w:val="0"/>
        <w:wordWrap/>
        <w:bidi w:val="0"/>
        <w:adjustRightInd w:val="0"/>
        <w:spacing w:line="360" w:lineRule="auto"/>
        <w:ind w:left="0" w:leftChars="0" w:right="0" w:rightChars="0" w:firstLine="480"/>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单位猪当量粪肥磷养分供给量</w:t>
      </w:r>
      <w:r>
        <w:rPr>
          <w:rFonts w:hint="default" w:ascii="Times New Roman" w:hAnsi="Times New Roman" w:cs="Times New Roman"/>
          <w:color w:val="auto"/>
          <w:sz w:val="24"/>
          <w:szCs w:val="24"/>
          <w:highlight w:val="none"/>
          <w:lang w:val="en-US" w:eastAsia="zh-CN"/>
        </w:rPr>
        <w:t>为24</w:t>
      </w:r>
      <w:r>
        <w:rPr>
          <w:rFonts w:hint="default" w:ascii="Times New Roman" w:hAnsi="Times New Roman" w:cs="Times New Roman"/>
          <w:color w:val="auto"/>
          <w:sz w:val="24"/>
          <w:szCs w:val="24"/>
          <w:highlight w:val="none"/>
        </w:rPr>
        <w:t>t</w:t>
      </w:r>
      <w:r>
        <w:rPr>
          <w:rFonts w:hint="default" w:ascii="Times New Roman" w:hAnsi="Times New Roman" w:cs="Times New Roman"/>
          <w:color w:val="auto"/>
          <w:sz w:val="24"/>
          <w:szCs w:val="24"/>
          <w:highlight w:val="none"/>
          <w:lang w:eastAsia="zh-CN"/>
        </w:rPr>
        <w:t>。</w:t>
      </w:r>
    </w:p>
    <w:p>
      <w:pPr>
        <w:pStyle w:val="116"/>
        <w:pageBreakBefore w:val="0"/>
        <w:wordWrap/>
        <w:bidi w:val="0"/>
        <w:adjustRightInd w:val="0"/>
        <w:spacing w:line="360" w:lineRule="auto"/>
        <w:ind w:left="0" w:leftChars="0" w:right="0" w:rightChars="0" w:firstLine="480"/>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rPr>
        <w:t>本项目粪肥氮养分供给量为</w:t>
      </w:r>
      <w:r>
        <w:rPr>
          <w:rFonts w:hint="default" w:ascii="Times New Roman" w:hAnsi="Times New Roman" w:cs="Times New Roman"/>
          <w:color w:val="auto"/>
          <w:sz w:val="24"/>
          <w:szCs w:val="24"/>
          <w:highlight w:val="none"/>
          <w:lang w:val="en-US" w:eastAsia="zh-CN"/>
        </w:rPr>
        <w:t>140</w:t>
      </w:r>
      <w:r>
        <w:rPr>
          <w:rFonts w:hint="default" w:ascii="Times New Roman" w:hAnsi="Times New Roman" w:eastAsia="宋体" w:cs="Times New Roman"/>
          <w:color w:val="auto"/>
          <w:sz w:val="24"/>
          <w:szCs w:val="24"/>
          <w:highlight w:val="none"/>
        </w:rPr>
        <w:t>t，磷养分供给量为</w:t>
      </w:r>
      <w:r>
        <w:rPr>
          <w:rFonts w:hint="default" w:ascii="Times New Roman" w:hAnsi="Times New Roman"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rPr>
        <w:t>t，</w:t>
      </w:r>
      <w:r>
        <w:rPr>
          <w:rFonts w:hint="default" w:ascii="Times New Roman" w:hAnsi="Times New Roman" w:cs="Times New Roman"/>
          <w:color w:val="auto"/>
          <w:sz w:val="24"/>
          <w:szCs w:val="24"/>
          <w:highlight w:val="none"/>
          <w:lang w:val="en-US" w:eastAsia="zh-CN"/>
        </w:rPr>
        <w:t>可供应3720t玉米</w:t>
      </w:r>
      <w:r>
        <w:rPr>
          <w:rFonts w:hint="default" w:ascii="Times New Roman" w:hAnsi="Times New Roman" w:cs="Times New Roman"/>
          <w:color w:val="auto"/>
          <w:sz w:val="24"/>
          <w:szCs w:val="24"/>
          <w:highlight w:val="none"/>
        </w:rPr>
        <w:t>需要氮</w:t>
      </w:r>
      <w:r>
        <w:rPr>
          <w:rFonts w:hint="default" w:ascii="Times New Roman" w:hAnsi="Times New Roman" w:cs="Times New Roman"/>
          <w:color w:val="auto"/>
          <w:sz w:val="24"/>
          <w:szCs w:val="24"/>
          <w:highlight w:val="none"/>
          <w:lang w:val="en-US" w:eastAsia="zh-CN"/>
        </w:rPr>
        <w:t>元素，5778t玉米</w:t>
      </w:r>
      <w:r>
        <w:rPr>
          <w:rFonts w:hint="default" w:ascii="Times New Roman" w:hAnsi="Times New Roman" w:cs="Times New Roman"/>
          <w:color w:val="auto"/>
          <w:sz w:val="24"/>
          <w:szCs w:val="24"/>
          <w:highlight w:val="none"/>
        </w:rPr>
        <w:t>需要</w:t>
      </w:r>
      <w:r>
        <w:rPr>
          <w:rFonts w:hint="default" w:ascii="Times New Roman" w:hAnsi="Times New Roman" w:cs="Times New Roman"/>
          <w:color w:val="auto"/>
          <w:sz w:val="24"/>
          <w:szCs w:val="24"/>
          <w:highlight w:val="none"/>
          <w:lang w:val="en-US" w:eastAsia="zh-CN"/>
        </w:rPr>
        <w:t>磷元素</w:t>
      </w:r>
      <w:r>
        <w:rPr>
          <w:rFonts w:hint="eastAsia" w:cs="Times New Roman"/>
          <w:color w:val="auto"/>
          <w:sz w:val="24"/>
          <w:szCs w:val="24"/>
          <w:highlight w:val="none"/>
          <w:lang w:val="en-US" w:eastAsia="zh-CN"/>
        </w:rPr>
        <w:t>，即可供应963</w:t>
      </w:r>
      <w:r>
        <w:rPr>
          <w:rFonts w:hint="default" w:ascii="Times New Roman" w:hAnsi="Times New Roman" w:cs="Times New Roman"/>
          <w:color w:val="auto"/>
          <w:sz w:val="24"/>
          <w:szCs w:val="24"/>
          <w:highlight w:val="none"/>
          <w:lang w:val="en-US" w:eastAsia="zh-CN"/>
        </w:rPr>
        <w:t>hm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vertAlign w:val="baseline"/>
          <w:lang w:val="en-US" w:eastAsia="zh-CN"/>
        </w:rPr>
        <w:t>玉米</w:t>
      </w:r>
      <w:r>
        <w:rPr>
          <w:rFonts w:hint="eastAsia" w:ascii="Times New Roman" w:hAnsi="Times New Roman" w:cs="Times New Roman"/>
          <w:color w:val="auto"/>
          <w:sz w:val="24"/>
          <w:szCs w:val="24"/>
          <w:highlight w:val="none"/>
          <w:vertAlign w:val="baseline"/>
          <w:lang w:val="en-US" w:eastAsia="zh-CN"/>
        </w:rPr>
        <w:t>田所需养分</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根据建设单位资料，</w:t>
      </w:r>
      <w:r>
        <w:rPr>
          <w:rFonts w:hint="default" w:ascii="Times New Roman" w:hAnsi="Times New Roman" w:cs="Times New Roman"/>
          <w:color w:val="auto"/>
          <w:sz w:val="24"/>
          <w:szCs w:val="24"/>
          <w:highlight w:val="none"/>
          <w:lang w:val="en-US" w:eastAsia="zh-CN"/>
        </w:rPr>
        <w:t>本项目</w:t>
      </w:r>
      <w:r>
        <w:rPr>
          <w:rFonts w:hint="eastAsia" w:ascii="Times New Roman" w:hAnsi="Times New Roman" w:cs="Times New Roman"/>
          <w:color w:val="auto"/>
          <w:sz w:val="24"/>
          <w:szCs w:val="24"/>
          <w:highlight w:val="none"/>
          <w:lang w:val="en-US" w:eastAsia="zh-CN"/>
        </w:rPr>
        <w:t>周边</w:t>
      </w:r>
      <w:r>
        <w:rPr>
          <w:rFonts w:hint="eastAsia" w:cs="Times New Roman"/>
          <w:color w:val="auto"/>
          <w:sz w:val="24"/>
          <w:szCs w:val="24"/>
          <w:highlight w:val="none"/>
          <w:vertAlign w:val="baseline"/>
          <w:lang w:val="en-US" w:eastAsia="zh-CN"/>
        </w:rPr>
        <w:t>共有玉米田30万余亩，</w:t>
      </w:r>
      <w:r>
        <w:rPr>
          <w:rFonts w:hint="default" w:ascii="Times New Roman" w:hAnsi="Times New Roman" w:cs="Times New Roman"/>
          <w:color w:val="auto"/>
          <w:sz w:val="24"/>
          <w:szCs w:val="24"/>
          <w:highlight w:val="none"/>
          <w:lang w:val="en-US" w:eastAsia="zh-CN"/>
        </w:rPr>
        <w:t>配套供应</w:t>
      </w:r>
      <w:r>
        <w:rPr>
          <w:rFonts w:hint="eastAsia" w:cs="Times New Roman"/>
          <w:color w:val="auto"/>
          <w:sz w:val="24"/>
          <w:szCs w:val="24"/>
          <w:highlight w:val="none"/>
          <w:lang w:val="en-US" w:eastAsia="zh-CN"/>
        </w:rPr>
        <w:t>的</w:t>
      </w:r>
      <w:r>
        <w:rPr>
          <w:rFonts w:hint="eastAsia" w:cs="Times New Roman"/>
          <w:color w:val="auto"/>
          <w:sz w:val="24"/>
          <w:szCs w:val="24"/>
          <w:highlight w:val="none"/>
          <w:vertAlign w:val="baseline"/>
          <w:lang w:val="en-US" w:eastAsia="zh-CN"/>
        </w:rPr>
        <w:t>玉米田位于本项目西南方向6km处，本项目</w:t>
      </w:r>
      <w:r>
        <w:rPr>
          <w:rFonts w:hint="default" w:ascii="Times New Roman" w:hAnsi="Times New Roman" w:cs="Times New Roman"/>
          <w:color w:val="auto"/>
          <w:sz w:val="24"/>
          <w:szCs w:val="24"/>
          <w:highlight w:val="none"/>
          <w:lang w:val="en-US" w:eastAsia="zh-CN"/>
        </w:rPr>
        <w:t>产生的粪污配套供应9</w:t>
      </w:r>
      <w:r>
        <w:rPr>
          <w:rFonts w:hint="eastAsia" w:cs="Times New Roman"/>
          <w:color w:val="auto"/>
          <w:sz w:val="24"/>
          <w:szCs w:val="24"/>
          <w:highlight w:val="none"/>
          <w:lang w:val="en-US" w:eastAsia="zh-CN"/>
        </w:rPr>
        <w:t>70</w:t>
      </w:r>
      <w:r>
        <w:rPr>
          <w:rFonts w:hint="default" w:ascii="Times New Roman" w:hAnsi="Times New Roman" w:cs="Times New Roman"/>
          <w:color w:val="auto"/>
          <w:sz w:val="24"/>
          <w:szCs w:val="24"/>
          <w:highlight w:val="none"/>
          <w:lang w:val="en-US" w:eastAsia="zh-CN"/>
        </w:rPr>
        <w:t>hm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vertAlign w:val="baseline"/>
          <w:lang w:val="en-US" w:eastAsia="zh-CN"/>
        </w:rPr>
        <w:t>玉米田</w:t>
      </w:r>
      <w:r>
        <w:rPr>
          <w:rFonts w:hint="eastAsia" w:cs="Times New Roman"/>
          <w:color w:val="auto"/>
          <w:sz w:val="24"/>
          <w:szCs w:val="24"/>
          <w:highlight w:val="none"/>
          <w:vertAlign w:val="baseline"/>
          <w:lang w:val="en-US" w:eastAsia="zh-CN"/>
        </w:rPr>
        <w:t>，</w:t>
      </w:r>
      <w:r>
        <w:rPr>
          <w:rFonts w:hint="eastAsia" w:ascii="Times New Roman" w:hAnsi="Times New Roman" w:eastAsia="宋体" w:cs="Times New Roman"/>
          <w:color w:val="auto"/>
          <w:sz w:val="24"/>
          <w:szCs w:val="24"/>
          <w:highlight w:val="none"/>
          <w:lang w:val="en-US" w:eastAsia="zh-CN"/>
        </w:rPr>
        <w:t>可</w:t>
      </w:r>
      <w:r>
        <w:rPr>
          <w:rFonts w:hint="default" w:ascii="Times New Roman" w:hAnsi="Times New Roman" w:eastAsia="宋体" w:cs="Times New Roman"/>
          <w:color w:val="auto"/>
          <w:sz w:val="24"/>
          <w:szCs w:val="24"/>
          <w:highlight w:val="none"/>
        </w:rPr>
        <w:t>消纳</w:t>
      </w:r>
      <w:r>
        <w:rPr>
          <w:rFonts w:hint="eastAsia" w:ascii="Times New Roman" w:hAnsi="Times New Roman" w:eastAsia="宋体" w:cs="Times New Roman"/>
          <w:color w:val="auto"/>
          <w:sz w:val="24"/>
          <w:szCs w:val="24"/>
          <w:highlight w:val="none"/>
          <w:lang w:val="en-US" w:eastAsia="zh-CN"/>
        </w:rPr>
        <w:t>本项目产生的粪污</w:t>
      </w:r>
      <w:r>
        <w:rPr>
          <w:rFonts w:hint="default" w:ascii="Times New Roman" w:hAnsi="Times New Roman" w:eastAsia="宋体" w:cs="Times New Roman"/>
          <w:color w:val="auto"/>
          <w:sz w:val="24"/>
          <w:szCs w:val="24"/>
          <w:highlight w:val="none"/>
        </w:rPr>
        <w:t>。</w:t>
      </w:r>
    </w:p>
    <w:p>
      <w:pPr>
        <w:pStyle w:val="6"/>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lang w:val="de-DE"/>
        </w:rPr>
      </w:pPr>
      <w:r>
        <w:rPr>
          <w:rFonts w:hint="default" w:ascii="Times New Roman" w:hAnsi="Times New Roman" w:eastAsia="宋体" w:cs="Times New Roman"/>
          <w:color w:val="auto"/>
          <w:highlight w:val="none"/>
          <w:lang w:val="de-DE" w:eastAsia="zh-CN"/>
        </w:rPr>
        <w:t>医疗废物</w:t>
      </w:r>
    </w:p>
    <w:p>
      <w:pPr>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设置一间</w:t>
      </w:r>
      <w:r>
        <w:rPr>
          <w:rFonts w:hint="default" w:ascii="Times New Roman" w:hAnsi="Times New Roman" w:cs="Times New Roman"/>
          <w:color w:val="auto"/>
          <w:highlight w:val="none"/>
          <w:lang w:eastAsia="zh-CN"/>
        </w:rPr>
        <w:t>医疗废物暂存间</w:t>
      </w:r>
      <w:r>
        <w:rPr>
          <w:rFonts w:hint="default" w:ascii="Times New Roman" w:hAnsi="Times New Roman" w:cs="Times New Roman"/>
          <w:color w:val="auto"/>
          <w:highlight w:val="none"/>
        </w:rPr>
        <w:t>，存储收集后，定期交由有医疗废物处置资质的单位处理。</w:t>
      </w:r>
    </w:p>
    <w:p>
      <w:pPr>
        <w:pageBreakBefore w:val="0"/>
        <w:wordWrap/>
        <w:bidi w:val="0"/>
        <w:adjustRightInd w:val="0"/>
        <w:ind w:left="0" w:leftChars="0" w:right="0" w:right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rPr>
        <w:t>）医疗废物的收集</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对医疗固废采取了分类收集措施，使用专用垃圾箱（桶）、专用容器（不相容）。包装袋、容器符合《医疗废物专用包装袋、容器和警示标识标准》。</w:t>
      </w:r>
    </w:p>
    <w:p>
      <w:pPr>
        <w:pageBreakBefore w:val="0"/>
        <w:wordWrap/>
        <w:bidi w:val="0"/>
        <w:adjustRightInd w:val="0"/>
        <w:ind w:left="0" w:leftChars="0" w:right="0" w:right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2）医疗废物的储存</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医疗废物按照《医疗废物管理条例》（20</w:t>
      </w:r>
      <w:r>
        <w:rPr>
          <w:rFonts w:hint="default" w:ascii="Times New Roman" w:hAnsi="Times New Roman" w:cs="Times New Roman"/>
          <w:color w:val="auto"/>
          <w:highlight w:val="none"/>
          <w:lang w:val="en-US" w:eastAsia="zh-CN"/>
        </w:rPr>
        <w:t>11</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月</w:t>
      </w:r>
      <w:r>
        <w:rPr>
          <w:rFonts w:hint="default" w:ascii="Times New Roman" w:hAnsi="Times New Roman" w:cs="Times New Roman"/>
          <w:color w:val="auto"/>
          <w:highlight w:val="none"/>
          <w:lang w:val="en-US" w:eastAsia="zh-CN"/>
        </w:rPr>
        <w:t>18</w:t>
      </w:r>
      <w:r>
        <w:rPr>
          <w:rFonts w:hint="default" w:ascii="Times New Roman" w:hAnsi="Times New Roman" w:cs="Times New Roman"/>
          <w:color w:val="auto"/>
          <w:highlight w:val="none"/>
        </w:rPr>
        <w:t>日）和</w:t>
      </w:r>
      <w:r>
        <w:rPr>
          <w:rFonts w:hint="default" w:ascii="Times New Roman" w:hAnsi="Times New Roman" w:cs="Times New Roman"/>
          <w:color w:val="auto"/>
          <w:highlight w:val="none"/>
          <w:lang w:eastAsia="zh-CN"/>
        </w:rPr>
        <w:t>《危险废物贮存污染控制标准》（GB18597-2023）</w:t>
      </w:r>
      <w:r>
        <w:rPr>
          <w:rFonts w:hint="default" w:ascii="Times New Roman" w:hAnsi="Times New Roman" w:cs="Times New Roman"/>
          <w:color w:val="auto"/>
          <w:highlight w:val="none"/>
        </w:rPr>
        <w:t>中的相应要求进行收集、暂存，并交由有资质的单位处置。</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医疗废物暂存间</w:t>
      </w:r>
      <w:r>
        <w:rPr>
          <w:rFonts w:hint="default" w:ascii="Times New Roman" w:hAnsi="Times New Roman" w:cs="Times New Roman"/>
          <w:color w:val="auto"/>
          <w:highlight w:val="none"/>
        </w:rPr>
        <w:t>应满足以下要求：</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医疗废物必须当日消毒，消毒后装入容器，常温下贮存不得超过一天，于5℃以下冷藏的，不得超过</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天，夏季</w:t>
      </w:r>
      <w:r>
        <w:rPr>
          <w:rFonts w:hint="default" w:ascii="Times New Roman" w:hAnsi="Times New Roman" w:cs="Times New Roman"/>
          <w:color w:val="auto"/>
          <w:highlight w:val="none"/>
          <w:lang w:eastAsia="zh-CN"/>
        </w:rPr>
        <w:t>医疗废物</w:t>
      </w:r>
      <w:r>
        <w:rPr>
          <w:rFonts w:hint="default" w:ascii="Times New Roman" w:hAnsi="Times New Roman" w:cs="Times New Roman"/>
          <w:color w:val="auto"/>
          <w:highlight w:val="none"/>
        </w:rPr>
        <w:t>在常温下贮存期不得超过一天，冬季由于气温较低，低于摄氏5度以下冷藏的，</w:t>
      </w:r>
      <w:r>
        <w:rPr>
          <w:rFonts w:hint="default" w:ascii="Times New Roman" w:hAnsi="Times New Roman" w:cs="Times New Roman"/>
          <w:color w:val="auto"/>
          <w:highlight w:val="none"/>
          <w:lang w:eastAsia="zh-CN"/>
        </w:rPr>
        <w:t>医疗废物</w:t>
      </w:r>
      <w:r>
        <w:rPr>
          <w:rFonts w:hint="default" w:ascii="Times New Roman" w:hAnsi="Times New Roman" w:cs="Times New Roman"/>
          <w:color w:val="auto"/>
          <w:highlight w:val="none"/>
        </w:rPr>
        <w:t>最长储存时间不得超过2d，根据《医疗废物管理条例》要求，医疗废物经临时储存后交由有医疗废物处置资质的单位进行集中清运处理，要严格按照《医疗废弃物管理条例》要求，在医疗废弃物的管理上必须要有交接签字制度，医疗废物产生量必须要有登记，以避免医疗废弃物的流失。在医疗废弃物的处置方面还必须做到分类、消毒、专人管理。</w:t>
      </w:r>
    </w:p>
    <w:p>
      <w:pPr>
        <w:pageBreakBefore w:val="0"/>
        <w:wordWrap/>
        <w:bidi w:val="0"/>
        <w:adjustRightInd w:val="0"/>
        <w:ind w:left="0" w:leftChars="0" w:right="0" w:right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3）医疗废物的运输</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有医疗废物处置资质的单位派出专用运输车辆运输。转移过程应按《</w:t>
      </w:r>
      <w:r>
        <w:rPr>
          <w:rFonts w:hint="default" w:ascii="Times New Roman" w:hAnsi="Times New Roman" w:cs="Times New Roman"/>
          <w:color w:val="auto"/>
          <w:highlight w:val="none"/>
          <w:lang w:eastAsia="zh-CN"/>
        </w:rPr>
        <w:t>危险废物转移管理办法</w:t>
      </w:r>
      <w:r>
        <w:rPr>
          <w:rFonts w:hint="default" w:ascii="Times New Roman" w:hAnsi="Times New Roman" w:cs="Times New Roman"/>
          <w:color w:val="auto"/>
          <w:highlight w:val="none"/>
        </w:rPr>
        <w:t>》（生态环境部 公安部 交通运输部 部令 第23号）（</w:t>
      </w:r>
      <w:r>
        <w:rPr>
          <w:rFonts w:hint="default" w:ascii="Times New Roman" w:hAnsi="Times New Roman" w:cs="Times New Roman"/>
          <w:color w:val="auto"/>
          <w:highlight w:val="none"/>
          <w:lang w:val="en-US" w:eastAsia="zh-CN"/>
        </w:rPr>
        <w:t>2022</w:t>
      </w:r>
      <w:r>
        <w:rPr>
          <w:rFonts w:hint="default" w:ascii="Times New Roman" w:hAnsi="Times New Roman" w:cs="Times New Roman"/>
          <w:color w:val="auto"/>
          <w:highlight w:val="none"/>
        </w:rPr>
        <w:t>年1月1日施行）执行。</w:t>
      </w:r>
    </w:p>
    <w:p>
      <w:pPr>
        <w:pageBreakBefore w:val="0"/>
        <w:wordWrap/>
        <w:bidi w:val="0"/>
        <w:adjustRightInd w:val="0"/>
        <w:ind w:left="0" w:leftChars="0" w:right="0" w:right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4）危险废物的处置</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本项目的医疗废物经</w:t>
      </w:r>
      <w:r>
        <w:rPr>
          <w:rFonts w:hint="default" w:ascii="Times New Roman" w:hAnsi="Times New Roman" w:cs="Times New Roman"/>
          <w:color w:val="auto"/>
          <w:highlight w:val="none"/>
          <w:lang w:eastAsia="zh-CN"/>
        </w:rPr>
        <w:t>医疗废物暂存间</w:t>
      </w:r>
      <w:r>
        <w:rPr>
          <w:rFonts w:hint="default" w:ascii="Times New Roman" w:hAnsi="Times New Roman" w:cs="Times New Roman"/>
          <w:color w:val="auto"/>
          <w:highlight w:val="none"/>
        </w:rPr>
        <w:t>暂存后，定期交由有医疗废物处置资质的医疗废物处置中心进行处置。</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综上所述，建设项目产生的固废在按照有关环保要求妥善处置的前提下，对环境不会造成二次污染，处理措施可行。</w:t>
      </w:r>
    </w:p>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346" w:name="_Toc7316"/>
      <w:r>
        <w:rPr>
          <w:rFonts w:hint="default" w:ascii="Times New Roman" w:hAnsi="Times New Roman" w:cs="Times New Roman"/>
          <w:color w:val="auto"/>
          <w:highlight w:val="none"/>
        </w:rPr>
        <w:t>土壤污染防治措施</w:t>
      </w:r>
      <w:bookmarkEnd w:id="346"/>
    </w:p>
    <w:bookmarkEnd w:id="345"/>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default" w:ascii="Times New Roman" w:hAnsi="Times New Roman" w:cs="Times New Roman"/>
          <w:color w:val="auto"/>
          <w:sz w:val="24"/>
          <w:szCs w:val="24"/>
          <w:highlight w:val="none"/>
        </w:rPr>
      </w:pPr>
      <w:bookmarkStart w:id="347" w:name="_Toc26809"/>
      <w:bookmarkStart w:id="348" w:name="_Toc14710"/>
      <w:bookmarkStart w:id="349" w:name="_Toc8494"/>
      <w:bookmarkStart w:id="350" w:name="_Toc4135_WPSOffice_Level2"/>
      <w:bookmarkStart w:id="351" w:name="_Toc15171"/>
      <w:bookmarkStart w:id="352" w:name="_Toc521585898"/>
      <w:bookmarkStart w:id="353" w:name="_Toc11988"/>
      <w:bookmarkStart w:id="354" w:name="_Toc19392"/>
      <w:bookmarkStart w:id="355" w:name="_Toc435207089"/>
      <w:r>
        <w:rPr>
          <w:rFonts w:hint="default" w:ascii="Times New Roman" w:hAnsi="Times New Roman" w:cs="Times New Roman"/>
          <w:color w:val="auto"/>
          <w:sz w:val="24"/>
          <w:szCs w:val="24"/>
          <w:highlight w:val="none"/>
        </w:rPr>
        <w:t>严格执行分区防渗措施，对土壤环境的影响较小。</w:t>
      </w:r>
    </w:p>
    <w:p>
      <w:pPr>
        <w:pStyle w:val="4"/>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rPr>
      </w:pPr>
      <w:bookmarkStart w:id="356" w:name="_Toc19706"/>
      <w:bookmarkStart w:id="357" w:name="_Toc22899"/>
      <w:r>
        <w:rPr>
          <w:rFonts w:hint="default" w:ascii="Times New Roman" w:hAnsi="Times New Roman" w:eastAsia="宋体" w:cs="Times New Roman"/>
          <w:color w:val="auto"/>
          <w:highlight w:val="none"/>
        </w:rPr>
        <w:t>污染物总量控制</w:t>
      </w:r>
      <w:bookmarkEnd w:id="347"/>
      <w:bookmarkEnd w:id="348"/>
      <w:bookmarkEnd w:id="349"/>
      <w:bookmarkEnd w:id="350"/>
      <w:bookmarkEnd w:id="351"/>
      <w:bookmarkEnd w:id="352"/>
      <w:bookmarkEnd w:id="353"/>
      <w:bookmarkEnd w:id="354"/>
      <w:bookmarkEnd w:id="356"/>
      <w:bookmarkEnd w:id="357"/>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本项目建成投产后，</w:t>
      </w:r>
      <w:r>
        <w:rPr>
          <w:rFonts w:hint="default" w:ascii="Times New Roman" w:hAnsi="Times New Roman" w:cs="Times New Roman"/>
          <w:color w:val="auto"/>
          <w:highlight w:val="none"/>
          <w:lang w:eastAsia="zh-CN"/>
        </w:rPr>
        <w:t>采用干清粪工艺，每日进行圈舍</w:t>
      </w:r>
      <w:r>
        <w:rPr>
          <w:rFonts w:hint="default" w:ascii="Times New Roman" w:hAnsi="Times New Roman" w:cs="Times New Roman"/>
          <w:color w:val="auto"/>
          <w:highlight w:val="none"/>
          <w:lang w:val="en-US" w:eastAsia="zh-CN"/>
        </w:rPr>
        <w:t>粪污</w:t>
      </w:r>
      <w:r>
        <w:rPr>
          <w:rFonts w:hint="default" w:ascii="Times New Roman" w:hAnsi="Times New Roman" w:cs="Times New Roman"/>
          <w:color w:val="auto"/>
          <w:highlight w:val="none"/>
          <w:lang w:eastAsia="zh-CN"/>
        </w:rPr>
        <w:t>清除。</w:t>
      </w:r>
      <w:r>
        <w:rPr>
          <w:rFonts w:hint="eastAsia" w:cs="Times New Roman"/>
          <w:color w:val="auto"/>
          <w:kern w:val="0"/>
          <w:sz w:val="24"/>
          <w:szCs w:val="24"/>
          <w:highlight w:val="none"/>
          <w:lang w:val="en-US" w:eastAsia="zh-CN" w:bidi="ar"/>
        </w:rPr>
        <w:t>牛尿进入垫料中，</w:t>
      </w:r>
      <w:r>
        <w:rPr>
          <w:rFonts w:hint="default" w:ascii="Times New Roman" w:hAnsi="Times New Roman" w:eastAsia="宋体" w:cs="Times New Roman"/>
          <w:color w:val="auto"/>
          <w:kern w:val="0"/>
          <w:sz w:val="24"/>
          <w:szCs w:val="24"/>
          <w:highlight w:val="none"/>
          <w:lang w:val="en-US" w:eastAsia="zh-CN" w:bidi="ar"/>
        </w:rPr>
        <w:t>部分自然蒸发，剩余</w:t>
      </w:r>
      <w:r>
        <w:rPr>
          <w:rFonts w:hint="eastAsia" w:cs="Times New Roman"/>
          <w:color w:val="auto"/>
          <w:kern w:val="0"/>
          <w:sz w:val="24"/>
          <w:szCs w:val="24"/>
          <w:highlight w:val="none"/>
          <w:lang w:val="en-US" w:eastAsia="zh-CN" w:bidi="ar"/>
        </w:rPr>
        <w:t>部分与垫料</w:t>
      </w:r>
      <w:r>
        <w:rPr>
          <w:rFonts w:hint="default" w:ascii="Times New Roman" w:hAnsi="Times New Roman" w:eastAsia="宋体" w:cs="Times New Roman"/>
          <w:color w:val="auto"/>
          <w:kern w:val="0"/>
          <w:sz w:val="24"/>
          <w:szCs w:val="24"/>
          <w:highlight w:val="none"/>
          <w:lang w:val="en-US" w:eastAsia="zh-CN" w:bidi="ar"/>
        </w:rPr>
        <w:t>一起进入</w:t>
      </w:r>
      <w:r>
        <w:rPr>
          <w:rFonts w:hint="default" w:ascii="Times New Roman" w:hAnsi="Times New Roman" w:cs="Times New Roman"/>
          <w:color w:val="auto"/>
          <w:kern w:val="0"/>
          <w:sz w:val="24"/>
          <w:szCs w:val="24"/>
          <w:highlight w:val="none"/>
          <w:lang w:val="en-US" w:eastAsia="zh-CN" w:bidi="ar"/>
        </w:rPr>
        <w:t>堆粪场</w:t>
      </w:r>
      <w:r>
        <w:rPr>
          <w:rFonts w:hint="default" w:ascii="Times New Roman" w:hAnsi="Times New Roman" w:eastAsia="宋体" w:cs="Times New Roman"/>
          <w:color w:val="auto"/>
          <w:kern w:val="0"/>
          <w:sz w:val="24"/>
          <w:szCs w:val="24"/>
          <w:highlight w:val="none"/>
          <w:lang w:val="en-US" w:eastAsia="zh-CN" w:bidi="ar"/>
        </w:rPr>
        <w:t>，不外排</w:t>
      </w:r>
      <w:r>
        <w:rPr>
          <w:rFonts w:hint="default" w:ascii="Times New Roman" w:hAnsi="Times New Roman" w:cs="Times New Roman"/>
          <w:color w:val="auto"/>
          <w:highlight w:val="none"/>
        </w:rPr>
        <w:t>；</w:t>
      </w:r>
      <w:r>
        <w:rPr>
          <w:rFonts w:hint="eastAsia" w:cs="Times New Roman"/>
          <w:color w:val="auto"/>
          <w:highlight w:val="none"/>
          <w:lang w:eastAsia="zh-CN"/>
        </w:rPr>
        <w:t>挤奶厅设备和地面清洗废水</w:t>
      </w:r>
      <w:r>
        <w:rPr>
          <w:rFonts w:hint="default" w:ascii="Times New Roman" w:hAnsi="Times New Roman" w:cs="Times New Roman"/>
          <w:color w:val="auto"/>
          <w:highlight w:val="none"/>
          <w:lang w:eastAsia="zh-CN"/>
        </w:rPr>
        <w:t>及生活污水进入集污池收集后</w:t>
      </w:r>
      <w:r>
        <w:rPr>
          <w:rFonts w:hint="default" w:ascii="Times New Roman" w:hAnsi="Times New Roman" w:cs="Times New Roman"/>
          <w:color w:val="auto"/>
          <w:highlight w:val="none"/>
          <w:lang w:val="en-US" w:eastAsia="zh-CN"/>
        </w:rPr>
        <w:t>定期</w:t>
      </w:r>
      <w:r>
        <w:rPr>
          <w:rFonts w:hint="eastAsia" w:cs="Times New Roman"/>
          <w:color w:val="auto"/>
          <w:highlight w:val="none"/>
          <w:lang w:val="en-US" w:eastAsia="zh-CN"/>
        </w:rPr>
        <w:t>清掏拉运</w:t>
      </w:r>
      <w:r>
        <w:rPr>
          <w:rFonts w:hint="default" w:ascii="Times New Roman" w:hAnsi="Times New Roman" w:cs="Times New Roman"/>
          <w:color w:val="auto"/>
          <w:highlight w:val="none"/>
        </w:rPr>
        <w:t>。项目区养殖场臭气排放以无组织排放为主，不属于总量控制要求的大气污染物，因此，本项目无需申请污染物排放总量控制指标。</w:t>
      </w:r>
      <w:bookmarkEnd w:id="355"/>
    </w:p>
    <w:p>
      <w:pPr>
        <w:pageBreakBefore w:val="0"/>
        <w:tabs>
          <w:tab w:val="left" w:pos="750"/>
        </w:tabs>
        <w:wordWrap/>
        <w:bidi w:val="0"/>
        <w:adjustRightInd w:val="0"/>
        <w:ind w:left="0" w:leftChars="0" w:right="0" w:rightChars="0" w:firstLine="0" w:firstLineChars="0"/>
        <w:rPr>
          <w:rFonts w:hint="default" w:ascii="Times New Roman" w:hAnsi="Times New Roman" w:cs="Times New Roman"/>
          <w:color w:val="auto"/>
          <w:highlight w:val="yellow"/>
        </w:rPr>
        <w:sectPr>
          <w:pgSz w:w="11906" w:h="16838"/>
          <w:pgMar w:top="1440" w:right="1531"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3"/>
        <w:pageBreakBefore w:val="0"/>
        <w:wordWrap/>
        <w:bidi w:val="0"/>
        <w:adjustRightInd w:val="0"/>
        <w:ind w:left="0" w:leftChars="0" w:right="0" w:rightChars="0" w:hanging="432" w:firstLineChars="0"/>
        <w:rPr>
          <w:rFonts w:hint="default" w:ascii="Times New Roman" w:hAnsi="Times New Roman" w:cs="Times New Roman"/>
          <w:color w:val="auto"/>
          <w:highlight w:val="none"/>
        </w:rPr>
      </w:pPr>
      <w:bookmarkStart w:id="358" w:name="_Toc31614"/>
      <w:bookmarkStart w:id="359" w:name="_Toc15939"/>
      <w:bookmarkStart w:id="360" w:name="_Toc28328"/>
      <w:bookmarkStart w:id="361" w:name="_Toc12059"/>
      <w:r>
        <w:rPr>
          <w:rFonts w:hint="default" w:ascii="Times New Roman" w:hAnsi="Times New Roman" w:cs="Times New Roman"/>
          <w:color w:val="auto"/>
          <w:highlight w:val="none"/>
        </w:rPr>
        <w:t>环境影响经济损益分析</w:t>
      </w:r>
      <w:bookmarkEnd w:id="358"/>
      <w:bookmarkEnd w:id="359"/>
      <w:bookmarkEnd w:id="360"/>
      <w:bookmarkEnd w:id="361"/>
    </w:p>
    <w:p>
      <w:pPr>
        <w:pStyle w:val="4"/>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362" w:name="_Toc3448"/>
      <w:bookmarkStart w:id="363" w:name="_Toc518897992"/>
      <w:bookmarkStart w:id="364" w:name="_Toc32677"/>
      <w:bookmarkStart w:id="365" w:name="_Toc9126"/>
      <w:bookmarkStart w:id="366" w:name="_Toc19131"/>
      <w:bookmarkStart w:id="367" w:name="_Toc508818223"/>
      <w:bookmarkStart w:id="368" w:name="_Toc25330"/>
      <w:r>
        <w:rPr>
          <w:rFonts w:hint="default" w:ascii="Times New Roman" w:hAnsi="Times New Roman" w:cs="Times New Roman"/>
          <w:color w:val="auto"/>
          <w:highlight w:val="none"/>
        </w:rPr>
        <w:t>社会效益分析</w:t>
      </w:r>
      <w:bookmarkEnd w:id="362"/>
      <w:bookmarkEnd w:id="363"/>
      <w:bookmarkEnd w:id="364"/>
      <w:bookmarkEnd w:id="365"/>
      <w:bookmarkEnd w:id="366"/>
      <w:bookmarkEnd w:id="367"/>
      <w:bookmarkEnd w:id="368"/>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本项目符合国家产业政策，本项目引进国</w:t>
      </w:r>
      <w:r>
        <w:rPr>
          <w:rFonts w:hint="default" w:ascii="Times New Roman" w:hAnsi="Times New Roman" w:cs="Times New Roman"/>
          <w:color w:val="auto"/>
          <w:highlight w:val="none"/>
          <w:lang w:val="en-US" w:eastAsia="zh-CN"/>
        </w:rPr>
        <w:t>内</w:t>
      </w:r>
      <w:r>
        <w:rPr>
          <w:rFonts w:hint="default" w:ascii="Times New Roman" w:hAnsi="Times New Roman" w:cs="Times New Roman"/>
          <w:color w:val="auto"/>
          <w:highlight w:val="none"/>
        </w:rPr>
        <w:t>外先进模式和管理经验</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采用优良育肥</w:t>
      </w:r>
      <w:r>
        <w:rPr>
          <w:rFonts w:hint="default" w:ascii="Times New Roman" w:hAnsi="Times New Roman" w:cs="Times New Roman"/>
          <w:color w:val="auto"/>
          <w:highlight w:val="none"/>
          <w:lang w:eastAsia="zh-CN"/>
        </w:rPr>
        <w:t>奶牛</w:t>
      </w:r>
      <w:r>
        <w:rPr>
          <w:rFonts w:hint="default" w:ascii="Times New Roman" w:hAnsi="Times New Roman" w:cs="Times New Roman"/>
          <w:color w:val="auto"/>
          <w:highlight w:val="none"/>
        </w:rPr>
        <w:t>养殖</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对</w:t>
      </w:r>
      <w:r>
        <w:rPr>
          <w:rFonts w:hint="default" w:ascii="Times New Roman" w:hAnsi="Times New Roman" w:cs="Times New Roman"/>
          <w:color w:val="auto"/>
          <w:highlight w:val="none"/>
        </w:rPr>
        <w:t>推动</w:t>
      </w:r>
      <w:r>
        <w:rPr>
          <w:rFonts w:hint="eastAsia" w:cs="Times New Roman"/>
          <w:color w:val="auto"/>
          <w:highlight w:val="none"/>
          <w:lang w:val="en-US" w:eastAsia="zh-CN"/>
        </w:rPr>
        <w:t>塔城市</w:t>
      </w:r>
      <w:r>
        <w:rPr>
          <w:rFonts w:hint="default" w:ascii="Times New Roman" w:hAnsi="Times New Roman" w:cs="Times New Roman"/>
          <w:color w:val="auto"/>
          <w:highlight w:val="none"/>
        </w:rPr>
        <w:t>畜牧业等方面都具有重要意义。本项目的社会效益主要表现在：</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lang w:eastAsia="zh-CN"/>
        </w:rPr>
      </w:pPr>
      <w:bookmarkStart w:id="369" w:name="_Toc518897993"/>
      <w:bookmarkStart w:id="370" w:name="_Toc508818224"/>
      <w:bookmarkStart w:id="371" w:name="_Toc2835"/>
      <w:r>
        <w:rPr>
          <w:rFonts w:hint="default" w:ascii="Times New Roman" w:hAnsi="Times New Roman" w:eastAsia="宋体" w:cs="Times New Roman"/>
          <w:color w:val="auto"/>
          <w:highlight w:val="none"/>
          <w:lang w:eastAsia="zh-CN"/>
        </w:rPr>
        <w:t>（1）对当地主导产业发展和产业结构调整的影响</w:t>
      </w:r>
    </w:p>
    <w:p>
      <w:pPr>
        <w:pageBreakBefore w:val="0"/>
        <w:wordWrap/>
        <w:autoSpaceDE w:val="0"/>
        <w:autoSpaceDN w:val="0"/>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发展集约化规模</w:t>
      </w:r>
      <w:r>
        <w:rPr>
          <w:rFonts w:hint="default" w:ascii="Times New Roman" w:hAnsi="Times New Roman" w:cs="Times New Roman"/>
          <w:color w:val="auto"/>
          <w:highlight w:val="none"/>
          <w:lang w:eastAsia="zh-CN"/>
        </w:rPr>
        <w:t>奶牛</w:t>
      </w:r>
      <w:r>
        <w:rPr>
          <w:rFonts w:hint="default" w:ascii="Times New Roman" w:hAnsi="Times New Roman" w:cs="Times New Roman"/>
          <w:color w:val="auto"/>
          <w:highlight w:val="none"/>
        </w:rPr>
        <w:t>养殖，对养殖产业实现规模化、标准化、产业化将起到推动作用，进而改变农业生产的单一结构，逐步向生态、可持续农业方向发展。</w:t>
      </w:r>
    </w:p>
    <w:p>
      <w:pPr>
        <w:pageBreakBefore w:val="0"/>
        <w:wordWrap/>
        <w:autoSpaceDE w:val="0"/>
        <w:autoSpaceDN w:val="0"/>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项目建成后，为</w:t>
      </w:r>
      <w:r>
        <w:rPr>
          <w:rFonts w:hint="eastAsia" w:cs="Times New Roman"/>
          <w:color w:val="auto"/>
          <w:highlight w:val="none"/>
          <w:lang w:val="en-US" w:eastAsia="zh-CN"/>
        </w:rPr>
        <w:t>塔城市</w:t>
      </w:r>
      <w:r>
        <w:rPr>
          <w:rFonts w:hint="default" w:ascii="Times New Roman" w:hAnsi="Times New Roman" w:cs="Times New Roman"/>
          <w:color w:val="auto"/>
          <w:highlight w:val="none"/>
          <w:lang w:eastAsia="zh-CN"/>
        </w:rPr>
        <w:t>奶牛</w:t>
      </w:r>
      <w:r>
        <w:rPr>
          <w:rFonts w:hint="default" w:ascii="Times New Roman" w:hAnsi="Times New Roman" w:cs="Times New Roman"/>
          <w:color w:val="auto"/>
          <w:highlight w:val="none"/>
        </w:rPr>
        <w:t>养殖建设起到良好的示范和引带作用，使</w:t>
      </w:r>
      <w:r>
        <w:rPr>
          <w:rFonts w:hint="default" w:ascii="Times New Roman" w:hAnsi="Times New Roman" w:cs="Times New Roman"/>
          <w:color w:val="auto"/>
          <w:highlight w:val="none"/>
          <w:lang w:eastAsia="zh-CN"/>
        </w:rPr>
        <w:t>奶牛</w:t>
      </w:r>
      <w:r>
        <w:rPr>
          <w:rFonts w:hint="default" w:ascii="Times New Roman" w:hAnsi="Times New Roman" w:cs="Times New Roman"/>
          <w:color w:val="auto"/>
          <w:highlight w:val="none"/>
        </w:rPr>
        <w:t>规模化养殖迈上一个新的台阶。项目的建设和发展，可加快</w:t>
      </w:r>
      <w:r>
        <w:rPr>
          <w:rFonts w:hint="default" w:ascii="Times New Roman" w:hAnsi="Times New Roman" w:cs="Times New Roman"/>
          <w:color w:val="auto"/>
          <w:highlight w:val="none"/>
          <w:lang w:eastAsia="zh-CN"/>
        </w:rPr>
        <w:t>奶牛</w:t>
      </w:r>
      <w:r>
        <w:rPr>
          <w:rFonts w:hint="default" w:ascii="Times New Roman" w:hAnsi="Times New Roman" w:cs="Times New Roman"/>
          <w:color w:val="auto"/>
          <w:highlight w:val="none"/>
        </w:rPr>
        <w:t>散养密集区域的粗放散养模式向规模集约化经营转变进程，促进</w:t>
      </w:r>
      <w:r>
        <w:rPr>
          <w:rFonts w:hint="default" w:ascii="Times New Roman" w:hAnsi="Times New Roman" w:cs="Times New Roman"/>
          <w:color w:val="auto"/>
          <w:highlight w:val="none"/>
          <w:lang w:eastAsia="zh-CN"/>
        </w:rPr>
        <w:t>奶牛</w:t>
      </w:r>
      <w:r>
        <w:rPr>
          <w:rFonts w:hint="default" w:ascii="Times New Roman" w:hAnsi="Times New Roman" w:cs="Times New Roman"/>
          <w:color w:val="auto"/>
          <w:highlight w:val="none"/>
        </w:rPr>
        <w:t>饲养水平提档升级，为壮大</w:t>
      </w:r>
      <w:r>
        <w:rPr>
          <w:rFonts w:hint="default" w:ascii="Times New Roman" w:hAnsi="Times New Roman" w:cs="Times New Roman"/>
          <w:color w:val="auto"/>
          <w:highlight w:val="none"/>
          <w:lang w:eastAsia="zh-CN"/>
        </w:rPr>
        <w:t>奶牛</w:t>
      </w:r>
      <w:r>
        <w:rPr>
          <w:rFonts w:hint="default" w:ascii="Times New Roman" w:hAnsi="Times New Roman" w:cs="Times New Roman"/>
          <w:color w:val="auto"/>
          <w:highlight w:val="none"/>
        </w:rPr>
        <w:t>产业夯实基础。</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（2）带动农民增收效果分析</w:t>
      </w:r>
    </w:p>
    <w:p>
      <w:pPr>
        <w:pageBreakBefore w:val="0"/>
        <w:wordWrap/>
        <w:autoSpaceDE w:val="0"/>
        <w:autoSpaceDN w:val="0"/>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项目实施，因</w:t>
      </w:r>
      <w:r>
        <w:rPr>
          <w:rFonts w:hint="default" w:ascii="Times New Roman" w:hAnsi="Times New Roman" w:cs="Times New Roman"/>
          <w:color w:val="auto"/>
          <w:highlight w:val="none"/>
          <w:lang w:eastAsia="zh-CN"/>
        </w:rPr>
        <w:t>奶牛</w:t>
      </w:r>
      <w:r>
        <w:rPr>
          <w:rFonts w:hint="default" w:ascii="Times New Roman" w:hAnsi="Times New Roman" w:cs="Times New Roman"/>
          <w:color w:val="auto"/>
          <w:highlight w:val="none"/>
        </w:rPr>
        <w:t>的集约化养殖发展，对饲料的需求量增大，带动种植业的发展，农民可通过调整种植结构来增加收入。</w:t>
      </w:r>
      <w:r>
        <w:rPr>
          <w:rFonts w:hint="default" w:ascii="Times New Roman" w:hAnsi="Times New Roman" w:cs="Times New Roman"/>
          <w:color w:val="auto"/>
          <w:highlight w:val="none"/>
          <w:lang w:eastAsia="zh-CN"/>
        </w:rPr>
        <w:t>奶牛</w:t>
      </w:r>
      <w:r>
        <w:rPr>
          <w:rFonts w:hint="default" w:ascii="Times New Roman" w:hAnsi="Times New Roman" w:cs="Times New Roman"/>
          <w:color w:val="auto"/>
          <w:highlight w:val="none"/>
        </w:rPr>
        <w:t>养殖提供了标准化、规模化养殖模式，改善了</w:t>
      </w:r>
      <w:r>
        <w:rPr>
          <w:rFonts w:hint="default" w:ascii="Times New Roman" w:hAnsi="Times New Roman" w:cs="Times New Roman"/>
          <w:color w:val="auto"/>
          <w:highlight w:val="none"/>
          <w:lang w:eastAsia="zh-CN"/>
        </w:rPr>
        <w:t>奶牛</w:t>
      </w:r>
      <w:r>
        <w:rPr>
          <w:rFonts w:hint="default" w:ascii="Times New Roman" w:hAnsi="Times New Roman" w:cs="Times New Roman"/>
          <w:color w:val="auto"/>
          <w:highlight w:val="none"/>
        </w:rPr>
        <w:t>优良种群；促进</w:t>
      </w:r>
      <w:r>
        <w:rPr>
          <w:rFonts w:hint="default" w:ascii="Times New Roman" w:hAnsi="Times New Roman" w:cs="Times New Roman"/>
          <w:color w:val="auto"/>
          <w:highlight w:val="none"/>
          <w:lang w:eastAsia="zh-CN"/>
        </w:rPr>
        <w:t>奶牛</w:t>
      </w:r>
      <w:r>
        <w:rPr>
          <w:rFonts w:hint="default" w:ascii="Times New Roman" w:hAnsi="Times New Roman" w:cs="Times New Roman"/>
          <w:color w:val="auto"/>
          <w:highlight w:val="none"/>
        </w:rPr>
        <w:t>销售等综合服务业都协调发展，推进农业产业化、现代化进程；同时还可安排富余人员就业，必将促进社会稳定和经济的发展。项目达产后，通过</w:t>
      </w:r>
      <w:r>
        <w:rPr>
          <w:rFonts w:hint="default" w:ascii="Times New Roman" w:hAnsi="Times New Roman" w:cs="Times New Roman"/>
          <w:color w:val="auto"/>
          <w:highlight w:val="none"/>
          <w:lang w:eastAsia="zh-CN"/>
        </w:rPr>
        <w:t>生产废水</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粪污</w:t>
      </w:r>
      <w:r>
        <w:rPr>
          <w:rFonts w:hint="default" w:ascii="Times New Roman" w:hAnsi="Times New Roman" w:cs="Times New Roman"/>
          <w:color w:val="auto"/>
          <w:highlight w:val="none"/>
        </w:rPr>
        <w:t>的无害化、减量化处理，达到资源化利用，可有效提高区域农田生产能力，有着较大的社会效益，使农业生产步入生态循环轨道。</w:t>
      </w:r>
    </w:p>
    <w:p>
      <w:pPr>
        <w:pStyle w:val="4"/>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372" w:name="_Toc12294"/>
      <w:bookmarkStart w:id="373" w:name="_Toc12162"/>
      <w:bookmarkStart w:id="374" w:name="_Toc19276"/>
      <w:bookmarkStart w:id="375" w:name="_Toc131"/>
      <w:r>
        <w:rPr>
          <w:rFonts w:hint="default" w:ascii="Times New Roman" w:hAnsi="Times New Roman" w:cs="Times New Roman"/>
          <w:color w:val="auto"/>
          <w:highlight w:val="none"/>
        </w:rPr>
        <w:t>经济效益分析</w:t>
      </w:r>
      <w:bookmarkEnd w:id="369"/>
      <w:bookmarkEnd w:id="370"/>
      <w:bookmarkEnd w:id="371"/>
      <w:bookmarkEnd w:id="372"/>
      <w:bookmarkEnd w:id="373"/>
      <w:bookmarkEnd w:id="374"/>
      <w:bookmarkEnd w:id="375"/>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lang w:eastAsia="zh-CN"/>
        </w:rPr>
      </w:pPr>
      <w:bookmarkStart w:id="376" w:name="_Toc518897994"/>
      <w:bookmarkStart w:id="377" w:name="_Toc508818225"/>
      <w:bookmarkStart w:id="378" w:name="_Toc29904"/>
      <w:r>
        <w:rPr>
          <w:rFonts w:hint="default" w:ascii="Times New Roman" w:hAnsi="Times New Roman" w:eastAsia="宋体" w:cs="Times New Roman"/>
          <w:color w:val="auto"/>
          <w:highlight w:val="none"/>
          <w:lang w:eastAsia="zh-CN"/>
        </w:rPr>
        <w:t>（1）直接的经济效益分析</w:t>
      </w:r>
    </w:p>
    <w:p>
      <w:pPr>
        <w:pStyle w:val="17"/>
        <w:pageBreakBefore w:val="0"/>
        <w:kinsoku w:val="0"/>
        <w:wordWrap/>
        <w:overflowPunct w:val="0"/>
        <w:autoSpaceDE w:val="0"/>
        <w:autoSpaceDN w:val="0"/>
        <w:bidi w:val="0"/>
        <w:adjustRightInd w:val="0"/>
        <w:ind w:left="0" w:leftChars="0" w:right="0" w:rightChars="0" w:firstLine="720" w:firstLineChars="300"/>
        <w:rPr>
          <w:rFonts w:hint="default" w:ascii="Times New Roman" w:hAnsi="Times New Roman" w:cs="Times New Roman"/>
          <w:color w:val="auto"/>
          <w:highlight w:val="none"/>
        </w:rPr>
      </w:pPr>
      <w:r>
        <w:rPr>
          <w:rFonts w:hint="eastAsia" w:cs="Times New Roman"/>
          <w:color w:val="auto"/>
          <w:highlight w:val="none"/>
          <w:lang w:val="en-US" w:eastAsia="zh-CN"/>
        </w:rPr>
        <w:t>本项目</w:t>
      </w:r>
      <w:r>
        <w:rPr>
          <w:rFonts w:hint="default" w:ascii="Times New Roman" w:hAnsi="Times New Roman" w:cs="Times New Roman"/>
          <w:color w:val="auto"/>
          <w:highlight w:val="none"/>
        </w:rPr>
        <w:t>销售收入主要是指生产销售</w:t>
      </w:r>
      <w:r>
        <w:rPr>
          <w:rFonts w:hint="default" w:ascii="Times New Roman" w:hAnsi="Times New Roman" w:cs="Times New Roman"/>
          <w:color w:val="auto"/>
          <w:highlight w:val="none"/>
          <w:lang w:eastAsia="zh-CN"/>
        </w:rPr>
        <w:t>奶牛</w:t>
      </w:r>
      <w:r>
        <w:rPr>
          <w:rFonts w:hint="default" w:ascii="Times New Roman" w:hAnsi="Times New Roman" w:cs="Times New Roman"/>
          <w:color w:val="auto"/>
          <w:highlight w:val="none"/>
          <w:lang w:val="en-US" w:eastAsia="zh-CN"/>
        </w:rPr>
        <w:t>及牛奶的</w:t>
      </w:r>
      <w:r>
        <w:rPr>
          <w:rFonts w:hint="default" w:ascii="Times New Roman" w:hAnsi="Times New Roman" w:cs="Times New Roman"/>
          <w:color w:val="auto"/>
          <w:highlight w:val="none"/>
        </w:rPr>
        <w:t>收入。</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（2）间接的经济效益分析</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bCs/>
          <w:color w:val="auto"/>
          <w:highlight w:val="none"/>
        </w:rPr>
        <w:t>该项目建设有利于调整区域农业结构，带动</w:t>
      </w:r>
      <w:r>
        <w:rPr>
          <w:rFonts w:hint="eastAsia" w:cs="Times New Roman"/>
          <w:bCs/>
          <w:color w:val="auto"/>
          <w:highlight w:val="none"/>
          <w:lang w:val="en-US" w:eastAsia="zh-CN"/>
        </w:rPr>
        <w:t>塔城市</w:t>
      </w:r>
      <w:r>
        <w:rPr>
          <w:rFonts w:hint="default" w:ascii="Times New Roman" w:hAnsi="Times New Roman" w:cs="Times New Roman"/>
          <w:bCs/>
          <w:color w:val="auto"/>
          <w:highlight w:val="none"/>
        </w:rPr>
        <w:t>及周边地区种植业、运输业及相</w:t>
      </w:r>
      <w:r>
        <w:rPr>
          <w:rFonts w:hint="default" w:ascii="Times New Roman" w:hAnsi="Times New Roman" w:cs="Times New Roman"/>
          <w:color w:val="auto"/>
          <w:highlight w:val="none"/>
        </w:rPr>
        <w:t>关产业的发展，形成</w:t>
      </w:r>
      <w:r>
        <w:rPr>
          <w:rFonts w:hint="default" w:ascii="Times New Roman" w:hAnsi="Times New Roman" w:cs="Times New Roman"/>
          <w:color w:val="auto"/>
          <w:highlight w:val="none"/>
          <w:lang w:eastAsia="zh-CN"/>
        </w:rPr>
        <w:t>奶牛</w:t>
      </w:r>
      <w:r>
        <w:rPr>
          <w:rFonts w:hint="default" w:ascii="Times New Roman" w:hAnsi="Times New Roman" w:cs="Times New Roman"/>
          <w:color w:val="auto"/>
          <w:highlight w:val="none"/>
        </w:rPr>
        <w:t>养殖产业链，加快农业产业化进程，有效解决“三农”问题，增加当地农民的收入。</w:t>
      </w:r>
    </w:p>
    <w:p>
      <w:pPr>
        <w:pStyle w:val="4"/>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379" w:name="_Toc11600"/>
      <w:bookmarkStart w:id="380" w:name="_Toc16279"/>
      <w:bookmarkStart w:id="381" w:name="_Toc32760"/>
      <w:bookmarkStart w:id="382" w:name="_Toc22359"/>
      <w:r>
        <w:rPr>
          <w:rFonts w:hint="default" w:ascii="Times New Roman" w:hAnsi="Times New Roman" w:cs="Times New Roman"/>
          <w:color w:val="auto"/>
          <w:highlight w:val="none"/>
        </w:rPr>
        <w:t>环境效益分析</w:t>
      </w:r>
      <w:bookmarkEnd w:id="376"/>
      <w:bookmarkEnd w:id="377"/>
      <w:bookmarkEnd w:id="378"/>
      <w:bookmarkEnd w:id="379"/>
      <w:bookmarkEnd w:id="380"/>
      <w:bookmarkEnd w:id="381"/>
      <w:bookmarkEnd w:id="382"/>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在设计中充分考虑了环境保护的要求，严格执行各项环境保护标准。采用的工艺为原料消耗较低、工艺先进、成熟可靠、少污染的新工艺、新技术、新设备，从根本上减少了污染，有利于环境保护。针对在生产中产生的污染物，从实际出发采取多种相应的处理措施。在设备选型时，选用低噪声设施，并采取</w:t>
      </w:r>
      <w:r>
        <w:rPr>
          <w:rFonts w:hint="default" w:ascii="Times New Roman" w:hAnsi="Times New Roman" w:cs="Times New Roman"/>
          <w:color w:val="auto"/>
          <w:highlight w:val="none"/>
          <w:lang w:val="en-US" w:eastAsia="zh-CN"/>
        </w:rPr>
        <w:t>基础减振</w:t>
      </w:r>
      <w:r>
        <w:rPr>
          <w:rFonts w:hint="default" w:ascii="Times New Roman" w:hAnsi="Times New Roman" w:cs="Times New Roman"/>
          <w:color w:val="auto"/>
          <w:highlight w:val="none"/>
        </w:rPr>
        <w:t>措施，减少噪声对环境的影响等。本项目采取上述环境治理措施后，外排的污染物很少，既保护了环境又为企业带来了一定的经济效益。</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r>
        <w:rPr>
          <w:rFonts w:hint="default" w:ascii="Times New Roman" w:hAnsi="Times New Roman" w:cs="Times New Roman"/>
          <w:color w:val="auto"/>
          <w:highlight w:val="none"/>
          <w:lang w:eastAsia="zh-CN"/>
        </w:rPr>
        <w:t>粪污</w:t>
      </w:r>
      <w:r>
        <w:rPr>
          <w:rFonts w:hint="default" w:ascii="Times New Roman" w:hAnsi="Times New Roman" w:cs="Times New Roman"/>
          <w:color w:val="auto"/>
          <w:highlight w:val="none"/>
        </w:rPr>
        <w:t>经堆肥达到《畜禽粪便还田技术规范》（GB/T 25246-2010）中无害化要求后</w:t>
      </w:r>
      <w:r>
        <w:rPr>
          <w:rFonts w:hint="eastAsia" w:cs="Times New Roman"/>
          <w:color w:val="auto"/>
          <w:kern w:val="0"/>
          <w:sz w:val="24"/>
          <w:szCs w:val="24"/>
          <w:highlight w:val="none"/>
          <w:lang w:val="en-US" w:eastAsia="zh-CN" w:bidi="ar"/>
        </w:rPr>
        <w:t>用于垫料及</w:t>
      </w:r>
      <w:r>
        <w:rPr>
          <w:rFonts w:hint="default" w:ascii="Times New Roman" w:hAnsi="Times New Roman" w:cs="Times New Roman"/>
          <w:color w:val="auto"/>
          <w:szCs w:val="21"/>
          <w:highlight w:val="none"/>
          <w:lang w:eastAsia="zh-CN"/>
        </w:rPr>
        <w:t>还田利用</w:t>
      </w:r>
      <w:r>
        <w:rPr>
          <w:rFonts w:hint="default" w:ascii="Times New Roman" w:hAnsi="Times New Roman" w:cs="Times New Roman"/>
          <w:color w:val="auto"/>
          <w:highlight w:val="none"/>
        </w:rPr>
        <w:t>。</w:t>
      </w:r>
    </w:p>
    <w:p>
      <w:pPr>
        <w:pStyle w:val="4"/>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383" w:name="_Toc1530"/>
      <w:bookmarkStart w:id="384" w:name="_Toc4548"/>
      <w:bookmarkStart w:id="385" w:name="_Toc229909605"/>
      <w:bookmarkStart w:id="386" w:name="_Toc31587"/>
      <w:r>
        <w:rPr>
          <w:rFonts w:hint="default" w:ascii="Times New Roman" w:hAnsi="Times New Roman" w:cs="Times New Roman"/>
          <w:color w:val="auto"/>
          <w:highlight w:val="none"/>
        </w:rPr>
        <w:t>环保投资估算</w:t>
      </w:r>
      <w:bookmarkEnd w:id="383"/>
      <w:bookmarkEnd w:id="384"/>
      <w:bookmarkEnd w:id="385"/>
      <w:bookmarkEnd w:id="386"/>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环保投资是与治理预防污染有关的基建工程投资。它既包括治理污染保护环境的设施费用，又包括既为生产所需又为治理污染服务，但主要目的是为改善环境质量的设施费用。</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本项目总投资</w:t>
      </w:r>
      <w:r>
        <w:rPr>
          <w:rFonts w:hint="default" w:ascii="Times New Roman" w:hAnsi="Times New Roman" w:cs="Times New Roman"/>
          <w:color w:val="auto"/>
          <w:kern w:val="0"/>
          <w:highlight w:val="none"/>
          <w:lang w:val="en-US" w:eastAsia="zh-CN"/>
        </w:rPr>
        <w:t>14000</w:t>
      </w:r>
      <w:r>
        <w:rPr>
          <w:rFonts w:hint="default" w:ascii="Times New Roman" w:hAnsi="Times New Roman" w:cs="Times New Roman"/>
          <w:color w:val="auto"/>
          <w:highlight w:val="none"/>
        </w:rPr>
        <w:t>万元，环保投资估算为</w:t>
      </w:r>
      <w:r>
        <w:rPr>
          <w:rFonts w:hint="default" w:ascii="Times New Roman" w:hAnsi="Times New Roman" w:cs="Times New Roman"/>
          <w:color w:val="auto"/>
          <w:highlight w:val="none"/>
          <w:lang w:val="en-US" w:eastAsia="zh-CN"/>
        </w:rPr>
        <w:t>100</w:t>
      </w:r>
      <w:r>
        <w:rPr>
          <w:rFonts w:hint="default" w:ascii="Times New Roman" w:hAnsi="Times New Roman" w:cs="Times New Roman"/>
          <w:color w:val="auto"/>
          <w:highlight w:val="none"/>
        </w:rPr>
        <w:t>万元，占总投资的</w:t>
      </w:r>
      <w:r>
        <w:rPr>
          <w:rFonts w:hint="default" w:ascii="Times New Roman" w:hAnsi="Times New Roman" w:cs="Times New Roman"/>
          <w:color w:val="auto"/>
          <w:highlight w:val="none"/>
          <w:lang w:val="en-US" w:eastAsia="zh-CN"/>
        </w:rPr>
        <w:t>0.7</w:t>
      </w:r>
      <w:r>
        <w:rPr>
          <w:rFonts w:hint="default" w:ascii="Times New Roman" w:hAnsi="Times New Roman" w:cs="Times New Roman"/>
          <w:color w:val="auto"/>
          <w:highlight w:val="none"/>
        </w:rPr>
        <w:t>%。环保投资估算见表7.4-1。</w:t>
      </w:r>
    </w:p>
    <w:p>
      <w:pPr>
        <w:pStyle w:val="50"/>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表7.4-1        环保投资估算</w:t>
      </w:r>
    </w:p>
    <w:tbl>
      <w:tblPr>
        <w:tblStyle w:val="39"/>
        <w:tblpPr w:leftFromText="180" w:rightFromText="180" w:vertAnchor="text" w:tblpXSpec="center" w:tblpY="1"/>
        <w:tblOverlap w:val="never"/>
        <w:tblW w:w="497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6"/>
        <w:gridCol w:w="345"/>
        <w:gridCol w:w="1000"/>
        <w:gridCol w:w="1564"/>
        <w:gridCol w:w="3931"/>
        <w:gridCol w:w="14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blHeader/>
        </w:trPr>
        <w:tc>
          <w:tcPr>
            <w:tcW w:w="446" w:type="pct"/>
            <w:gridSpan w:val="2"/>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1464" w:type="pct"/>
            <w:gridSpan w:val="2"/>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环保项目</w:t>
            </w:r>
          </w:p>
        </w:tc>
        <w:tc>
          <w:tcPr>
            <w:tcW w:w="2245"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治理措施</w:t>
            </w:r>
          </w:p>
        </w:tc>
        <w:tc>
          <w:tcPr>
            <w:tcW w:w="844"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blHeader/>
        </w:trPr>
        <w:tc>
          <w:tcPr>
            <w:tcW w:w="249" w:type="pct"/>
            <w:vMerge w:val="restar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施工期</w:t>
            </w:r>
          </w:p>
        </w:tc>
        <w:tc>
          <w:tcPr>
            <w:tcW w:w="197" w:type="pct"/>
            <w:tcBorders>
              <w:tl2br w:val="nil"/>
              <w:tr2bl w:val="nil"/>
            </w:tcBorders>
            <w:noWrap w:val="0"/>
            <w:vAlign w:val="center"/>
          </w:tcPr>
          <w:p>
            <w:pPr>
              <w:pStyle w:val="55"/>
              <w:pageBreakBefore w:val="0"/>
              <w:wordWrap/>
              <w:bidi w:val="0"/>
              <w:adjustRightInd w:val="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1</w:t>
            </w:r>
          </w:p>
        </w:tc>
        <w:tc>
          <w:tcPr>
            <w:tcW w:w="1464" w:type="pct"/>
            <w:gridSpan w:val="2"/>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废气防治</w:t>
            </w:r>
          </w:p>
        </w:tc>
        <w:tc>
          <w:tcPr>
            <w:tcW w:w="2245"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围挡</w:t>
            </w:r>
            <w:r>
              <w:rPr>
                <w:rFonts w:hint="default" w:ascii="Times New Roman" w:hAnsi="Times New Roman" w:cs="Times New Roman"/>
                <w:color w:val="auto"/>
                <w:sz w:val="21"/>
                <w:szCs w:val="21"/>
                <w:highlight w:val="none"/>
                <w:lang w:val="en-US" w:eastAsia="zh-CN"/>
              </w:rPr>
              <w:t>、篷布、</w:t>
            </w:r>
            <w:r>
              <w:rPr>
                <w:rFonts w:hint="default" w:ascii="Times New Roman" w:hAnsi="Times New Roman" w:cs="Times New Roman"/>
                <w:color w:val="auto"/>
                <w:sz w:val="21"/>
                <w:szCs w:val="21"/>
                <w:highlight w:val="none"/>
              </w:rPr>
              <w:t>定期洒水</w:t>
            </w:r>
          </w:p>
        </w:tc>
        <w:tc>
          <w:tcPr>
            <w:tcW w:w="844"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blHeader/>
        </w:trPr>
        <w:tc>
          <w:tcPr>
            <w:tcW w:w="249"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p>
        </w:tc>
        <w:tc>
          <w:tcPr>
            <w:tcW w:w="197" w:type="pct"/>
            <w:tcBorders>
              <w:tl2br w:val="nil"/>
              <w:tr2bl w:val="nil"/>
            </w:tcBorders>
            <w:noWrap w:val="0"/>
            <w:vAlign w:val="center"/>
          </w:tcPr>
          <w:p>
            <w:pPr>
              <w:pStyle w:val="55"/>
              <w:pageBreakBefore w:val="0"/>
              <w:wordWrap/>
              <w:bidi w:val="0"/>
              <w:adjustRightInd w:val="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2</w:t>
            </w:r>
          </w:p>
        </w:tc>
        <w:tc>
          <w:tcPr>
            <w:tcW w:w="1464" w:type="pct"/>
            <w:gridSpan w:val="2"/>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废水防治</w:t>
            </w:r>
          </w:p>
        </w:tc>
        <w:tc>
          <w:tcPr>
            <w:tcW w:w="2245"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eastAsia" w:cs="Times New Roman"/>
                <w:color w:val="auto"/>
                <w:spacing w:val="2"/>
                <w:sz w:val="21"/>
                <w:szCs w:val="21"/>
                <w:highlight w:val="none"/>
                <w:lang w:val="en-US" w:eastAsia="zh-CN"/>
              </w:rPr>
              <w:t>集污池</w:t>
            </w:r>
          </w:p>
        </w:tc>
        <w:tc>
          <w:tcPr>
            <w:tcW w:w="844"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blHeader/>
        </w:trPr>
        <w:tc>
          <w:tcPr>
            <w:tcW w:w="249"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p>
        </w:tc>
        <w:tc>
          <w:tcPr>
            <w:tcW w:w="197" w:type="pct"/>
            <w:tcBorders>
              <w:tl2br w:val="nil"/>
              <w:tr2bl w:val="nil"/>
            </w:tcBorders>
            <w:noWrap w:val="0"/>
            <w:vAlign w:val="center"/>
          </w:tcPr>
          <w:p>
            <w:pPr>
              <w:pStyle w:val="55"/>
              <w:pageBreakBefore w:val="0"/>
              <w:wordWrap/>
              <w:bidi w:val="0"/>
              <w:adjustRightInd w:val="0"/>
              <w:ind w:left="0" w:leftChars="0"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c>
          <w:tcPr>
            <w:tcW w:w="1464" w:type="pct"/>
            <w:gridSpan w:val="2"/>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生态保护</w:t>
            </w:r>
          </w:p>
        </w:tc>
        <w:tc>
          <w:tcPr>
            <w:tcW w:w="2245"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pacing w:val="2"/>
                <w:sz w:val="21"/>
                <w:szCs w:val="21"/>
                <w:highlight w:val="none"/>
                <w:lang w:eastAsia="zh-CN"/>
              </w:rPr>
            </w:pPr>
            <w:r>
              <w:rPr>
                <w:rFonts w:hint="default" w:ascii="Times New Roman" w:hAnsi="Times New Roman" w:cs="Times New Roman"/>
                <w:color w:val="auto"/>
                <w:sz w:val="21"/>
                <w:szCs w:val="21"/>
                <w:highlight w:val="none"/>
              </w:rPr>
              <w:t>场地部分区域地表硬化，设置临时表土堆场</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进行表土剥离</w:t>
            </w:r>
          </w:p>
        </w:tc>
        <w:tc>
          <w:tcPr>
            <w:tcW w:w="844"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blHeader/>
        </w:trPr>
        <w:tc>
          <w:tcPr>
            <w:tcW w:w="249" w:type="pct"/>
            <w:vMerge w:val="restar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运营期</w:t>
            </w:r>
          </w:p>
        </w:tc>
        <w:tc>
          <w:tcPr>
            <w:tcW w:w="197"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464" w:type="pct"/>
            <w:gridSpan w:val="2"/>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污水</w:t>
            </w:r>
            <w:r>
              <w:rPr>
                <w:rFonts w:hint="eastAsia" w:cs="Times New Roman"/>
                <w:color w:val="auto"/>
                <w:sz w:val="21"/>
                <w:szCs w:val="21"/>
                <w:highlight w:val="none"/>
                <w:lang w:val="en-US" w:eastAsia="zh-CN"/>
              </w:rPr>
              <w:t>收集</w:t>
            </w:r>
            <w:r>
              <w:rPr>
                <w:rFonts w:hint="default" w:ascii="Times New Roman" w:hAnsi="Times New Roman" w:cs="Times New Roman"/>
                <w:color w:val="auto"/>
                <w:sz w:val="21"/>
                <w:szCs w:val="21"/>
                <w:highlight w:val="none"/>
                <w:lang w:val="en-US" w:eastAsia="zh-CN"/>
              </w:rPr>
              <w:t>设施</w:t>
            </w:r>
          </w:p>
        </w:tc>
        <w:tc>
          <w:tcPr>
            <w:tcW w:w="2245"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集污池</w:t>
            </w:r>
          </w:p>
        </w:tc>
        <w:tc>
          <w:tcPr>
            <w:tcW w:w="844"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tblHeader/>
        </w:trPr>
        <w:tc>
          <w:tcPr>
            <w:tcW w:w="249"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p>
        </w:tc>
        <w:tc>
          <w:tcPr>
            <w:tcW w:w="197" w:type="pct"/>
            <w:vMerge w:val="restar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571" w:type="pct"/>
            <w:vMerge w:val="restar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废气</w:t>
            </w:r>
          </w:p>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处理</w:t>
            </w:r>
          </w:p>
        </w:tc>
        <w:tc>
          <w:tcPr>
            <w:tcW w:w="893"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恶臭气体治理</w:t>
            </w:r>
          </w:p>
        </w:tc>
        <w:tc>
          <w:tcPr>
            <w:tcW w:w="2245"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圈舍通风、粪污清理、除臭剂除臭</w:t>
            </w:r>
          </w:p>
        </w:tc>
        <w:tc>
          <w:tcPr>
            <w:tcW w:w="844"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tblHeader/>
        </w:trPr>
        <w:tc>
          <w:tcPr>
            <w:tcW w:w="249"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p>
        </w:tc>
        <w:tc>
          <w:tcPr>
            <w:tcW w:w="197"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p>
        </w:tc>
        <w:tc>
          <w:tcPr>
            <w:tcW w:w="571"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p>
        </w:tc>
        <w:tc>
          <w:tcPr>
            <w:tcW w:w="893"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饲料加工废气</w:t>
            </w:r>
          </w:p>
        </w:tc>
        <w:tc>
          <w:tcPr>
            <w:tcW w:w="2245"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布袋除尘+15m高排气筒</w:t>
            </w:r>
          </w:p>
        </w:tc>
        <w:tc>
          <w:tcPr>
            <w:tcW w:w="844"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r>
              <w:rPr>
                <w:rFonts w:hint="eastAsia" w:cs="Times New Roman"/>
                <w:color w:val="auto"/>
                <w:sz w:val="21"/>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blHeader/>
        </w:trPr>
        <w:tc>
          <w:tcPr>
            <w:tcW w:w="249"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p>
        </w:tc>
        <w:tc>
          <w:tcPr>
            <w:tcW w:w="197" w:type="pct"/>
            <w:vMerge w:val="restar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571" w:type="pct"/>
            <w:vMerge w:val="restar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w:t>
            </w:r>
          </w:p>
        </w:tc>
        <w:tc>
          <w:tcPr>
            <w:tcW w:w="893"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粪污处理</w:t>
            </w:r>
          </w:p>
        </w:tc>
        <w:tc>
          <w:tcPr>
            <w:tcW w:w="2245"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堆粪场</w:t>
            </w:r>
          </w:p>
        </w:tc>
        <w:tc>
          <w:tcPr>
            <w:tcW w:w="844"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blHeader/>
        </w:trPr>
        <w:tc>
          <w:tcPr>
            <w:tcW w:w="249"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p>
        </w:tc>
        <w:tc>
          <w:tcPr>
            <w:tcW w:w="197"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p>
        </w:tc>
        <w:tc>
          <w:tcPr>
            <w:tcW w:w="571"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p>
        </w:tc>
        <w:tc>
          <w:tcPr>
            <w:tcW w:w="893" w:type="pct"/>
            <w:tcBorders>
              <w:tl2br w:val="nil"/>
              <w:tr2bl w:val="nil"/>
            </w:tcBorders>
            <w:noWrap w:val="0"/>
            <w:vAlign w:val="center"/>
          </w:tcPr>
          <w:p>
            <w:pPr>
              <w:pStyle w:val="55"/>
              <w:pageBreakBefore w:val="0"/>
              <w:wordWrap/>
              <w:bidi w:val="0"/>
              <w:adjustRightInd w:val="0"/>
              <w:ind w:left="0" w:leftChars="0" w:right="0" w:rightChars="0" w:firstLine="0" w:firstLineChars="0"/>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cs="Times New Roman"/>
                <w:color w:val="auto"/>
                <w:sz w:val="21"/>
                <w:szCs w:val="21"/>
                <w:highlight w:val="none"/>
              </w:rPr>
              <w:t>医疗废物</w:t>
            </w:r>
          </w:p>
        </w:tc>
        <w:tc>
          <w:tcPr>
            <w:tcW w:w="2245" w:type="pct"/>
            <w:tcBorders>
              <w:tl2br w:val="nil"/>
              <w:tr2bl w:val="nil"/>
            </w:tcBorders>
            <w:noWrap w:val="0"/>
            <w:vAlign w:val="center"/>
          </w:tcPr>
          <w:p>
            <w:pPr>
              <w:pStyle w:val="55"/>
              <w:pageBreakBefore w:val="0"/>
              <w:wordWrap/>
              <w:bidi w:val="0"/>
              <w:adjustRightInd w:val="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医疗废物暂存间</w:t>
            </w:r>
          </w:p>
        </w:tc>
        <w:tc>
          <w:tcPr>
            <w:tcW w:w="844" w:type="pct"/>
            <w:tcBorders>
              <w:tl2br w:val="nil"/>
              <w:tr2bl w:val="nil"/>
            </w:tcBorders>
            <w:noWrap w:val="0"/>
            <w:vAlign w:val="center"/>
          </w:tcPr>
          <w:p>
            <w:pPr>
              <w:pStyle w:val="55"/>
              <w:pageBreakBefore w:val="0"/>
              <w:wordWrap/>
              <w:bidi w:val="0"/>
              <w:adjustRightInd w:val="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blHeader/>
        </w:trPr>
        <w:tc>
          <w:tcPr>
            <w:tcW w:w="249"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p>
        </w:tc>
        <w:tc>
          <w:tcPr>
            <w:tcW w:w="197"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p>
        </w:tc>
        <w:tc>
          <w:tcPr>
            <w:tcW w:w="571"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p>
        </w:tc>
        <w:tc>
          <w:tcPr>
            <w:tcW w:w="893"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病死牛尸</w:t>
            </w:r>
          </w:p>
        </w:tc>
        <w:tc>
          <w:tcPr>
            <w:tcW w:w="2245"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安全填埋井</w:t>
            </w:r>
          </w:p>
        </w:tc>
        <w:tc>
          <w:tcPr>
            <w:tcW w:w="844" w:type="pct"/>
            <w:tcBorders>
              <w:tl2br w:val="nil"/>
              <w:tr2bl w:val="nil"/>
            </w:tcBorders>
            <w:noWrap w:val="0"/>
            <w:vAlign w:val="center"/>
          </w:tcPr>
          <w:p>
            <w:pPr>
              <w:pStyle w:val="55"/>
              <w:pageBreakBefore w:val="0"/>
              <w:wordWrap/>
              <w:bidi w:val="0"/>
              <w:adjustRightInd w:val="0"/>
              <w:ind w:left="0" w:leftChars="0" w:right="0" w:rightChars="0"/>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blHeader/>
        </w:trPr>
        <w:tc>
          <w:tcPr>
            <w:tcW w:w="249"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p>
        </w:tc>
        <w:tc>
          <w:tcPr>
            <w:tcW w:w="197"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1464" w:type="pct"/>
            <w:gridSpan w:val="2"/>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噪声治理</w:t>
            </w:r>
          </w:p>
        </w:tc>
        <w:tc>
          <w:tcPr>
            <w:tcW w:w="2245"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隔声、基础减振</w:t>
            </w:r>
          </w:p>
        </w:tc>
        <w:tc>
          <w:tcPr>
            <w:tcW w:w="844"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blHeader/>
        </w:trPr>
        <w:tc>
          <w:tcPr>
            <w:tcW w:w="249"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p>
        </w:tc>
        <w:tc>
          <w:tcPr>
            <w:tcW w:w="197"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1464" w:type="pct"/>
            <w:gridSpan w:val="2"/>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生态保护</w:t>
            </w:r>
          </w:p>
        </w:tc>
        <w:tc>
          <w:tcPr>
            <w:tcW w:w="2245"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道路硬化、绿化</w:t>
            </w:r>
          </w:p>
        </w:tc>
        <w:tc>
          <w:tcPr>
            <w:tcW w:w="844"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blHeader/>
        </w:trPr>
        <w:tc>
          <w:tcPr>
            <w:tcW w:w="249"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p>
        </w:tc>
        <w:tc>
          <w:tcPr>
            <w:tcW w:w="197"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w:t>
            </w:r>
          </w:p>
        </w:tc>
        <w:tc>
          <w:tcPr>
            <w:tcW w:w="1464" w:type="pct"/>
            <w:gridSpan w:val="2"/>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地下水</w:t>
            </w:r>
          </w:p>
        </w:tc>
        <w:tc>
          <w:tcPr>
            <w:tcW w:w="2245"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分区防渗</w:t>
            </w:r>
            <w:r>
              <w:rPr>
                <w:rFonts w:hint="default" w:ascii="Times New Roman" w:hAnsi="Times New Roman" w:cs="Times New Roman"/>
                <w:color w:val="auto"/>
                <w:sz w:val="21"/>
                <w:szCs w:val="21"/>
                <w:highlight w:val="none"/>
                <w:lang w:val="en-US" w:eastAsia="zh-CN"/>
              </w:rPr>
              <w:t>工程</w:t>
            </w:r>
          </w:p>
        </w:tc>
        <w:tc>
          <w:tcPr>
            <w:tcW w:w="844"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blHeader/>
        </w:trPr>
        <w:tc>
          <w:tcPr>
            <w:tcW w:w="249"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p>
        </w:tc>
        <w:tc>
          <w:tcPr>
            <w:tcW w:w="197" w:type="pct"/>
            <w:tcBorders>
              <w:tl2br w:val="nil"/>
              <w:tr2bl w:val="nil"/>
            </w:tcBorders>
            <w:noWrap w:val="0"/>
            <w:vAlign w:val="center"/>
          </w:tcPr>
          <w:p>
            <w:pPr>
              <w:pStyle w:val="55"/>
              <w:pageBreakBefore w:val="0"/>
              <w:wordWrap/>
              <w:bidi w:val="0"/>
              <w:adjustRightInd w:val="0"/>
              <w:ind w:left="0" w:leftChars="0" w:right="0" w:rightChars="0"/>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1464" w:type="pct"/>
            <w:gridSpan w:val="2"/>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eastAsia"/>
                <w:color w:val="auto"/>
                <w:lang w:val="en-US" w:eastAsia="zh-CN"/>
              </w:rPr>
              <w:t>跟踪监测</w:t>
            </w:r>
          </w:p>
        </w:tc>
        <w:tc>
          <w:tcPr>
            <w:tcW w:w="2245"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highlight w:val="none"/>
              </w:rPr>
              <w:t>地下水环境跟踪监测</w:t>
            </w:r>
          </w:p>
        </w:tc>
        <w:tc>
          <w:tcPr>
            <w:tcW w:w="844"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blHeader/>
        </w:trPr>
        <w:tc>
          <w:tcPr>
            <w:tcW w:w="249"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p>
        </w:tc>
        <w:tc>
          <w:tcPr>
            <w:tcW w:w="197" w:type="pct"/>
            <w:tcBorders>
              <w:tl2br w:val="nil"/>
              <w:tr2bl w:val="nil"/>
            </w:tcBorders>
            <w:noWrap w:val="0"/>
            <w:vAlign w:val="center"/>
          </w:tcPr>
          <w:p>
            <w:pPr>
              <w:pStyle w:val="55"/>
              <w:pageBreakBefore w:val="0"/>
              <w:wordWrap/>
              <w:bidi w:val="0"/>
              <w:adjustRightInd w:val="0"/>
              <w:ind w:left="0" w:leftChars="0" w:right="0" w:rightChars="0"/>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1464" w:type="pct"/>
            <w:gridSpan w:val="2"/>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eastAsia"/>
                <w:color w:val="auto"/>
                <w:lang w:val="en-US" w:eastAsia="zh-CN"/>
              </w:rPr>
              <w:t>环境管理</w:t>
            </w:r>
          </w:p>
        </w:tc>
        <w:tc>
          <w:tcPr>
            <w:tcW w:w="2245"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eastAsia"/>
                <w:color w:val="auto"/>
                <w:lang w:val="en-US" w:eastAsia="zh-CN"/>
              </w:rPr>
              <w:t>环境管理</w:t>
            </w:r>
          </w:p>
        </w:tc>
        <w:tc>
          <w:tcPr>
            <w:tcW w:w="844"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blHeader/>
        </w:trPr>
        <w:tc>
          <w:tcPr>
            <w:tcW w:w="249"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p>
        </w:tc>
        <w:tc>
          <w:tcPr>
            <w:tcW w:w="197" w:type="pct"/>
            <w:tcBorders>
              <w:tl2br w:val="nil"/>
              <w:tr2bl w:val="nil"/>
            </w:tcBorders>
            <w:noWrap w:val="0"/>
            <w:vAlign w:val="center"/>
          </w:tcPr>
          <w:p>
            <w:pPr>
              <w:pStyle w:val="55"/>
              <w:pageBreakBefore w:val="0"/>
              <w:wordWrap/>
              <w:bidi w:val="0"/>
              <w:adjustRightInd w:val="0"/>
              <w:ind w:left="0" w:leftChars="0" w:right="0" w:rightChars="0"/>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w:t>
            </w:r>
          </w:p>
        </w:tc>
        <w:tc>
          <w:tcPr>
            <w:tcW w:w="1464" w:type="pct"/>
            <w:gridSpan w:val="2"/>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eastAsia"/>
                <w:color w:val="auto"/>
                <w:lang w:val="en-US" w:eastAsia="zh-CN"/>
              </w:rPr>
              <w:t>排污口规范化</w:t>
            </w:r>
          </w:p>
        </w:tc>
        <w:tc>
          <w:tcPr>
            <w:tcW w:w="2245"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highlight w:val="none"/>
              </w:rPr>
              <w:t>设立规范的环境保护图形标志</w:t>
            </w:r>
          </w:p>
        </w:tc>
        <w:tc>
          <w:tcPr>
            <w:tcW w:w="844"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tblHeader/>
        </w:trPr>
        <w:tc>
          <w:tcPr>
            <w:tcW w:w="4155" w:type="pct"/>
            <w:gridSpan w:val="5"/>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合  计</w:t>
            </w:r>
          </w:p>
        </w:tc>
        <w:tc>
          <w:tcPr>
            <w:tcW w:w="844"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100</w:t>
            </w:r>
          </w:p>
        </w:tc>
      </w:tr>
    </w:tbl>
    <w:p>
      <w:pPr>
        <w:pageBreakBefore w:val="0"/>
        <w:wordWrap/>
        <w:bidi w:val="0"/>
        <w:adjustRightInd w:val="0"/>
        <w:ind w:left="0" w:leftChars="0" w:right="0" w:rightChars="0" w:firstLine="480"/>
        <w:rPr>
          <w:rFonts w:hint="default" w:ascii="Times New Roman" w:hAnsi="Times New Roman" w:cs="Times New Roman"/>
          <w:color w:val="auto"/>
          <w:highlight w:val="yellow"/>
        </w:rPr>
      </w:pPr>
    </w:p>
    <w:p>
      <w:pPr>
        <w:pageBreakBefore w:val="0"/>
        <w:wordWrap/>
        <w:bidi w:val="0"/>
        <w:adjustRightInd w:val="0"/>
        <w:ind w:left="0" w:leftChars="0" w:right="0" w:rightChars="0" w:firstLine="480"/>
        <w:rPr>
          <w:rFonts w:hint="default" w:ascii="Times New Roman" w:hAnsi="Times New Roman" w:cs="Times New Roman"/>
          <w:color w:val="auto"/>
          <w:highlight w:val="yellow"/>
        </w:rPr>
        <w:sectPr>
          <w:headerReference r:id="rId15" w:type="default"/>
          <w:pgSz w:w="11906" w:h="16838"/>
          <w:pgMar w:top="1440" w:right="1531"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3"/>
        <w:pageBreakBefore w:val="0"/>
        <w:wordWrap/>
        <w:bidi w:val="0"/>
        <w:adjustRightInd w:val="0"/>
        <w:ind w:left="0" w:leftChars="0" w:right="0" w:rightChars="0" w:hanging="432" w:firstLineChars="0"/>
        <w:rPr>
          <w:rFonts w:hint="default" w:ascii="Times New Roman" w:hAnsi="Times New Roman" w:cs="Times New Roman"/>
          <w:color w:val="auto"/>
          <w:highlight w:val="none"/>
        </w:rPr>
      </w:pPr>
      <w:bookmarkStart w:id="387" w:name="_Toc263850735"/>
      <w:bookmarkStart w:id="388" w:name="_Toc89"/>
      <w:bookmarkStart w:id="389" w:name="_Toc4209"/>
      <w:bookmarkStart w:id="390" w:name="_Toc30656"/>
      <w:r>
        <w:rPr>
          <w:rFonts w:hint="default" w:ascii="Times New Roman" w:hAnsi="Times New Roman" w:cs="Times New Roman"/>
          <w:color w:val="auto"/>
          <w:highlight w:val="none"/>
        </w:rPr>
        <w:t>环境管理</w:t>
      </w:r>
      <w:bookmarkEnd w:id="387"/>
      <w:r>
        <w:rPr>
          <w:rFonts w:hint="default" w:ascii="Times New Roman" w:hAnsi="Times New Roman" w:cs="Times New Roman"/>
          <w:color w:val="auto"/>
          <w:highlight w:val="none"/>
          <w:lang w:val="en-US" w:eastAsia="zh-CN"/>
        </w:rPr>
        <w:t>与</w:t>
      </w:r>
      <w:r>
        <w:rPr>
          <w:rFonts w:hint="default" w:ascii="Times New Roman" w:hAnsi="Times New Roman" w:cs="Times New Roman"/>
          <w:color w:val="auto"/>
          <w:highlight w:val="none"/>
        </w:rPr>
        <w:t>监测计划</w:t>
      </w:r>
      <w:bookmarkEnd w:id="388"/>
      <w:bookmarkEnd w:id="389"/>
      <w:bookmarkEnd w:id="390"/>
    </w:p>
    <w:p>
      <w:pPr>
        <w:pageBreakBefore w:val="0"/>
        <w:wordWrap/>
        <w:bidi w:val="0"/>
        <w:adjustRightInd w:val="0"/>
        <w:ind w:left="0" w:leftChars="0" w:right="0" w:rightChars="0" w:firstLine="480"/>
        <w:rPr>
          <w:rFonts w:hint="default" w:ascii="Times New Roman" w:hAnsi="Times New Roman" w:cs="Times New Roman"/>
          <w:color w:val="auto"/>
          <w:highlight w:val="none"/>
        </w:rPr>
      </w:pPr>
      <w:bookmarkStart w:id="391" w:name="_Toc229909613"/>
      <w:bookmarkStart w:id="392" w:name="_Toc113250689"/>
      <w:bookmarkStart w:id="393" w:name="_Toc72235881"/>
      <w:r>
        <w:rPr>
          <w:rFonts w:hint="default" w:ascii="Times New Roman" w:hAnsi="Times New Roman" w:cs="Times New Roman"/>
          <w:color w:val="auto"/>
          <w:highlight w:val="none"/>
        </w:rPr>
        <w:t>环境管理是环境保护工作的重要内容之一，也是企业管理的主要组成部分。环境管理的核心是把环境保护融于企业经营管理的过程之中，使环境保护成为工业企业的重要决策因素，重视研究本企业的环境对策。采用新技术、新工艺，减少有害废物的排放。对废旧产品进行回收处理及循环利用，变普通产品为“绿色”产品，努力通过环境认证，推动员工和公众的环保宣传和引导，树立“绿色企业”的良好形象。</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为了贯彻和执行国家和地方环境保护法律、法规、政策与标准，及时掌握和了解污染控制措施的效果，以及项目所在区域环境质量的变化情况，更好地监控环保设施的运行情况，协调与地方</w:t>
      </w:r>
      <w:r>
        <w:rPr>
          <w:rFonts w:hint="default" w:ascii="Times New Roman" w:hAnsi="Times New Roman" w:cs="Times New Roman"/>
          <w:color w:val="auto"/>
          <w:highlight w:val="none"/>
          <w:lang w:eastAsia="zh-CN"/>
        </w:rPr>
        <w:t>生态环境主管部门</w:t>
      </w:r>
      <w:r>
        <w:rPr>
          <w:rFonts w:hint="default" w:ascii="Times New Roman" w:hAnsi="Times New Roman" w:cs="Times New Roman"/>
          <w:color w:val="auto"/>
          <w:highlight w:val="none"/>
        </w:rPr>
        <w:t>和其它有关部门的工作，同时保证企业生产管理和环境管理的正常运作，建立环境管理体系与监测制度是非常必要。环境管理体系与监测机构的建立能够帮助企业及早发现问题，使企业在发展生产的同时节约能源、降低原材料的消耗，控制污染物排放量，减轻污染物排放对环境产生的影响，为企业创造更好的经济效益和环境效益，树立良好的社会形象。</w:t>
      </w:r>
    </w:p>
    <w:bookmarkEnd w:id="391"/>
    <w:bookmarkEnd w:id="392"/>
    <w:bookmarkEnd w:id="393"/>
    <w:p>
      <w:pPr>
        <w:pStyle w:val="4"/>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394" w:name="_Toc17081"/>
      <w:bookmarkStart w:id="395" w:name="_Toc406411988"/>
      <w:bookmarkStart w:id="396" w:name="_Toc26007"/>
      <w:bookmarkStart w:id="397" w:name="_Toc409108471"/>
      <w:bookmarkStart w:id="398" w:name="_Toc243079686"/>
      <w:bookmarkStart w:id="399" w:name="_Toc181706787"/>
      <w:bookmarkStart w:id="400" w:name="_Toc416009385"/>
      <w:bookmarkStart w:id="401" w:name="_Toc460236649"/>
      <w:bookmarkStart w:id="402" w:name="_Toc181697614"/>
      <w:bookmarkStart w:id="403" w:name="_Toc212005565"/>
      <w:bookmarkStart w:id="404" w:name="_Toc402104097"/>
      <w:bookmarkStart w:id="405" w:name="_Toc338845740"/>
      <w:bookmarkStart w:id="406" w:name="_Toc31872"/>
      <w:bookmarkStart w:id="407" w:name="_Toc181706644"/>
      <w:bookmarkStart w:id="408" w:name="_Toc211599516"/>
      <w:bookmarkStart w:id="409" w:name="_Toc181701359"/>
      <w:bookmarkStart w:id="410" w:name="_Toc302400369"/>
      <w:bookmarkStart w:id="411" w:name="_Toc16547"/>
      <w:bookmarkStart w:id="412" w:name="_Toc212971491"/>
      <w:bookmarkStart w:id="413" w:name="_Toc466894944"/>
      <w:bookmarkStart w:id="414" w:name="_Toc332793705"/>
      <w:bookmarkStart w:id="415" w:name="_Toc194297099"/>
      <w:bookmarkStart w:id="416" w:name="_Toc181708621"/>
      <w:bookmarkStart w:id="417" w:name="_Toc211599417"/>
      <w:bookmarkStart w:id="418" w:name="_Toc113250690"/>
      <w:bookmarkStart w:id="419" w:name="_Toc72235882"/>
      <w:r>
        <w:rPr>
          <w:rFonts w:hint="default" w:ascii="Times New Roman" w:hAnsi="Times New Roman" w:cs="Times New Roman"/>
          <w:color w:val="auto"/>
          <w:highlight w:val="none"/>
        </w:rPr>
        <w:t>环境管理</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420" w:name="_Toc6110"/>
      <w:r>
        <w:rPr>
          <w:rFonts w:hint="default" w:ascii="Times New Roman" w:hAnsi="Times New Roman" w:cs="Times New Roman"/>
          <w:color w:val="auto"/>
          <w:highlight w:val="none"/>
        </w:rPr>
        <w:t>环境管理机构及职责</w:t>
      </w:r>
      <w:bookmarkEnd w:id="420"/>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企业管理采取</w:t>
      </w:r>
      <w:r>
        <w:rPr>
          <w:rFonts w:hint="default" w:ascii="Times New Roman" w:hAnsi="Times New Roman" w:cs="Times New Roman"/>
          <w:color w:val="auto"/>
          <w:highlight w:val="none"/>
          <w:lang w:eastAsia="zh-CN"/>
        </w:rPr>
        <w:t>场长</w:t>
      </w:r>
      <w:r>
        <w:rPr>
          <w:rFonts w:hint="default" w:ascii="Times New Roman" w:hAnsi="Times New Roman" w:cs="Times New Roman"/>
          <w:color w:val="auto"/>
          <w:highlight w:val="none"/>
        </w:rPr>
        <w:t>负责制，企业环境保护工作由副</w:t>
      </w:r>
      <w:r>
        <w:rPr>
          <w:rFonts w:hint="default" w:ascii="Times New Roman" w:hAnsi="Times New Roman" w:cs="Times New Roman"/>
          <w:color w:val="auto"/>
          <w:highlight w:val="none"/>
          <w:lang w:eastAsia="zh-CN"/>
        </w:rPr>
        <w:t>场长</w:t>
      </w:r>
      <w:r>
        <w:rPr>
          <w:rFonts w:hint="default" w:ascii="Times New Roman" w:hAnsi="Times New Roman" w:cs="Times New Roman"/>
          <w:color w:val="auto"/>
          <w:highlight w:val="none"/>
        </w:rPr>
        <w:t>负责监督落实，副</w:t>
      </w:r>
      <w:r>
        <w:rPr>
          <w:rFonts w:hint="default" w:ascii="Times New Roman" w:hAnsi="Times New Roman" w:cs="Times New Roman"/>
          <w:color w:val="auto"/>
          <w:highlight w:val="none"/>
          <w:lang w:eastAsia="zh-CN"/>
        </w:rPr>
        <w:t>场长</w:t>
      </w:r>
      <w:r>
        <w:rPr>
          <w:rFonts w:hint="default" w:ascii="Times New Roman" w:hAnsi="Times New Roman" w:cs="Times New Roman"/>
          <w:color w:val="auto"/>
          <w:highlight w:val="none"/>
        </w:rPr>
        <w:t>负责环保设备的运行管理和生产设备管理工作，以及企业安全与环保、节能减排等工作，还包括建设项目环境影响评价和“三同时”竣工验收、环保设施运行、环境监测、环境污染事故处理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环境监测计划的实施、环保设施运行的监督管理、建立环境管理台账、对环保资料统计建档等工作，并配合当地</w:t>
      </w:r>
      <w:r>
        <w:rPr>
          <w:rFonts w:hint="default" w:ascii="Times New Roman" w:hAnsi="Times New Roman" w:cs="Times New Roman"/>
          <w:color w:val="auto"/>
          <w:highlight w:val="none"/>
          <w:lang w:eastAsia="zh-CN"/>
        </w:rPr>
        <w:t>生态环境主管部门</w:t>
      </w:r>
      <w:r>
        <w:rPr>
          <w:rFonts w:hint="default" w:ascii="Times New Roman" w:hAnsi="Times New Roman" w:cs="Times New Roman"/>
          <w:color w:val="auto"/>
          <w:highlight w:val="none"/>
        </w:rPr>
        <w:t>开展本企业的相关环保执法工作等。</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主管</w:t>
      </w:r>
      <w:r>
        <w:rPr>
          <w:rFonts w:hint="default" w:ascii="Times New Roman" w:hAnsi="Times New Roman" w:cs="Times New Roman"/>
          <w:color w:val="auto"/>
          <w:highlight w:val="none"/>
          <w:lang w:eastAsia="zh-CN"/>
        </w:rPr>
        <w:t>场长</w:t>
      </w:r>
      <w:r>
        <w:rPr>
          <w:rFonts w:hint="default" w:ascii="Times New Roman" w:hAnsi="Times New Roman" w:cs="Times New Roman"/>
          <w:color w:val="auto"/>
          <w:highlight w:val="none"/>
        </w:rPr>
        <w:t>职责</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（a）负责贯彻执行国家环境保护法、环境保护方针和政策。</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（b）负责建立完整的环保机构，保证人员的落实。</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副</w:t>
      </w:r>
      <w:r>
        <w:rPr>
          <w:rFonts w:hint="default" w:ascii="Times New Roman" w:hAnsi="Times New Roman" w:cs="Times New Roman"/>
          <w:color w:val="auto"/>
          <w:highlight w:val="none"/>
          <w:lang w:eastAsia="zh-CN"/>
        </w:rPr>
        <w:t>场长</w:t>
      </w:r>
      <w:r>
        <w:rPr>
          <w:rFonts w:hint="default" w:ascii="Times New Roman" w:hAnsi="Times New Roman" w:cs="Times New Roman"/>
          <w:color w:val="auto"/>
          <w:highlight w:val="none"/>
        </w:rPr>
        <w:t>职责</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（a）贯彻上级领导或</w:t>
      </w:r>
      <w:r>
        <w:rPr>
          <w:rFonts w:hint="default" w:ascii="Times New Roman" w:hAnsi="Times New Roman" w:cs="Times New Roman"/>
          <w:color w:val="auto"/>
          <w:highlight w:val="none"/>
          <w:lang w:eastAsia="zh-CN"/>
        </w:rPr>
        <w:t>生态环境主管部门</w:t>
      </w:r>
      <w:r>
        <w:rPr>
          <w:rFonts w:hint="default" w:ascii="Times New Roman" w:hAnsi="Times New Roman" w:cs="Times New Roman"/>
          <w:color w:val="auto"/>
          <w:highlight w:val="none"/>
        </w:rPr>
        <w:t>有关的环保</w:t>
      </w:r>
      <w:r>
        <w:rPr>
          <w:rFonts w:hint="default" w:ascii="Times New Roman" w:hAnsi="Times New Roman" w:cs="Times New Roman"/>
          <w:color w:val="auto"/>
          <w:highlight w:val="none"/>
          <w:lang w:val="en-US" w:eastAsia="zh-CN"/>
        </w:rPr>
        <w:t>要求</w:t>
      </w:r>
      <w:r>
        <w:rPr>
          <w:rFonts w:hint="default" w:ascii="Times New Roman" w:hAnsi="Times New Roman" w:cs="Times New Roman"/>
          <w:color w:val="auto"/>
          <w:highlight w:val="none"/>
        </w:rPr>
        <w:t>和规定。</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（b）建立环保档案，包括环评报告、环保工程验收报告、监测计划的实施、环保设施运行的监督管理、建立环境管理台账、对环保资料统计建档，并定期向当地</w:t>
      </w:r>
      <w:r>
        <w:rPr>
          <w:rFonts w:hint="default" w:ascii="Times New Roman" w:hAnsi="Times New Roman" w:cs="Times New Roman"/>
          <w:color w:val="auto"/>
          <w:highlight w:val="none"/>
          <w:lang w:eastAsia="zh-CN"/>
        </w:rPr>
        <w:t>生态环境</w:t>
      </w:r>
      <w:r>
        <w:rPr>
          <w:rFonts w:hint="default" w:ascii="Times New Roman" w:hAnsi="Times New Roman" w:cs="Times New Roman"/>
          <w:color w:val="auto"/>
          <w:highlight w:val="none"/>
        </w:rPr>
        <w:t>主管部门汇报。</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（c）汇总、编报环保年度计划及规划，并监督、检查执行情况。</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（d）制定环保考核制度和有关奖罚规定。</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（e）对污染源进行监督管理，贯彻预防为主的方针，发现问题，及时采取措施，并向上级主管部门汇报。</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（f）负责组织突发性污染事故的善后处理，追查事故原因，杜绝事故隐患，并参照企业管理规章，提出对事故责任人的处理意见，上报公司。</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（g）对环境保护的先进经验、先进技术进行推广和应用。</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（h）负责环保设备的统一管理，并负责对环保设施的大、中修的质量验收。</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（i）组织职工进行环保教育，搞好环境宣传及环保技术培训。</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员工</w:t>
      </w:r>
      <w:r>
        <w:rPr>
          <w:rFonts w:hint="default" w:ascii="Times New Roman" w:hAnsi="Times New Roman" w:cs="Times New Roman"/>
          <w:color w:val="auto"/>
          <w:highlight w:val="none"/>
        </w:rPr>
        <w:t>相关职责</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（a）在</w:t>
      </w:r>
      <w:r>
        <w:rPr>
          <w:rFonts w:hint="default" w:ascii="Times New Roman" w:hAnsi="Times New Roman" w:cs="Times New Roman"/>
          <w:color w:val="auto"/>
          <w:highlight w:val="none"/>
          <w:lang w:val="en-US" w:eastAsia="zh-CN"/>
        </w:rPr>
        <w:t>场长</w:t>
      </w:r>
      <w:r>
        <w:rPr>
          <w:rFonts w:hint="default" w:ascii="Times New Roman" w:hAnsi="Times New Roman" w:cs="Times New Roman"/>
          <w:color w:val="auto"/>
          <w:highlight w:val="none"/>
        </w:rPr>
        <w:t>领导下，做好</w:t>
      </w:r>
      <w:r>
        <w:rPr>
          <w:rFonts w:hint="default" w:ascii="Times New Roman" w:hAnsi="Times New Roman" w:cs="Times New Roman"/>
          <w:color w:val="auto"/>
          <w:highlight w:val="none"/>
          <w:lang w:val="en-US" w:eastAsia="zh-CN"/>
        </w:rPr>
        <w:t>养殖</w:t>
      </w:r>
      <w:r>
        <w:rPr>
          <w:rFonts w:hint="default" w:ascii="Times New Roman" w:hAnsi="Times New Roman" w:cs="Times New Roman"/>
          <w:color w:val="auto"/>
          <w:highlight w:val="none"/>
        </w:rPr>
        <w:t>区、办公区的绿化、美化</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除臭</w:t>
      </w:r>
      <w:r>
        <w:rPr>
          <w:rFonts w:hint="default" w:ascii="Times New Roman" w:hAnsi="Times New Roman" w:cs="Times New Roman"/>
          <w:color w:val="auto"/>
          <w:highlight w:val="none"/>
        </w:rPr>
        <w:t>工作。</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（b）按“门前三包卫生责任制”，检查、督促各部门做好卫生、绿化工作。</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（c）组织做好垃圾的定点堆放和清运工作，以及道路的清扫工作。</w:t>
      </w:r>
    </w:p>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环境管理</w:t>
      </w:r>
      <w:r>
        <w:rPr>
          <w:rFonts w:hint="eastAsia" w:ascii="Times New Roman" w:hAnsi="Times New Roman" w:cs="Times New Roman"/>
          <w:color w:val="auto"/>
          <w:highlight w:val="none"/>
          <w:lang w:val="en-US" w:eastAsia="zh-CN"/>
        </w:rPr>
        <w:t>要求</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按建设项目建设阶段、生产运行等不同阶段，针对不同工况、不同环境影响和环境风险特征，提出具体环境管理要求。</w:t>
      </w:r>
    </w:p>
    <w:p>
      <w:pPr>
        <w:rPr>
          <w:rFonts w:hint="default" w:ascii="Times New Roman" w:hAnsi="Times New Roman" w:cs="Times New Roman"/>
          <w:color w:val="auto"/>
          <w:highlight w:val="none"/>
        </w:rPr>
      </w:pPr>
      <w:r>
        <w:rPr>
          <w:rFonts w:hint="default" w:ascii="Times New Roman" w:hAnsi="Times New Roman" w:cs="Times New Roman"/>
          <w:color w:val="auto"/>
          <w:highlight w:val="none"/>
        </w:rPr>
        <w:t>项目建设实施过程中，通过环境管理，使该项目建设符合国家的经济建设和环境建设同步规划、同步发展和同步实施的“三同时”方针，使环保措施得以具体落实，使</w:t>
      </w:r>
      <w:r>
        <w:rPr>
          <w:rFonts w:hint="default" w:ascii="Times New Roman" w:hAnsi="Times New Roman" w:cs="Times New Roman"/>
          <w:color w:val="auto"/>
          <w:highlight w:val="none"/>
          <w:lang w:eastAsia="zh-CN"/>
        </w:rPr>
        <w:t>生态环境主管部门</w:t>
      </w:r>
      <w:r>
        <w:rPr>
          <w:rFonts w:hint="default" w:ascii="Times New Roman" w:hAnsi="Times New Roman" w:cs="Times New Roman"/>
          <w:color w:val="auto"/>
          <w:highlight w:val="none"/>
        </w:rPr>
        <w:t>具有监督的依据。通过环境保护污染防治措施的实施管理，使本工程在</w:t>
      </w:r>
      <w:r>
        <w:rPr>
          <w:rFonts w:hint="default" w:ascii="Times New Roman" w:hAnsi="Times New Roman" w:cs="Times New Roman"/>
          <w:color w:val="auto"/>
          <w:highlight w:val="none"/>
          <w:lang w:eastAsia="zh-CN"/>
        </w:rPr>
        <w:t>施工期</w:t>
      </w:r>
      <w:r>
        <w:rPr>
          <w:rFonts w:hint="default" w:ascii="Times New Roman" w:hAnsi="Times New Roman" w:cs="Times New Roman"/>
          <w:color w:val="auto"/>
          <w:highlight w:val="none"/>
        </w:rPr>
        <w:t>和</w:t>
      </w:r>
      <w:r>
        <w:rPr>
          <w:rFonts w:hint="default" w:ascii="Times New Roman" w:hAnsi="Times New Roman" w:cs="Times New Roman"/>
          <w:color w:val="auto"/>
          <w:highlight w:val="none"/>
          <w:lang w:eastAsia="zh-CN"/>
        </w:rPr>
        <w:t>运营期</w:t>
      </w:r>
      <w:r>
        <w:rPr>
          <w:rFonts w:hint="default" w:ascii="Times New Roman" w:hAnsi="Times New Roman" w:cs="Times New Roman"/>
          <w:color w:val="auto"/>
          <w:highlight w:val="none"/>
        </w:rPr>
        <w:t>给环境带来的不利影响减轻到最低程度，使环境风险可控，经济效益和环境效益得以协调持续地发展。</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根据《建设项目环境保护管理条例》，对建设阶段要求如下：</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（1）建设项目需要配套建设的环境保护设施，必须与主体工程同时设计、同时施工、同时投产使用。</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建设项目的初步设计，应当按照环境保护设计规范的要求，编制环境保护篇章，落实防治环境污染和生态破坏的措施以及环境保护设施投资概算。建设单位应当将环境保护设施建设纳入施工合同，保证环境保护设施建设进度和资金，并在项目建设过程中同时组织实施环境影响报告书及其审批部门审批决定中提出的环境保护对策措施。</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（3）建设项目竣工后，建设单位应当按照国务院</w:t>
      </w:r>
      <w:r>
        <w:rPr>
          <w:rFonts w:hint="default" w:ascii="Times New Roman" w:hAnsi="Times New Roman" w:cs="Times New Roman"/>
          <w:color w:val="auto"/>
          <w:highlight w:val="none"/>
          <w:lang w:eastAsia="zh-CN"/>
        </w:rPr>
        <w:t>生态环境</w:t>
      </w:r>
      <w:r>
        <w:rPr>
          <w:rFonts w:hint="default" w:ascii="Times New Roman" w:hAnsi="Times New Roman" w:cs="Times New Roman"/>
          <w:color w:val="auto"/>
          <w:highlight w:val="none"/>
        </w:rPr>
        <w:t>主管部门规定的标准和程序，对配套建设的环境保护设施进行验收，编制验收报告。</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要求严格落实企事业单位环境保护责任，对企业环境管理要求如下：</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落实按证排污责任。纳入排污许可管理的所有企事业单位必须按期持证排污、按证排污，不得无证排污。企事业单位应及时申领排污许可证，对申请材料的真实性、准确性和完整性承担法律责任，承诺按照排污许可证的规定排污并严格执行；落实污染物排放控制措施和其他各项环境管理要求，确保污染物排放种类、浓度、排放量等达到许可要求；明确单位负责人和相关人员环境保护责任，不断提高</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"http://www.cecol.com.cn/dsfzl/index.html" \t "_blank"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污染治理</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水平和环境管理水平，自觉接受监督检查。</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2）实行自行监测和定期报告。企事业单位应依法开展自行监测，安装或使用监测设备应符合国家有关</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"http://www.cecol.com.cn/hjbh/list_hjjc.html" \t "_blank"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环境监测</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计量认证规定和技术规范，保障数据合法有效，保证设备正常运行，妥善保存原始记录，建立准确完整的环境管理台账。企事业单位应如实向生态环境主管部门报告排污许可证执行情况，依法向社会公开污染物排放数据并对数据真实性负责。排放情况与排污许可证要求不符的，应及时向</w:t>
      </w:r>
      <w:r>
        <w:rPr>
          <w:rFonts w:hint="default" w:ascii="Times New Roman" w:hAnsi="Times New Roman" w:cs="Times New Roman"/>
          <w:color w:val="auto"/>
          <w:highlight w:val="none"/>
          <w:lang w:eastAsia="zh-CN"/>
        </w:rPr>
        <w:t>生态环境主管部门</w:t>
      </w:r>
      <w:r>
        <w:rPr>
          <w:rFonts w:hint="default" w:ascii="Times New Roman" w:hAnsi="Times New Roman" w:cs="Times New Roman"/>
          <w:color w:val="auto"/>
          <w:highlight w:val="none"/>
        </w:rPr>
        <w:t>报告。</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根据《建设项目竣工环境保护验收暂行办法》（国环规环评[2017]4号），对企业自主开展相关验收工作要求如下：</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建设单位是建设项目竣工环境保护验收的责任主体，应当按照本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结合项目情况，根据《</w:t>
      </w: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HYPERLINK "http://www.mee.gov.cn/ywgz/fgbz/bz/bzwb/pwxk/201906/W020190620431392417623.pdf"</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排污许可证申请与核发技术规范 畜禽养殖行业》（HJ 1029</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2019）</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运营期运行管理要求如下：</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（1）废水：</w:t>
      </w:r>
    </w:p>
    <w:p>
      <w:pPr>
        <w:pageBreakBefore w:val="0"/>
        <w:numPr>
          <w:ilvl w:val="0"/>
          <w:numId w:val="20"/>
        </w:numPr>
        <w:wordWrap/>
        <w:bidi w:val="0"/>
        <w:adjustRightInd w:val="0"/>
        <w:ind w:left="0" w:leftChars="0" w:right="0" w:rightChars="0"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畜禽养殖行业排污</w:t>
      </w:r>
      <w:r>
        <w:rPr>
          <w:rFonts w:hint="default" w:ascii="Times New Roman" w:hAnsi="Times New Roman" w:eastAsia="宋体" w:cs="Times New Roman"/>
          <w:color w:val="auto"/>
          <w:highlight w:val="none"/>
          <w:lang w:val="en-US" w:eastAsia="zh-CN"/>
        </w:rPr>
        <w:t>单位</w:t>
      </w:r>
      <w:r>
        <w:rPr>
          <w:rFonts w:hint="default" w:ascii="Times New Roman" w:hAnsi="Times New Roman" w:cs="Times New Roman"/>
          <w:color w:val="auto"/>
          <w:highlight w:val="none"/>
          <w:lang w:val="en-US" w:eastAsia="zh-CN"/>
        </w:rPr>
        <w:t>必须实行严格的雨污分流措施。</w:t>
      </w:r>
    </w:p>
    <w:p>
      <w:pPr>
        <w:pStyle w:val="17"/>
        <w:pageBreakBefore w:val="0"/>
        <w:numPr>
          <w:ilvl w:val="0"/>
          <w:numId w:val="20"/>
        </w:numPr>
        <w:wordWrap/>
        <w:bidi w:val="0"/>
        <w:adjustRightInd w:val="0"/>
        <w:ind w:left="0" w:leftChars="0" w:right="0" w:right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畜禽养殖行业排污</w:t>
      </w:r>
      <w:r>
        <w:rPr>
          <w:rFonts w:hint="default" w:ascii="Times New Roman" w:hAnsi="Times New Roman" w:eastAsia="宋体" w:cs="Times New Roman"/>
          <w:color w:val="auto"/>
          <w:highlight w:val="none"/>
          <w:lang w:val="en-US" w:eastAsia="zh-CN"/>
        </w:rPr>
        <w:t>单位应加强生产节水管理，提高废水的循环利用率，减少污水排放量。本项目采用干清粪工艺。</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（2）废气：</w:t>
      </w:r>
    </w:p>
    <w:p>
      <w:pPr>
        <w:pageBreakBefore w:val="0"/>
        <w:wordWrap/>
        <w:bidi w:val="0"/>
        <w:adjustRightInd w:val="0"/>
        <w:ind w:left="0" w:leftChars="0" w:right="0" w:right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畜禽养殖行业排污</w:t>
      </w:r>
      <w:r>
        <w:rPr>
          <w:rFonts w:hint="default" w:ascii="Times New Roman" w:hAnsi="Times New Roman" w:eastAsia="宋体" w:cs="Times New Roman"/>
          <w:color w:val="auto"/>
          <w:highlight w:val="none"/>
          <w:lang w:val="en-US" w:eastAsia="zh-CN"/>
        </w:rPr>
        <w:t>单位在运行过程中应保持除臭系统的工作状态良好。使用化学除臭剂过程中不得对设备造成腐蚀。</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（3）固体粪污：</w:t>
      </w:r>
    </w:p>
    <w:p>
      <w:pPr>
        <w:pageBreakBefore w:val="0"/>
        <w:wordWrap/>
        <w:bidi w:val="0"/>
        <w:adjustRightInd w:val="0"/>
        <w:ind w:left="0" w:leftChars="0" w:right="0" w:right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a）固体粪污外销处理与利用的畜禽养殖行业排污单位，应达到以下要求：</w:t>
      </w:r>
    </w:p>
    <w:p>
      <w:pPr>
        <w:pageBreakBefore w:val="0"/>
        <w:wordWrap/>
        <w:bidi w:val="0"/>
        <w:adjustRightInd w:val="0"/>
        <w:ind w:left="0" w:leftChars="0" w:right="0" w:right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具备粪污临时储存设施，储存设施满足《畜禽规模养殖场粪污资源化利用设施建设规范（试行）》中的相关要求。</w:t>
      </w:r>
    </w:p>
    <w:p>
      <w:pPr>
        <w:pageBreakBefore w:val="0"/>
        <w:wordWrap/>
        <w:bidi w:val="0"/>
        <w:adjustRightInd w:val="0"/>
        <w:ind w:left="0" w:leftChars="0" w:right="0" w:right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b）固体粪污自身资源化利用的畜禽养殖行业排污单位，应达到以下要求：</w:t>
      </w:r>
    </w:p>
    <w:p>
      <w:pPr>
        <w:pageBreakBefore w:val="0"/>
        <w:wordWrap/>
        <w:bidi w:val="0"/>
        <w:adjustRightInd w:val="0"/>
        <w:ind w:left="0" w:leftChars="0" w:right="0" w:right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1）具备与其养殖规模相匹配的粪污临时储存设施，储存设施满足《畜禽规模养殖场粪污资源化利用设施建设规范（试行）》中的相关要求。</w:t>
      </w:r>
    </w:p>
    <w:p>
      <w:pPr>
        <w:pageBreakBefore w:val="0"/>
        <w:wordWrap/>
        <w:bidi w:val="0"/>
        <w:adjustRightInd w:val="0"/>
        <w:ind w:left="0" w:leftChars="0" w:right="0" w:right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2）还田利用的固体粪污满足GB/T 25246中无害化要求。</w:t>
      </w:r>
    </w:p>
    <w:p>
      <w:pPr>
        <w:pageBreakBefore w:val="0"/>
        <w:wordWrap/>
        <w:bidi w:val="0"/>
        <w:adjustRightInd w:val="0"/>
        <w:ind w:left="0" w:leftChars="0" w:right="0" w:right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3）配套与养殖规模相匹配的固体粪污消纳土地，配套消纳土地的具体规模应根据《畜禽粪污土地承载力测算技术指南》中相关规定测算。</w:t>
      </w:r>
    </w:p>
    <w:p>
      <w:pPr>
        <w:pStyle w:val="4"/>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421" w:name="_Toc28472"/>
      <w:bookmarkStart w:id="422" w:name="_Toc27204"/>
      <w:bookmarkStart w:id="423" w:name="_Toc8975"/>
      <w:bookmarkStart w:id="424" w:name="_Toc3181"/>
      <w:r>
        <w:rPr>
          <w:rFonts w:hint="default" w:ascii="Times New Roman" w:hAnsi="Times New Roman" w:cs="Times New Roman"/>
          <w:color w:val="auto"/>
          <w:highlight w:val="none"/>
        </w:rPr>
        <w:t>环境管理制度</w:t>
      </w:r>
      <w:bookmarkEnd w:id="421"/>
      <w:bookmarkEnd w:id="422"/>
      <w:bookmarkEnd w:id="423"/>
      <w:bookmarkEnd w:id="424"/>
    </w:p>
    <w:p>
      <w:pPr>
        <w:pageBreakBefore w:val="0"/>
        <w:wordWrap/>
        <w:bidi w:val="0"/>
        <w:adjustRightInd w:val="0"/>
        <w:ind w:left="0" w:leftChars="0" w:right="0" w:rightChars="0" w:firstLine="48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对照《固定污染源排污许可分类管理名录（2019年版）》，本项目属于”一、畜牧业03中的1牲畜饲养031，属于无污水排放口的规模化畜禽养殖场，属于登记管理。</w:t>
      </w:r>
    </w:p>
    <w:p>
      <w:pPr>
        <w:pageBreakBefore w:val="0"/>
        <w:wordWrap/>
        <w:bidi w:val="0"/>
        <w:adjustRightInd w:val="0"/>
        <w:ind w:left="0" w:leftChars="0" w:right="0" w:rightChars="0" w:firstLine="480"/>
        <w:rPr>
          <w:rFonts w:hint="default" w:ascii="Times New Roman" w:hAnsi="Times New Roman" w:cs="Times New Roman"/>
          <w:color w:val="auto"/>
          <w:sz w:val="21"/>
          <w:szCs w:val="21"/>
          <w:highlight w:val="none"/>
        </w:rPr>
      </w:pPr>
      <w:r>
        <w:rPr>
          <w:rFonts w:hint="default" w:ascii="Times New Roman" w:hAnsi="Times New Roman" w:cs="Times New Roman"/>
          <w:color w:val="auto"/>
          <w:highlight w:val="none"/>
        </w:rPr>
        <w:t>建立健全企业环境管理制度及各项环保设施的运行操作规程，并监督实施。评价提出环境管理制度见表8.2-1。</w:t>
      </w:r>
    </w:p>
    <w:p>
      <w:pPr>
        <w:pStyle w:val="50"/>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表8.2-1   环境保护管理制度表</w:t>
      </w:r>
    </w:p>
    <w:tbl>
      <w:tblPr>
        <w:tblStyle w:val="39"/>
        <w:tblpPr w:leftFromText="180" w:rightFromText="180" w:vertAnchor="text" w:tblpXSpec="center" w:tblpY="1"/>
        <w:tblOverlap w:val="never"/>
        <w:tblW w:w="503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522"/>
        <w:gridCol w:w="7123"/>
        <w:gridCol w:w="525"/>
        <w:gridCol w:w="5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73" w:hRule="atLeast"/>
          <w:jc w:val="center"/>
        </w:trPr>
        <w:tc>
          <w:tcPr>
            <w:tcW w:w="299"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建设阶段</w:t>
            </w:r>
          </w:p>
        </w:tc>
        <w:tc>
          <w:tcPr>
            <w:tcW w:w="4070"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环境监控管理措施</w:t>
            </w:r>
          </w:p>
        </w:tc>
        <w:tc>
          <w:tcPr>
            <w:tcW w:w="300"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实施方</w:t>
            </w:r>
          </w:p>
        </w:tc>
        <w:tc>
          <w:tcPr>
            <w:tcW w:w="330"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监督管理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90" w:hRule="atLeast"/>
          <w:jc w:val="center"/>
        </w:trPr>
        <w:tc>
          <w:tcPr>
            <w:tcW w:w="299" w:type="pct"/>
            <w:vMerge w:val="restar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施工期</w:t>
            </w:r>
          </w:p>
        </w:tc>
        <w:tc>
          <w:tcPr>
            <w:tcW w:w="4070" w:type="pct"/>
            <w:tcBorders>
              <w:tl2br w:val="nil"/>
              <w:tr2bl w:val="nil"/>
            </w:tcBorders>
            <w:noWrap w:val="0"/>
            <w:vAlign w:val="center"/>
          </w:tcPr>
          <w:p>
            <w:pPr>
              <w:pStyle w:val="55"/>
              <w:pageBreakBefore w:val="0"/>
              <w:wordWrap/>
              <w:bidi w:val="0"/>
              <w:adjustRightInd w:val="0"/>
              <w:ind w:left="0" w:leftChars="0" w:right="0" w:right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大气</w:t>
            </w:r>
          </w:p>
          <w:p>
            <w:pPr>
              <w:pStyle w:val="55"/>
              <w:pageBreakBefore w:val="0"/>
              <w:wordWrap/>
              <w:bidi w:val="0"/>
              <w:adjustRightInd w:val="0"/>
              <w:ind w:left="0" w:leftChars="0" w:right="0" w:right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 xml:space="preserve"> 施工场地外围设置1.8m以上的硬质围墙或围挡，保证施工工地周围环境整洁，并保护场区周围的大气环境；</w:t>
            </w:r>
          </w:p>
          <w:p>
            <w:pPr>
              <w:pStyle w:val="55"/>
              <w:pageBreakBefore w:val="0"/>
              <w:wordWrap/>
              <w:bidi w:val="0"/>
              <w:adjustRightInd w:val="0"/>
              <w:ind w:left="0" w:leftChars="0" w:right="0" w:right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 xml:space="preserve"> 本项目在开挖土方和土方回填过程中会产生一定的扬尘，在施工过程中应注意文明施工，做到洒水作业，减少扬尘对周围环境的污染；</w:t>
            </w:r>
          </w:p>
          <w:p>
            <w:pPr>
              <w:pStyle w:val="55"/>
              <w:pageBreakBefore w:val="0"/>
              <w:wordWrap/>
              <w:bidi w:val="0"/>
              <w:adjustRightInd w:val="0"/>
              <w:ind w:left="0" w:leftChars="0" w:right="0" w:right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 xml:space="preserve"> 本项目在建设过程中需要使用大量的建筑材料，这些建材在装缷、堆放、拌和过程中会产生大量粉尘外逸，施工单位必须加强施工区的规划管理，将建筑材料（主要是水泥、石子）的堆场定点定位，并用篷布遮盖建筑材料，以保护场区周围的大气环境；</w:t>
            </w:r>
          </w:p>
          <w:p>
            <w:pPr>
              <w:pStyle w:val="55"/>
              <w:pageBreakBefore w:val="0"/>
              <w:wordWrap/>
              <w:bidi w:val="0"/>
              <w:adjustRightInd w:val="0"/>
              <w:ind w:left="0" w:leftChars="0" w:right="0" w:right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4</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 xml:space="preserve"> 建议采用商品混凝土</w:t>
            </w:r>
            <w:r>
              <w:rPr>
                <w:rFonts w:hint="default" w:ascii="Times New Roman" w:hAnsi="Times New Roman" w:eastAsia="宋体" w:cs="Times New Roman"/>
                <w:color w:val="auto"/>
                <w:sz w:val="21"/>
                <w:szCs w:val="21"/>
                <w:highlight w:val="none"/>
                <w:lang w:eastAsia="zh-CN"/>
              </w:rPr>
              <w:t>；</w:t>
            </w:r>
          </w:p>
          <w:p>
            <w:pPr>
              <w:pStyle w:val="55"/>
              <w:pageBreakBefore w:val="0"/>
              <w:wordWrap/>
              <w:bidi w:val="0"/>
              <w:adjustRightInd w:val="0"/>
              <w:ind w:left="0" w:leftChars="0" w:right="0" w:right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5</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 xml:space="preserve"> 施工期间泥尘量大，进出施工现场车辆将使地面起尘，因此运输车辆进出的主干道应定期洒水清扫，保持车辆出入路面清洁、湿润，以减少汽车轮胎与路面接触而引起的地面扬尘污染，并尽量减缓行驶车速；</w:t>
            </w:r>
          </w:p>
          <w:p>
            <w:pPr>
              <w:pStyle w:val="55"/>
              <w:pageBreakBefore w:val="0"/>
              <w:wordWrap/>
              <w:bidi w:val="0"/>
              <w:adjustRightInd w:val="0"/>
              <w:ind w:left="0" w:leftChars="0" w:right="0" w:right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6</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 xml:space="preserve"> 运输沙、石、水泥、垃圾的车辆装载高度应低于车箱上沿，不得超高超载。实行封闭运输，以免车辆颠簸撒漏，坚持文明装缷；</w:t>
            </w:r>
          </w:p>
          <w:p>
            <w:pPr>
              <w:pStyle w:val="55"/>
              <w:pageBreakBefore w:val="0"/>
              <w:wordWrap/>
              <w:bidi w:val="0"/>
              <w:adjustRightInd w:val="0"/>
              <w:ind w:left="0" w:leftChars="0" w:right="0" w:right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7</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 xml:space="preserve"> 加强对机械、车辆的维修保养，禁止以柴油为燃料的施工机械超负荷工作，减少烟度和颗料物排放；</w:t>
            </w:r>
          </w:p>
          <w:p>
            <w:pPr>
              <w:pStyle w:val="55"/>
              <w:pageBreakBefore w:val="0"/>
              <w:wordWrap/>
              <w:bidi w:val="0"/>
              <w:adjustRightInd w:val="0"/>
              <w:ind w:left="0" w:leftChars="0" w:right="0" w:right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8</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 xml:space="preserve"> 配合交通部门搞好放工期周围道路的交通组织，避免因施工而造成交通堵塞，减少产生的废气怠速排放；</w:t>
            </w:r>
          </w:p>
          <w:p>
            <w:pPr>
              <w:pStyle w:val="55"/>
              <w:pageBreakBefore w:val="0"/>
              <w:wordWrap/>
              <w:bidi w:val="0"/>
              <w:adjustRightInd w:val="0"/>
              <w:ind w:left="0" w:leftChars="0" w:right="0" w:right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9</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大风天气禁止进行土方开挖施工，易产生扬尘污染的施工作业</w:t>
            </w:r>
            <w:r>
              <w:rPr>
                <w:rFonts w:hint="default" w:ascii="Times New Roman" w:hAnsi="Times New Roman" w:eastAsia="宋体" w:cs="Times New Roman"/>
                <w:color w:val="auto"/>
                <w:sz w:val="21"/>
                <w:szCs w:val="21"/>
                <w:highlight w:val="none"/>
                <w:lang w:eastAsia="zh-CN"/>
              </w:rPr>
              <w:t>；</w:t>
            </w:r>
          </w:p>
          <w:p>
            <w:pPr>
              <w:pStyle w:val="55"/>
              <w:pageBreakBefore w:val="0"/>
              <w:wordWrap/>
              <w:bidi w:val="0"/>
              <w:adjustRightInd w:val="0"/>
              <w:ind w:left="0" w:leftChars="0" w:right="0" w:rightChars="0"/>
              <w:jc w:val="both"/>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加强对施工人员的环保教育，提高全体施工人员的环保意识，坚持文明施工、科学施工。</w:t>
            </w:r>
          </w:p>
        </w:tc>
        <w:tc>
          <w:tcPr>
            <w:tcW w:w="300"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建</w:t>
            </w:r>
            <w:r>
              <w:rPr>
                <w:rFonts w:hint="default" w:ascii="Times New Roman" w:hAnsi="Times New Roman" w:eastAsia="宋体" w:cs="Times New Roman"/>
                <w:color w:val="auto"/>
                <w:sz w:val="21"/>
                <w:szCs w:val="21"/>
                <w:highlight w:val="none"/>
              </w:rPr>
              <w:t>设</w:t>
            </w:r>
          </w:p>
          <w:p>
            <w:pPr>
              <w:pStyle w:val="55"/>
              <w:pageBreakBefore w:val="0"/>
              <w:wordWrap/>
              <w:bidi w:val="0"/>
              <w:adjustRightInd w:val="0"/>
              <w:ind w:left="0" w:leftChars="0" w:right="0" w:rightChars="0" w:firstLine="0" w:firstLineChars="0"/>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单位</w:t>
            </w:r>
          </w:p>
        </w:tc>
        <w:tc>
          <w:tcPr>
            <w:tcW w:w="330" w:type="pct"/>
            <w:vMerge w:val="restar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塔城地区生态环境局塔城市分局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067" w:hRule="atLeast"/>
          <w:jc w:val="center"/>
        </w:trPr>
        <w:tc>
          <w:tcPr>
            <w:tcW w:w="299"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yellow"/>
              </w:rPr>
            </w:pPr>
          </w:p>
        </w:tc>
        <w:tc>
          <w:tcPr>
            <w:tcW w:w="4070" w:type="pct"/>
            <w:tcBorders>
              <w:tl2br w:val="nil"/>
              <w:tr2bl w:val="nil"/>
            </w:tcBorders>
            <w:noWrap w:val="0"/>
            <w:vAlign w:val="center"/>
          </w:tcPr>
          <w:p>
            <w:pPr>
              <w:pStyle w:val="55"/>
              <w:pageBreakBefore w:val="0"/>
              <w:wordWrap/>
              <w:bidi w:val="0"/>
              <w:adjustRightInd w:val="0"/>
              <w:ind w:left="0" w:leftChars="0" w:right="0" w:right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2.噪声</w:t>
            </w:r>
          </w:p>
          <w:p>
            <w:pPr>
              <w:pStyle w:val="55"/>
              <w:pageBreakBefore w:val="0"/>
              <w:wordWrap/>
              <w:bidi w:val="0"/>
              <w:adjustRightInd w:val="0"/>
              <w:ind w:left="0" w:leftChars="0" w:right="0" w:right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1</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加强施工管理。</w:t>
            </w:r>
          </w:p>
          <w:p>
            <w:pPr>
              <w:pStyle w:val="55"/>
              <w:pageBreakBefore w:val="0"/>
              <w:wordWrap/>
              <w:bidi w:val="0"/>
              <w:adjustRightInd w:val="0"/>
              <w:ind w:left="0" w:leftChars="0" w:right="0" w:right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2</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尽量选用低噪声机械设备。</w:t>
            </w:r>
          </w:p>
          <w:p>
            <w:pPr>
              <w:pStyle w:val="55"/>
              <w:pageBreakBefore w:val="0"/>
              <w:wordWrap/>
              <w:bidi w:val="0"/>
              <w:adjustRightInd w:val="0"/>
              <w:ind w:left="0" w:leftChars="0" w:right="0" w:right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3</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噪声大的施工机械设备，使用</w:t>
            </w:r>
            <w:r>
              <w:rPr>
                <w:rFonts w:hint="default" w:ascii="Times New Roman" w:hAnsi="Times New Roman" w:cs="Times New Roman"/>
                <w:color w:val="auto"/>
                <w:sz w:val="21"/>
                <w:szCs w:val="21"/>
                <w:highlight w:val="none"/>
                <w:lang w:val="en-US" w:eastAsia="zh-CN"/>
              </w:rPr>
              <w:t>减振及</w:t>
            </w:r>
            <w:r>
              <w:rPr>
                <w:rFonts w:hint="default" w:ascii="Times New Roman" w:hAnsi="Times New Roman" w:cs="Times New Roman"/>
                <w:color w:val="auto"/>
                <w:sz w:val="21"/>
                <w:szCs w:val="21"/>
                <w:highlight w:val="none"/>
              </w:rPr>
              <w:t>隔声装置。</w:t>
            </w:r>
          </w:p>
          <w:p>
            <w:pPr>
              <w:pStyle w:val="55"/>
              <w:pageBreakBefore w:val="0"/>
              <w:wordWrap/>
              <w:bidi w:val="0"/>
              <w:adjustRightInd w:val="0"/>
              <w:ind w:left="0" w:leftChars="0" w:right="0" w:right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4</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加强运输车辆的管理，建材等运输尽量在白天进行，并控制车辆鸣笛。</w:t>
            </w:r>
          </w:p>
        </w:tc>
        <w:tc>
          <w:tcPr>
            <w:tcW w:w="300"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建</w:t>
            </w:r>
            <w:r>
              <w:rPr>
                <w:rFonts w:hint="default" w:ascii="Times New Roman" w:hAnsi="Times New Roman" w:eastAsia="宋体" w:cs="Times New Roman"/>
                <w:color w:val="auto"/>
                <w:sz w:val="21"/>
                <w:szCs w:val="21"/>
                <w:highlight w:val="none"/>
              </w:rPr>
              <w:t>设</w:t>
            </w:r>
          </w:p>
          <w:p>
            <w:pPr>
              <w:pStyle w:val="55"/>
              <w:pageBreakBefore w:val="0"/>
              <w:wordWrap/>
              <w:bidi w:val="0"/>
              <w:adjustRightInd w:val="0"/>
              <w:ind w:left="0" w:leftChars="0" w:right="0" w:rightChars="0" w:firstLine="0" w:firstLineChars="0"/>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单位</w:t>
            </w:r>
          </w:p>
        </w:tc>
        <w:tc>
          <w:tcPr>
            <w:tcW w:w="330"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067" w:hRule="atLeast"/>
          <w:jc w:val="center"/>
        </w:trPr>
        <w:tc>
          <w:tcPr>
            <w:tcW w:w="299"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yellow"/>
              </w:rPr>
            </w:pPr>
          </w:p>
        </w:tc>
        <w:tc>
          <w:tcPr>
            <w:tcW w:w="4070" w:type="pct"/>
            <w:tcBorders>
              <w:tl2br w:val="nil"/>
              <w:tr2bl w:val="nil"/>
            </w:tcBorders>
            <w:noWrap w:val="0"/>
            <w:vAlign w:val="center"/>
          </w:tcPr>
          <w:p>
            <w:pPr>
              <w:pStyle w:val="55"/>
              <w:pageBreakBefore w:val="0"/>
              <w:wordWrap/>
              <w:bidi w:val="0"/>
              <w:adjustRightInd w:val="0"/>
              <w:spacing w:line="240" w:lineRule="auto"/>
              <w:ind w:left="0" w:leftChars="0" w:right="0" w:right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3.废水</w:t>
            </w:r>
          </w:p>
          <w:p>
            <w:pPr>
              <w:pageBreakBefore w:val="0"/>
              <w:wordWrap/>
              <w:bidi w:val="0"/>
              <w:adjustRightIn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（1）施工废水</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施工废水主要为车辆</w:t>
            </w:r>
            <w:r>
              <w:rPr>
                <w:rFonts w:hint="default" w:ascii="Times New Roman" w:hAnsi="Times New Roman" w:cs="Times New Roman"/>
                <w:color w:val="auto"/>
                <w:sz w:val="21"/>
                <w:szCs w:val="21"/>
                <w:highlight w:val="none"/>
                <w:lang w:val="en-US" w:eastAsia="zh-CN"/>
              </w:rPr>
              <w:t>轮胎冲洗</w:t>
            </w:r>
            <w:r>
              <w:rPr>
                <w:rFonts w:hint="default" w:ascii="Times New Roman" w:hAnsi="Times New Roman" w:cs="Times New Roman"/>
                <w:color w:val="auto"/>
                <w:sz w:val="21"/>
                <w:szCs w:val="21"/>
                <w:highlight w:val="none"/>
              </w:rPr>
              <w:t>水。废水中含固体杂质较多，以泥沙为主，项目主要修建圈舍、硬化地面等，工程量不大，因此，施工废水产生量较小，修建临时沉淀池，施工废水经沉淀处理后用作道路洒水，对项目区水环境影响较小。</w:t>
            </w:r>
          </w:p>
          <w:p>
            <w:pPr>
              <w:pageBreakBefore w:val="0"/>
              <w:wordWrap/>
              <w:bidi w:val="0"/>
              <w:adjustRightInd w:val="0"/>
              <w:spacing w:line="240" w:lineRule="auto"/>
              <w:ind w:left="0" w:leftChars="0" w:right="0" w:rightChars="0" w:firstLine="0" w:firstLineChars="0"/>
              <w:rPr>
                <w:rFonts w:hint="default" w:ascii="Times New Roman" w:hAnsi="Times New Roman" w:cs="Times New Roman"/>
                <w:color w:val="auto"/>
                <w:spacing w:val="-6"/>
                <w:sz w:val="21"/>
                <w:szCs w:val="21"/>
                <w:highlight w:val="none"/>
                <w:lang w:val="en-US" w:eastAsia="zh-CN"/>
              </w:rPr>
            </w:pPr>
            <w:r>
              <w:rPr>
                <w:rFonts w:hint="default" w:ascii="Times New Roman" w:hAnsi="Times New Roman" w:cs="Times New Roman"/>
                <w:color w:val="auto"/>
                <w:sz w:val="21"/>
                <w:szCs w:val="21"/>
                <w:highlight w:val="none"/>
              </w:rPr>
              <w:t>（2）生活污水</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施工生活污水</w:t>
            </w:r>
            <w:r>
              <w:rPr>
                <w:rFonts w:hint="default" w:ascii="Times New Roman" w:hAnsi="Times New Roman" w:cs="Times New Roman"/>
                <w:color w:val="auto"/>
                <w:sz w:val="21"/>
                <w:szCs w:val="21"/>
                <w:highlight w:val="none"/>
                <w:lang w:val="en-US" w:eastAsia="zh-CN"/>
              </w:rPr>
              <w:t>新建</w:t>
            </w:r>
            <w:r>
              <w:rPr>
                <w:rFonts w:hint="eastAsia" w:cs="Times New Roman"/>
                <w:color w:val="auto"/>
                <w:sz w:val="21"/>
                <w:szCs w:val="21"/>
                <w:highlight w:val="none"/>
                <w:lang w:eastAsia="zh-CN"/>
              </w:rPr>
              <w:t>集污池收集</w:t>
            </w:r>
            <w:r>
              <w:rPr>
                <w:rFonts w:hint="default" w:ascii="Times New Roman" w:hAnsi="Times New Roman" w:cs="Times New Roman"/>
                <w:color w:val="auto"/>
                <w:spacing w:val="-6"/>
                <w:sz w:val="21"/>
                <w:szCs w:val="21"/>
                <w:highlight w:val="none"/>
                <w:lang w:eastAsia="zh-CN"/>
              </w:rPr>
              <w:t>后</w:t>
            </w:r>
            <w:r>
              <w:rPr>
                <w:rFonts w:hint="eastAsia" w:ascii="Times New Roman" w:hAnsi="Times New Roman" w:cs="Times New Roman"/>
                <w:color w:val="auto"/>
                <w:spacing w:val="-6"/>
                <w:sz w:val="21"/>
                <w:szCs w:val="21"/>
                <w:highlight w:val="none"/>
                <w:lang w:val="en-US" w:eastAsia="zh-CN"/>
              </w:rPr>
              <w:t>清掏拉运至塔城市污水厂处理</w:t>
            </w:r>
            <w:r>
              <w:rPr>
                <w:rFonts w:hint="default" w:ascii="Times New Roman" w:hAnsi="Times New Roman" w:cs="Times New Roman"/>
                <w:color w:val="auto"/>
                <w:spacing w:val="-6"/>
                <w:sz w:val="21"/>
                <w:szCs w:val="21"/>
                <w:highlight w:val="none"/>
                <w:lang w:val="en-US" w:eastAsia="zh-CN"/>
              </w:rPr>
              <w:t>。</w:t>
            </w:r>
          </w:p>
          <w:p>
            <w:pPr>
              <w:pageBreakBefore w:val="0"/>
              <w:wordWrap/>
              <w:bidi w:val="0"/>
              <w:adjustRightInd w:val="0"/>
              <w:spacing w:line="240" w:lineRule="auto"/>
              <w:ind w:left="0" w:leftChars="0" w:right="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施工期废水经合理</w:t>
            </w:r>
            <w:r>
              <w:rPr>
                <w:rFonts w:hint="default" w:ascii="Times New Roman" w:hAnsi="Times New Roman" w:cs="Times New Roman"/>
                <w:color w:val="auto"/>
                <w:sz w:val="21"/>
                <w:szCs w:val="21"/>
                <w:highlight w:val="none"/>
                <w:lang w:val="en-US" w:eastAsia="zh-CN"/>
              </w:rPr>
              <w:t>处理</w:t>
            </w:r>
            <w:r>
              <w:rPr>
                <w:rFonts w:hint="default" w:ascii="Times New Roman" w:hAnsi="Times New Roman" w:cs="Times New Roman"/>
                <w:color w:val="auto"/>
                <w:sz w:val="21"/>
                <w:szCs w:val="21"/>
                <w:highlight w:val="none"/>
              </w:rPr>
              <w:t>后对项目区水环境影响不大。</w:t>
            </w:r>
          </w:p>
        </w:tc>
        <w:tc>
          <w:tcPr>
            <w:tcW w:w="300"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建</w:t>
            </w:r>
            <w:r>
              <w:rPr>
                <w:rFonts w:hint="default" w:ascii="Times New Roman" w:hAnsi="Times New Roman" w:eastAsia="宋体" w:cs="Times New Roman"/>
                <w:color w:val="auto"/>
                <w:sz w:val="21"/>
                <w:szCs w:val="21"/>
                <w:highlight w:val="none"/>
              </w:rPr>
              <w:t>设</w:t>
            </w:r>
          </w:p>
          <w:p>
            <w:pPr>
              <w:pStyle w:val="55"/>
              <w:pageBreakBefore w:val="0"/>
              <w:wordWrap/>
              <w:bidi w:val="0"/>
              <w:adjustRightInd w:val="0"/>
              <w:ind w:left="0" w:leftChars="0" w:right="0" w:rightChars="0" w:firstLine="0" w:firstLineChars="0"/>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单位</w:t>
            </w:r>
          </w:p>
        </w:tc>
        <w:tc>
          <w:tcPr>
            <w:tcW w:w="330"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537" w:hRule="atLeast"/>
          <w:jc w:val="center"/>
        </w:trPr>
        <w:tc>
          <w:tcPr>
            <w:tcW w:w="299"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yellow"/>
              </w:rPr>
            </w:pPr>
          </w:p>
        </w:tc>
        <w:tc>
          <w:tcPr>
            <w:tcW w:w="4070" w:type="pct"/>
            <w:tcBorders>
              <w:tl2br w:val="nil"/>
              <w:tr2bl w:val="nil"/>
            </w:tcBorders>
            <w:noWrap w:val="0"/>
            <w:vAlign w:val="center"/>
          </w:tcPr>
          <w:p>
            <w:pPr>
              <w:pStyle w:val="55"/>
              <w:pageBreakBefore w:val="0"/>
              <w:wordWrap/>
              <w:bidi w:val="0"/>
              <w:adjustRightInd w:val="0"/>
              <w:ind w:left="0" w:leftChars="0" w:right="0" w:right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4.土壤污染防治措施</w:t>
            </w:r>
          </w:p>
          <w:p>
            <w:pPr>
              <w:pStyle w:val="55"/>
              <w:pageBreakBefore w:val="0"/>
              <w:wordWrap/>
              <w:bidi w:val="0"/>
              <w:adjustRightInd w:val="0"/>
              <w:ind w:left="0" w:leftChars="0" w:right="0" w:right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在场地剥离施工过程中要做好表土单独存放，用于后期的原地貌恢复；施工期机械要勤加保养，防止漏油。</w:t>
            </w:r>
          </w:p>
        </w:tc>
        <w:tc>
          <w:tcPr>
            <w:tcW w:w="300"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建</w:t>
            </w:r>
            <w:r>
              <w:rPr>
                <w:rFonts w:hint="default" w:ascii="Times New Roman" w:hAnsi="Times New Roman" w:eastAsia="宋体" w:cs="Times New Roman"/>
                <w:color w:val="auto"/>
                <w:sz w:val="21"/>
                <w:szCs w:val="21"/>
                <w:highlight w:val="none"/>
              </w:rPr>
              <w:t>设</w:t>
            </w:r>
          </w:p>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单位</w:t>
            </w:r>
          </w:p>
        </w:tc>
        <w:tc>
          <w:tcPr>
            <w:tcW w:w="330"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597" w:hRule="atLeast"/>
          <w:jc w:val="center"/>
        </w:trPr>
        <w:tc>
          <w:tcPr>
            <w:tcW w:w="299"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yellow"/>
              </w:rPr>
            </w:pPr>
          </w:p>
        </w:tc>
        <w:tc>
          <w:tcPr>
            <w:tcW w:w="4070" w:type="pct"/>
            <w:tcBorders>
              <w:tl2br w:val="nil"/>
              <w:tr2bl w:val="nil"/>
            </w:tcBorders>
            <w:noWrap w:val="0"/>
            <w:vAlign w:val="center"/>
          </w:tcPr>
          <w:p>
            <w:pPr>
              <w:pStyle w:val="55"/>
              <w:pageBreakBefore w:val="0"/>
              <w:wordWrap/>
              <w:bidi w:val="0"/>
              <w:adjustRightInd w:val="0"/>
              <w:ind w:left="0" w:leftChars="0" w:right="0" w:right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固废处置措施</w:t>
            </w:r>
          </w:p>
          <w:p>
            <w:pPr>
              <w:pStyle w:val="55"/>
              <w:pageBreakBefore w:val="0"/>
              <w:wordWrap/>
              <w:bidi w:val="0"/>
              <w:adjustRightInd w:val="0"/>
              <w:ind w:left="0" w:leftChars="0" w:right="0" w:right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（1）地基开挖产生的弃土须堆放在指定区域，不能随意堆放，防止弃土造成水土流失。在施工完成后，弃土可用于场区内的土地平整。</w:t>
            </w:r>
          </w:p>
          <w:p>
            <w:pPr>
              <w:pStyle w:val="55"/>
              <w:pageBreakBefore w:val="0"/>
              <w:wordWrap/>
              <w:bidi w:val="0"/>
              <w:adjustRightInd w:val="0"/>
              <w:ind w:left="0" w:leftChars="0" w:right="0" w:right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（2）本项目的施工弃渣数量较少，可进行集中收集，全部用于场区洼地填平，其余建筑垃圾运至</w:t>
            </w:r>
            <w:r>
              <w:rPr>
                <w:rFonts w:hint="eastAsia" w:ascii="Times New Roman" w:hAnsi="Times New Roman" w:eastAsia="宋体" w:cs="Times New Roman"/>
                <w:color w:val="0000FF"/>
                <w:sz w:val="21"/>
                <w:szCs w:val="21"/>
                <w:highlight w:val="none"/>
                <w:lang w:val="en-US" w:eastAsia="zh-CN"/>
              </w:rPr>
              <w:t>管理部门指定地点</w:t>
            </w:r>
            <w:r>
              <w:rPr>
                <w:rFonts w:hint="default" w:ascii="Times New Roman" w:hAnsi="Times New Roman" w:eastAsia="宋体" w:cs="Times New Roman"/>
                <w:color w:val="0000FF"/>
                <w:sz w:val="21"/>
                <w:szCs w:val="21"/>
                <w:highlight w:val="none"/>
                <w:lang w:val="en-US" w:eastAsia="zh-CN"/>
              </w:rPr>
              <w:t>。</w:t>
            </w:r>
          </w:p>
          <w:p>
            <w:pPr>
              <w:pStyle w:val="55"/>
              <w:pageBreakBefore w:val="0"/>
              <w:wordWrap/>
              <w:bidi w:val="0"/>
              <w:adjustRightInd w:val="0"/>
              <w:ind w:left="0" w:leftChars="0" w:right="0" w:right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 对施工期间产生的</w:t>
            </w:r>
            <w:bookmarkStart w:id="562" w:name="_GoBack"/>
            <w:bookmarkEnd w:id="562"/>
            <w:r>
              <w:rPr>
                <w:rFonts w:hint="default" w:ascii="Times New Roman" w:hAnsi="Times New Roman" w:eastAsia="宋体" w:cs="Times New Roman"/>
                <w:color w:val="auto"/>
                <w:sz w:val="21"/>
                <w:szCs w:val="21"/>
                <w:highlight w:val="none"/>
                <w:lang w:val="en-US" w:eastAsia="zh-CN"/>
              </w:rPr>
              <w:t>建筑垃圾进行分类收集、分类暂存，能够回收利用的尽量回收综合利用，以节约资源。同时对建筑垃圾暂存点进行有效的防护工作，避免风吹、雨淋散失或流失。</w:t>
            </w:r>
          </w:p>
          <w:p>
            <w:pPr>
              <w:pStyle w:val="55"/>
              <w:pageBreakBefore w:val="0"/>
              <w:wordWrap/>
              <w:bidi w:val="0"/>
              <w:adjustRightInd w:val="0"/>
              <w:ind w:left="0" w:leftChars="0" w:right="0" w:right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（4）生活垃圾集中收集后交由环卫部门统一处理。</w:t>
            </w:r>
          </w:p>
        </w:tc>
        <w:tc>
          <w:tcPr>
            <w:tcW w:w="300"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建</w:t>
            </w:r>
            <w:r>
              <w:rPr>
                <w:rFonts w:hint="default" w:ascii="Times New Roman" w:hAnsi="Times New Roman" w:eastAsia="宋体" w:cs="Times New Roman"/>
                <w:color w:val="auto"/>
                <w:sz w:val="21"/>
                <w:szCs w:val="21"/>
                <w:highlight w:val="none"/>
              </w:rPr>
              <w:t>设</w:t>
            </w:r>
          </w:p>
          <w:p>
            <w:pPr>
              <w:pStyle w:val="55"/>
              <w:pageBreakBefore w:val="0"/>
              <w:wordWrap/>
              <w:bidi w:val="0"/>
              <w:adjustRightInd w:val="0"/>
              <w:ind w:left="0" w:leftChars="0" w:right="0" w:rightChars="0" w:firstLine="0" w:firstLineChars="0"/>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单位</w:t>
            </w:r>
          </w:p>
        </w:tc>
        <w:tc>
          <w:tcPr>
            <w:tcW w:w="330"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950" w:hRule="atLeast"/>
          <w:jc w:val="center"/>
        </w:trPr>
        <w:tc>
          <w:tcPr>
            <w:tcW w:w="299"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yellow"/>
              </w:rPr>
            </w:pPr>
          </w:p>
        </w:tc>
        <w:tc>
          <w:tcPr>
            <w:tcW w:w="4070" w:type="pct"/>
            <w:tcBorders>
              <w:tl2br w:val="nil"/>
              <w:tr2bl w:val="nil"/>
            </w:tcBorders>
            <w:noWrap w:val="0"/>
            <w:vAlign w:val="center"/>
          </w:tcPr>
          <w:p>
            <w:pPr>
              <w:pStyle w:val="55"/>
              <w:pageBreakBefore w:val="0"/>
              <w:numPr>
                <w:ilvl w:val="0"/>
                <w:numId w:val="21"/>
              </w:numPr>
              <w:wordWrap/>
              <w:bidi w:val="0"/>
              <w:adjustRightInd w:val="0"/>
              <w:ind w:left="0" w:leftChars="0" w:right="0" w:right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生态保</w:t>
            </w:r>
            <w:r>
              <w:rPr>
                <w:rFonts w:hint="default" w:ascii="Times New Roman" w:hAnsi="Times New Roman" w:eastAsia="宋体" w:cs="Times New Roman"/>
                <w:color w:val="auto"/>
                <w:sz w:val="21"/>
                <w:szCs w:val="21"/>
                <w:highlight w:val="none"/>
                <w:lang w:val="en-US" w:eastAsia="zh-CN"/>
              </w:rPr>
              <w:t>护</w:t>
            </w:r>
          </w:p>
          <w:p>
            <w:pPr>
              <w:pageBreakBefore w:val="0"/>
              <w:wordWrap/>
              <w:bidi w:val="0"/>
              <w:adjustRightInd w:val="0"/>
              <w:spacing w:line="240" w:lineRule="auto"/>
              <w:ind w:left="0" w:leftChars="0" w:right="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合理施工布置规划，精心组织施工管理，严格控制占地面积，将施工区域控制在最小范围内，施工结束尽量将临时占地恢复原状；合理安排施工计划、施工程序，协调好各个施工步骤，土方填挖应尽量集中和避开暴雨期，并争取土料随挖随运、随填随压，减少堆土裸土的暴露时间，以避免受降雨的直接冲刷。在暴雨期，用覆盖物覆盖新开挖的陡坡，防止冲刷和崩塌；</w:t>
            </w:r>
          </w:p>
          <w:p>
            <w:pPr>
              <w:pageBreakBefore w:val="0"/>
              <w:wordWrap/>
              <w:bidi w:val="0"/>
              <w:adjustRightInd w:val="0"/>
              <w:spacing w:line="240" w:lineRule="auto"/>
              <w:ind w:left="0" w:leftChars="0" w:right="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（2）为减少水土流失，严禁随意破坏施工场地外的植物，并对施工中开挖裸露地表进行覆盖，防止水土流失；</w:t>
            </w:r>
          </w:p>
          <w:p>
            <w:pPr>
              <w:pageBreakBefore w:val="0"/>
              <w:wordWrap/>
              <w:bidi w:val="0"/>
              <w:adjustRightInd w:val="0"/>
              <w:spacing w:line="240" w:lineRule="auto"/>
              <w:ind w:left="0" w:leftChars="0" w:right="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（3）物料堆场加盖篷布，防止扬尘和水土流失；</w:t>
            </w:r>
          </w:p>
          <w:p>
            <w:pPr>
              <w:pageBreakBefore w:val="0"/>
              <w:wordWrap/>
              <w:bidi w:val="0"/>
              <w:adjustRightInd w:val="0"/>
              <w:spacing w:line="240" w:lineRule="auto"/>
              <w:ind w:left="0" w:leftChars="0" w:right="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（4）施工结束后，生态恢复，场地部分区域地表硬化，部分区域采用土方开挖前的保存的表土进行场地绿化；</w:t>
            </w:r>
          </w:p>
          <w:p>
            <w:pPr>
              <w:pageBreakBefore w:val="0"/>
              <w:wordWrap/>
              <w:bidi w:val="0"/>
              <w:adjustRightInd w:val="0"/>
              <w:spacing w:line="240" w:lineRule="auto"/>
              <w:ind w:left="0" w:leftChars="0" w:right="0" w:rightChars="0" w:firstLine="0" w:firstLineChars="0"/>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（5）做好现场施工人员的宣传、教育、管理工作</w:t>
            </w:r>
            <w:r>
              <w:rPr>
                <w:rFonts w:hint="eastAsia" w:cs="Times New Roman"/>
                <w:color w:val="auto"/>
                <w:sz w:val="21"/>
                <w:szCs w:val="21"/>
                <w:highlight w:val="none"/>
                <w:lang w:eastAsia="zh-CN"/>
              </w:rPr>
              <w:t>。</w:t>
            </w:r>
          </w:p>
        </w:tc>
        <w:tc>
          <w:tcPr>
            <w:tcW w:w="300"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建</w:t>
            </w:r>
            <w:r>
              <w:rPr>
                <w:rFonts w:hint="default" w:ascii="Times New Roman" w:hAnsi="Times New Roman" w:eastAsia="宋体" w:cs="Times New Roman"/>
                <w:color w:val="auto"/>
                <w:sz w:val="21"/>
                <w:szCs w:val="21"/>
                <w:highlight w:val="none"/>
              </w:rPr>
              <w:t>设</w:t>
            </w:r>
          </w:p>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单位</w:t>
            </w:r>
          </w:p>
        </w:tc>
        <w:tc>
          <w:tcPr>
            <w:tcW w:w="330"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90" w:hRule="atLeast"/>
          <w:jc w:val="center"/>
        </w:trPr>
        <w:tc>
          <w:tcPr>
            <w:tcW w:w="299" w:type="pct"/>
            <w:vMerge w:val="restar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w:t>
            </w:r>
          </w:p>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营</w:t>
            </w:r>
          </w:p>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期</w:t>
            </w:r>
          </w:p>
        </w:tc>
        <w:tc>
          <w:tcPr>
            <w:tcW w:w="4070" w:type="pct"/>
            <w:tcBorders>
              <w:tl2br w:val="nil"/>
              <w:tr2bl w:val="nil"/>
            </w:tcBorders>
            <w:noWrap w:val="0"/>
            <w:vAlign w:val="center"/>
          </w:tcPr>
          <w:p>
            <w:pPr>
              <w:pStyle w:val="55"/>
              <w:pageBreakBefore w:val="0"/>
              <w:wordWrap/>
              <w:bidi w:val="0"/>
              <w:adjustRightInd w:val="0"/>
              <w:ind w:left="0" w:leftChars="0" w:right="0" w:right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废气治理</w:t>
            </w:r>
          </w:p>
          <w:p>
            <w:pPr>
              <w:pageBreakBefore w:val="0"/>
              <w:numPr>
                <w:ilvl w:val="0"/>
                <w:numId w:val="22"/>
              </w:numPr>
              <w:tabs>
                <w:tab w:val="left" w:pos="397"/>
              </w:tabs>
              <w:wordWrap/>
              <w:bidi w:val="0"/>
              <w:adjustRightInd w:val="0"/>
              <w:spacing w:line="240" w:lineRule="auto"/>
              <w:ind w:left="425" w:leftChars="0" w:right="0" w:rightChars="0" w:hanging="425"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养殖场区通过控制饲养密度、加强舍内通风、及时清粪、绿化等措施抑制或减少臭气的产生；</w:t>
            </w:r>
          </w:p>
          <w:p>
            <w:pPr>
              <w:pageBreakBefore w:val="0"/>
              <w:numPr>
                <w:ilvl w:val="0"/>
                <w:numId w:val="22"/>
              </w:numPr>
              <w:tabs>
                <w:tab w:val="left" w:pos="397"/>
              </w:tabs>
              <w:wordWrap/>
              <w:bidi w:val="0"/>
              <w:adjustRightInd w:val="0"/>
              <w:spacing w:line="240" w:lineRule="auto"/>
              <w:ind w:left="425" w:leftChars="0" w:right="0" w:rightChars="0" w:hanging="425"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rPr>
              <w:t>科学饲料配比</w:t>
            </w:r>
            <w:r>
              <w:rPr>
                <w:rFonts w:hint="eastAsia" w:ascii="Times New Roman" w:hAnsi="Times New Roman" w:cs="Times New Roman"/>
                <w:color w:val="auto"/>
                <w:sz w:val="21"/>
                <w:szCs w:val="21"/>
                <w:highlight w:val="none"/>
                <w:lang w:val="en-US" w:eastAsia="zh-CN"/>
              </w:rPr>
              <w:t>；牛舍</w:t>
            </w:r>
            <w:r>
              <w:rPr>
                <w:rFonts w:hint="default" w:ascii="Times New Roman" w:hAnsi="Times New Roman" w:cs="Times New Roman"/>
                <w:color w:val="auto"/>
                <w:sz w:val="21"/>
                <w:szCs w:val="21"/>
                <w:highlight w:val="none"/>
              </w:rPr>
              <w:t>采用</w:t>
            </w:r>
            <w:r>
              <w:rPr>
                <w:rFonts w:hint="eastAsia" w:ascii="Times New Roman" w:hAnsi="Times New Roman" w:cs="Times New Roman"/>
                <w:color w:val="auto"/>
                <w:sz w:val="21"/>
                <w:szCs w:val="21"/>
                <w:highlight w:val="none"/>
                <w:lang w:val="en-US" w:eastAsia="zh-CN"/>
              </w:rPr>
              <w:t>干</w:t>
            </w:r>
            <w:r>
              <w:rPr>
                <w:rFonts w:hint="default" w:ascii="Times New Roman" w:hAnsi="Times New Roman" w:cs="Times New Roman"/>
                <w:color w:val="auto"/>
                <w:sz w:val="21"/>
                <w:szCs w:val="21"/>
                <w:highlight w:val="none"/>
              </w:rPr>
              <w:t>清粪工艺、牛舍粪便日</w:t>
            </w:r>
            <w:r>
              <w:rPr>
                <w:rFonts w:hint="eastAsia" w:ascii="Times New Roman" w:hAnsi="Times New Roman" w:cs="Times New Roman"/>
                <w:color w:val="auto"/>
                <w:sz w:val="21"/>
                <w:szCs w:val="21"/>
                <w:highlight w:val="none"/>
                <w:lang w:val="en-US" w:eastAsia="zh-CN"/>
              </w:rPr>
              <w:t>产</w:t>
            </w:r>
            <w:r>
              <w:rPr>
                <w:rFonts w:hint="default" w:ascii="Times New Roman" w:hAnsi="Times New Roman" w:cs="Times New Roman"/>
                <w:color w:val="auto"/>
                <w:sz w:val="21"/>
                <w:szCs w:val="21"/>
                <w:highlight w:val="none"/>
              </w:rPr>
              <w:t>日清；</w:t>
            </w:r>
            <w:r>
              <w:rPr>
                <w:rFonts w:hint="eastAsia" w:ascii="Times New Roman" w:hAnsi="Times New Roman" w:cs="Times New Roman"/>
                <w:color w:val="auto"/>
                <w:sz w:val="21"/>
                <w:szCs w:val="21"/>
                <w:highlight w:val="none"/>
                <w:lang w:val="en-US" w:eastAsia="zh-CN"/>
              </w:rPr>
              <w:t>定期</w:t>
            </w:r>
            <w:r>
              <w:rPr>
                <w:rFonts w:hint="default" w:ascii="Times New Roman" w:hAnsi="Times New Roman" w:cs="Times New Roman"/>
                <w:color w:val="auto"/>
                <w:sz w:val="21"/>
                <w:szCs w:val="21"/>
                <w:highlight w:val="none"/>
              </w:rPr>
              <w:t>喷洒</w:t>
            </w:r>
            <w:r>
              <w:rPr>
                <w:rFonts w:hint="eastAsia" w:ascii="Times New Roman" w:hAnsi="Times New Roman" w:cs="Times New Roman"/>
                <w:color w:val="auto"/>
                <w:sz w:val="21"/>
                <w:szCs w:val="21"/>
                <w:highlight w:val="none"/>
                <w:lang w:val="en-US" w:eastAsia="zh-CN"/>
              </w:rPr>
              <w:t>药剂</w:t>
            </w:r>
            <w:r>
              <w:rPr>
                <w:rFonts w:hint="default" w:ascii="Times New Roman" w:hAnsi="Times New Roman" w:cs="Times New Roman"/>
                <w:color w:val="auto"/>
                <w:sz w:val="21"/>
                <w:szCs w:val="21"/>
                <w:highlight w:val="none"/>
              </w:rPr>
              <w:t>除臭</w:t>
            </w:r>
            <w:r>
              <w:rPr>
                <w:rFonts w:hint="eastAsia" w:ascii="Times New Roman" w:hAnsi="Times New Roman" w:cs="Times New Roman"/>
                <w:color w:val="auto"/>
                <w:sz w:val="21"/>
                <w:szCs w:val="21"/>
                <w:highlight w:val="none"/>
                <w:lang w:eastAsia="zh-CN"/>
              </w:rPr>
              <w:t>；</w:t>
            </w:r>
          </w:p>
          <w:p>
            <w:pPr>
              <w:pageBreakBefore w:val="0"/>
              <w:numPr>
                <w:ilvl w:val="0"/>
                <w:numId w:val="22"/>
              </w:numPr>
              <w:tabs>
                <w:tab w:val="left" w:pos="397"/>
              </w:tabs>
              <w:wordWrap/>
              <w:bidi w:val="0"/>
              <w:adjustRightInd w:val="0"/>
              <w:spacing w:line="240" w:lineRule="auto"/>
              <w:ind w:left="425" w:leftChars="0" w:right="0" w:rightChars="0" w:hanging="425"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定期向</w:t>
            </w:r>
            <w:r>
              <w:rPr>
                <w:rFonts w:hint="default" w:ascii="Times New Roman" w:hAnsi="Times New Roman" w:cs="Times New Roman"/>
                <w:color w:val="auto"/>
                <w:sz w:val="21"/>
                <w:szCs w:val="21"/>
                <w:highlight w:val="none"/>
                <w:lang w:eastAsia="zh-CN"/>
              </w:rPr>
              <w:t>堆粪场</w:t>
            </w:r>
            <w:r>
              <w:rPr>
                <w:rFonts w:hint="default" w:ascii="Times New Roman" w:hAnsi="Times New Roman" w:cs="Times New Roman"/>
                <w:color w:val="auto"/>
                <w:sz w:val="21"/>
                <w:szCs w:val="21"/>
                <w:highlight w:val="none"/>
              </w:rPr>
              <w:t>喷洒</w:t>
            </w:r>
            <w:r>
              <w:rPr>
                <w:rFonts w:hint="eastAsia" w:ascii="Times New Roman" w:hAnsi="Times New Roman" w:cs="Times New Roman"/>
                <w:color w:val="auto"/>
                <w:sz w:val="21"/>
                <w:szCs w:val="21"/>
                <w:highlight w:val="none"/>
                <w:lang w:val="en-US" w:eastAsia="zh-CN"/>
              </w:rPr>
              <w:t>药剂</w:t>
            </w:r>
            <w:r>
              <w:rPr>
                <w:rFonts w:hint="default" w:ascii="Times New Roman" w:hAnsi="Times New Roman" w:cs="Times New Roman"/>
                <w:color w:val="auto"/>
                <w:sz w:val="21"/>
                <w:szCs w:val="21"/>
                <w:highlight w:val="none"/>
              </w:rPr>
              <w:t>除臭；</w:t>
            </w:r>
            <w:r>
              <w:rPr>
                <w:rFonts w:hint="eastAsia" w:ascii="Times New Roman" w:hAnsi="Times New Roman" w:cs="Times New Roman"/>
                <w:color w:val="auto"/>
                <w:sz w:val="21"/>
                <w:szCs w:val="21"/>
                <w:highlight w:val="none"/>
                <w:lang w:val="en-US" w:eastAsia="zh-CN"/>
              </w:rPr>
              <w:t>项目采用好氧堆肥方式；</w:t>
            </w:r>
          </w:p>
          <w:p>
            <w:pPr>
              <w:pageBreakBefore w:val="0"/>
              <w:numPr>
                <w:ilvl w:val="0"/>
                <w:numId w:val="22"/>
              </w:numPr>
              <w:tabs>
                <w:tab w:val="left" w:pos="397"/>
              </w:tabs>
              <w:wordWrap/>
              <w:bidi w:val="0"/>
              <w:adjustRightInd w:val="0"/>
              <w:spacing w:line="240" w:lineRule="auto"/>
              <w:ind w:left="425" w:leftChars="0" w:right="0" w:rightChars="0" w:hanging="425" w:firstLineChars="0"/>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粪污堆肥后用于垫料及还田利用；</w:t>
            </w:r>
          </w:p>
          <w:p>
            <w:pPr>
              <w:pageBreakBefore w:val="0"/>
              <w:numPr>
                <w:ilvl w:val="0"/>
                <w:numId w:val="22"/>
              </w:numPr>
              <w:tabs>
                <w:tab w:val="left" w:pos="397"/>
              </w:tabs>
              <w:wordWrap/>
              <w:bidi w:val="0"/>
              <w:adjustRightInd w:val="0"/>
              <w:spacing w:line="240" w:lineRule="auto"/>
              <w:ind w:left="425" w:leftChars="0" w:right="0" w:rightChars="0" w:hanging="425" w:firstLineChars="0"/>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集污池加盖；</w:t>
            </w:r>
          </w:p>
          <w:p>
            <w:pPr>
              <w:pageBreakBefore w:val="0"/>
              <w:numPr>
                <w:ilvl w:val="0"/>
                <w:numId w:val="22"/>
              </w:numPr>
              <w:tabs>
                <w:tab w:val="left" w:pos="397"/>
              </w:tabs>
              <w:wordWrap/>
              <w:bidi w:val="0"/>
              <w:adjustRightInd w:val="0"/>
              <w:spacing w:line="240" w:lineRule="auto"/>
              <w:ind w:left="425" w:leftChars="0" w:right="0" w:rightChars="0" w:hanging="425"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项目区运输道路硬化并及时清扫</w:t>
            </w:r>
            <w:r>
              <w:rPr>
                <w:rFonts w:hint="eastAsia" w:cs="Times New Roman"/>
                <w:color w:val="auto"/>
                <w:sz w:val="21"/>
                <w:szCs w:val="21"/>
                <w:highlight w:val="none"/>
                <w:lang w:val="en-US" w:eastAsia="zh-CN"/>
              </w:rPr>
              <w:t>；</w:t>
            </w:r>
          </w:p>
          <w:p>
            <w:pPr>
              <w:pageBreakBefore w:val="0"/>
              <w:numPr>
                <w:ilvl w:val="0"/>
                <w:numId w:val="22"/>
              </w:numPr>
              <w:tabs>
                <w:tab w:val="left" w:pos="397"/>
              </w:tabs>
              <w:wordWrap/>
              <w:bidi w:val="0"/>
              <w:adjustRightInd w:val="0"/>
              <w:spacing w:line="240" w:lineRule="auto"/>
              <w:ind w:left="425" w:leftChars="0" w:right="0" w:rightChars="0" w:hanging="425"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饲料投料口、出料口安装集气罩，饲料起尘经集气罩收集后由布袋除尘器除尘后经15m高排气筒排放。</w:t>
            </w:r>
          </w:p>
        </w:tc>
        <w:tc>
          <w:tcPr>
            <w:tcW w:w="300"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w:t>
            </w:r>
          </w:p>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单位</w:t>
            </w:r>
          </w:p>
        </w:tc>
        <w:tc>
          <w:tcPr>
            <w:tcW w:w="330"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537" w:hRule="atLeast"/>
          <w:jc w:val="center"/>
        </w:trPr>
        <w:tc>
          <w:tcPr>
            <w:tcW w:w="299"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p>
        </w:tc>
        <w:tc>
          <w:tcPr>
            <w:tcW w:w="4070" w:type="pct"/>
            <w:tcBorders>
              <w:tl2br w:val="nil"/>
              <w:tr2bl w:val="nil"/>
            </w:tcBorders>
            <w:noWrap w:val="0"/>
            <w:vAlign w:val="center"/>
          </w:tcPr>
          <w:p>
            <w:pPr>
              <w:pStyle w:val="55"/>
              <w:pageBreakBefore w:val="0"/>
              <w:wordWrap/>
              <w:bidi w:val="0"/>
              <w:adjustRightInd w:val="0"/>
              <w:ind w:left="0" w:leftChars="0" w:right="0" w:right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废水</w:t>
            </w:r>
          </w:p>
          <w:p>
            <w:pPr>
              <w:pStyle w:val="55"/>
              <w:pageBreakBefore w:val="0"/>
              <w:wordWrap/>
              <w:bidi w:val="0"/>
              <w:adjustRightInd w:val="0"/>
              <w:ind w:left="0" w:leftChars="0" w:right="0" w:rightChars="0"/>
              <w:jc w:val="both"/>
              <w:rPr>
                <w:rFonts w:hint="default" w:ascii="Times New Roman" w:hAnsi="Times New Roman" w:cs="Times New Roman"/>
                <w:color w:val="auto"/>
                <w:spacing w:val="-6"/>
                <w:sz w:val="21"/>
                <w:szCs w:val="21"/>
                <w:highlight w:val="none"/>
                <w:lang w:val="en-US" w:eastAsia="zh-CN"/>
              </w:rPr>
            </w:pPr>
            <w:r>
              <w:rPr>
                <w:rFonts w:hint="default" w:ascii="Times New Roman" w:hAnsi="Times New Roman" w:cs="Times New Roman"/>
                <w:color w:val="auto"/>
                <w:sz w:val="21"/>
                <w:szCs w:val="21"/>
                <w:highlight w:val="none"/>
              </w:rPr>
              <w:t>牛尿进入垫料中，部分自然蒸发，剩余部分与垫料一起进入堆粪场，不外排。</w:t>
            </w:r>
            <w:r>
              <w:rPr>
                <w:rFonts w:hint="eastAsia" w:cs="Times New Roman"/>
                <w:color w:val="auto"/>
                <w:sz w:val="21"/>
                <w:szCs w:val="21"/>
                <w:highlight w:val="none"/>
                <w:lang w:eastAsia="zh-CN"/>
              </w:rPr>
              <w:t>挤奶厅设备和地面清洗废水</w:t>
            </w:r>
            <w:r>
              <w:rPr>
                <w:rFonts w:hint="default" w:ascii="Times New Roman" w:hAnsi="Times New Roman" w:cs="Times New Roman"/>
                <w:color w:val="auto"/>
                <w:sz w:val="21"/>
                <w:szCs w:val="21"/>
                <w:highlight w:val="none"/>
                <w:lang w:eastAsia="zh-CN"/>
              </w:rPr>
              <w:t>及生活污水进入集污池收集</w:t>
            </w:r>
            <w:r>
              <w:rPr>
                <w:rFonts w:hint="default" w:ascii="Times New Roman" w:hAnsi="Times New Roman" w:cs="Times New Roman"/>
                <w:color w:val="auto"/>
                <w:spacing w:val="-6"/>
                <w:sz w:val="21"/>
                <w:szCs w:val="21"/>
                <w:highlight w:val="none"/>
                <w:lang w:eastAsia="zh-CN"/>
              </w:rPr>
              <w:t>后</w:t>
            </w:r>
            <w:r>
              <w:rPr>
                <w:rFonts w:hint="eastAsia" w:cs="Times New Roman"/>
                <w:color w:val="auto"/>
                <w:spacing w:val="-6"/>
                <w:sz w:val="21"/>
                <w:szCs w:val="21"/>
                <w:highlight w:val="none"/>
                <w:lang w:val="en-US" w:eastAsia="zh-CN"/>
              </w:rPr>
              <w:t>清掏拉运</w:t>
            </w:r>
            <w:r>
              <w:rPr>
                <w:rFonts w:hint="eastAsia"/>
                <w:color w:val="auto"/>
                <w:lang w:val="en-US" w:eastAsia="zh-CN"/>
              </w:rPr>
              <w:t>至塔城市污水厂</w:t>
            </w:r>
            <w:r>
              <w:rPr>
                <w:rFonts w:hint="eastAsia"/>
                <w:color w:val="auto"/>
              </w:rPr>
              <w:t>处理</w:t>
            </w:r>
            <w:r>
              <w:rPr>
                <w:rFonts w:hint="default" w:ascii="Times New Roman" w:hAnsi="Times New Roman" w:cs="Times New Roman"/>
                <w:color w:val="auto"/>
                <w:spacing w:val="-6"/>
                <w:sz w:val="21"/>
                <w:szCs w:val="21"/>
                <w:highlight w:val="none"/>
                <w:lang w:eastAsia="zh-CN"/>
              </w:rPr>
              <w:t>。</w:t>
            </w:r>
          </w:p>
        </w:tc>
        <w:tc>
          <w:tcPr>
            <w:tcW w:w="300"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w:t>
            </w:r>
          </w:p>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单位</w:t>
            </w:r>
          </w:p>
        </w:tc>
        <w:tc>
          <w:tcPr>
            <w:tcW w:w="330"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537" w:hRule="atLeast"/>
          <w:jc w:val="center"/>
        </w:trPr>
        <w:tc>
          <w:tcPr>
            <w:tcW w:w="299"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yellow"/>
              </w:rPr>
            </w:pPr>
          </w:p>
        </w:tc>
        <w:tc>
          <w:tcPr>
            <w:tcW w:w="4070" w:type="pct"/>
            <w:tcBorders>
              <w:tl2br w:val="nil"/>
              <w:tr2bl w:val="nil"/>
            </w:tcBorders>
            <w:noWrap w:val="0"/>
            <w:vAlign w:val="center"/>
          </w:tcPr>
          <w:p>
            <w:pPr>
              <w:pStyle w:val="55"/>
              <w:pageBreakBefore w:val="0"/>
              <w:wordWrap/>
              <w:bidi w:val="0"/>
              <w:adjustRightInd w:val="0"/>
              <w:ind w:left="0" w:leftChars="0" w:right="0" w:right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噪声</w:t>
            </w:r>
          </w:p>
          <w:p>
            <w:pPr>
              <w:pStyle w:val="55"/>
              <w:pageBreakBefore w:val="0"/>
              <w:wordWrap/>
              <w:bidi w:val="0"/>
              <w:adjustRightInd w:val="0"/>
              <w:ind w:left="0" w:leftChars="0" w:right="0" w:right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选用低噪声设备及必要的隔声、</w:t>
            </w:r>
            <w:r>
              <w:rPr>
                <w:rFonts w:hint="default" w:ascii="Times New Roman" w:hAnsi="Times New Roman" w:cs="Times New Roman"/>
                <w:color w:val="auto"/>
                <w:sz w:val="21"/>
                <w:szCs w:val="21"/>
                <w:highlight w:val="none"/>
                <w:lang w:val="en-US" w:eastAsia="zh-CN"/>
              </w:rPr>
              <w:t>减振</w:t>
            </w:r>
            <w:r>
              <w:rPr>
                <w:rFonts w:hint="default" w:ascii="Times New Roman" w:hAnsi="Times New Roman" w:cs="Times New Roman"/>
                <w:color w:val="auto"/>
                <w:sz w:val="21"/>
                <w:szCs w:val="21"/>
                <w:highlight w:val="none"/>
              </w:rPr>
              <w:t>措施；</w:t>
            </w:r>
          </w:p>
          <w:p>
            <w:pPr>
              <w:pStyle w:val="55"/>
              <w:pageBreakBefore w:val="0"/>
              <w:wordWrap/>
              <w:bidi w:val="0"/>
              <w:adjustRightInd w:val="0"/>
              <w:ind w:left="0" w:leftChars="0" w:right="0" w:right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保持设备良好的运营工况，及时</w:t>
            </w:r>
            <w:r>
              <w:rPr>
                <w:rFonts w:hint="eastAsia" w:cs="Times New Roman"/>
                <w:color w:val="auto"/>
                <w:sz w:val="21"/>
                <w:szCs w:val="21"/>
                <w:highlight w:val="none"/>
                <w:lang w:val="en-US" w:eastAsia="zh-CN"/>
              </w:rPr>
              <w:t>维护</w:t>
            </w:r>
            <w:r>
              <w:rPr>
                <w:rFonts w:hint="default" w:ascii="Times New Roman" w:hAnsi="Times New Roman" w:cs="Times New Roman"/>
                <w:color w:val="auto"/>
                <w:sz w:val="21"/>
                <w:szCs w:val="21"/>
                <w:highlight w:val="none"/>
              </w:rPr>
              <w:t>。</w:t>
            </w:r>
          </w:p>
        </w:tc>
        <w:tc>
          <w:tcPr>
            <w:tcW w:w="300"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w:t>
            </w:r>
          </w:p>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单位</w:t>
            </w:r>
          </w:p>
        </w:tc>
        <w:tc>
          <w:tcPr>
            <w:tcW w:w="330"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067" w:hRule="atLeast"/>
          <w:jc w:val="center"/>
        </w:trPr>
        <w:tc>
          <w:tcPr>
            <w:tcW w:w="299"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yellow"/>
              </w:rPr>
            </w:pPr>
          </w:p>
        </w:tc>
        <w:tc>
          <w:tcPr>
            <w:tcW w:w="4070" w:type="pct"/>
            <w:tcBorders>
              <w:tl2br w:val="nil"/>
              <w:tr2bl w:val="nil"/>
            </w:tcBorders>
            <w:noWrap w:val="0"/>
            <w:vAlign w:val="center"/>
          </w:tcPr>
          <w:p>
            <w:pPr>
              <w:pStyle w:val="55"/>
              <w:pageBreakBefore w:val="0"/>
              <w:wordWrap/>
              <w:bidi w:val="0"/>
              <w:adjustRightInd w:val="0"/>
              <w:ind w:left="0" w:leftChars="0" w:right="0" w:right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固体废物</w:t>
            </w:r>
          </w:p>
          <w:p>
            <w:pPr>
              <w:pStyle w:val="55"/>
              <w:pageBreakBefore w:val="0"/>
              <w:wordWrap/>
              <w:bidi w:val="0"/>
              <w:adjustRightInd w:val="0"/>
              <w:ind w:left="0" w:leftChars="0" w:right="0" w:right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eastAsia="zh-CN"/>
              </w:rPr>
              <w:t>）粪污</w:t>
            </w:r>
            <w:r>
              <w:rPr>
                <w:rFonts w:hint="default" w:ascii="Times New Roman" w:hAnsi="Times New Roman" w:cs="Times New Roman"/>
                <w:color w:val="auto"/>
                <w:sz w:val="21"/>
                <w:szCs w:val="21"/>
                <w:highlight w:val="none"/>
              </w:rPr>
              <w:t>日产日清，及时送至</w:t>
            </w:r>
            <w:r>
              <w:rPr>
                <w:rFonts w:hint="default" w:ascii="Times New Roman" w:hAnsi="Times New Roman" w:cs="Times New Roman"/>
                <w:color w:val="auto"/>
                <w:sz w:val="21"/>
                <w:szCs w:val="21"/>
                <w:highlight w:val="none"/>
                <w:lang w:eastAsia="zh-CN"/>
              </w:rPr>
              <w:t>堆粪场</w:t>
            </w:r>
            <w:r>
              <w:rPr>
                <w:rFonts w:hint="eastAsia" w:ascii="Times New Roman" w:hAnsi="Times New Roman" w:cs="Times New Roman"/>
                <w:color w:val="auto"/>
                <w:sz w:val="21"/>
                <w:szCs w:val="21"/>
                <w:highlight w:val="none"/>
                <w:lang w:val="en-US" w:eastAsia="zh-CN"/>
              </w:rPr>
              <w:t>堆肥</w:t>
            </w:r>
            <w:r>
              <w:rPr>
                <w:rFonts w:hint="default" w:ascii="Times New Roman" w:hAnsi="Times New Roman" w:cs="Times New Roman"/>
                <w:color w:val="auto"/>
                <w:sz w:val="21"/>
                <w:szCs w:val="21"/>
                <w:highlight w:val="none"/>
                <w:lang w:eastAsia="zh-CN"/>
              </w:rPr>
              <w:t>处理后</w:t>
            </w:r>
            <w:r>
              <w:rPr>
                <w:rFonts w:hint="eastAsia" w:ascii="Times New Roman" w:hAnsi="Times New Roman" w:cs="Times New Roman"/>
                <w:color w:val="auto"/>
                <w:sz w:val="21"/>
                <w:szCs w:val="21"/>
                <w:highlight w:val="none"/>
                <w:lang w:val="en-US" w:eastAsia="zh-CN"/>
              </w:rPr>
              <w:t>用于垫料及</w:t>
            </w:r>
            <w:r>
              <w:rPr>
                <w:rFonts w:hint="default" w:ascii="Times New Roman" w:hAnsi="Times New Roman" w:cs="Times New Roman"/>
                <w:color w:val="auto"/>
                <w:sz w:val="21"/>
                <w:szCs w:val="21"/>
                <w:highlight w:val="none"/>
                <w:lang w:eastAsia="zh-CN"/>
              </w:rPr>
              <w:t>还田利用</w:t>
            </w:r>
            <w:r>
              <w:rPr>
                <w:rFonts w:hint="default" w:ascii="Times New Roman" w:hAnsi="Times New Roman" w:cs="Times New Roman"/>
                <w:color w:val="auto"/>
                <w:sz w:val="21"/>
                <w:szCs w:val="21"/>
                <w:highlight w:val="none"/>
              </w:rPr>
              <w:t>。</w:t>
            </w:r>
          </w:p>
          <w:p>
            <w:pPr>
              <w:pStyle w:val="55"/>
              <w:pageBreakBefore w:val="0"/>
              <w:wordWrap/>
              <w:bidi w:val="0"/>
              <w:adjustRightInd w:val="0"/>
              <w:ind w:left="0" w:leftChars="0" w:right="0" w:rightChars="0"/>
              <w:jc w:val="both"/>
              <w:rPr>
                <w:rFonts w:hint="default" w:ascii="Times New Roman" w:hAnsi="Times New Roman" w:eastAsia="宋体" w:cs="Times New Roman"/>
                <w:color w:val="auto"/>
                <w:spacing w:val="-6"/>
                <w:sz w:val="21"/>
                <w:szCs w:val="21"/>
                <w:highlight w:val="none"/>
                <w:lang w:eastAsia="zh-CN"/>
              </w:rPr>
            </w:pPr>
            <w:r>
              <w:rPr>
                <w:rFonts w:hint="default" w:ascii="Times New Roman" w:hAnsi="Times New Roman" w:eastAsia="宋体" w:cs="Times New Roman"/>
                <w:color w:val="auto"/>
                <w:spacing w:val="-6"/>
                <w:sz w:val="21"/>
                <w:szCs w:val="21"/>
                <w:highlight w:val="none"/>
                <w:lang w:eastAsia="zh-CN"/>
              </w:rPr>
              <w:t>（</w:t>
            </w:r>
            <w:r>
              <w:rPr>
                <w:rFonts w:hint="default" w:ascii="Times New Roman" w:hAnsi="Times New Roman" w:eastAsia="宋体" w:cs="Times New Roman"/>
                <w:color w:val="auto"/>
                <w:spacing w:val="-6"/>
                <w:sz w:val="21"/>
                <w:szCs w:val="21"/>
                <w:highlight w:val="none"/>
                <w:lang w:val="en-US" w:eastAsia="zh-CN"/>
              </w:rPr>
              <w:t>2</w:t>
            </w:r>
            <w:r>
              <w:rPr>
                <w:rFonts w:hint="default" w:ascii="Times New Roman" w:hAnsi="Times New Roman" w:eastAsia="宋体" w:cs="Times New Roman"/>
                <w:color w:val="auto"/>
                <w:spacing w:val="-6"/>
                <w:sz w:val="21"/>
                <w:szCs w:val="21"/>
                <w:highlight w:val="none"/>
                <w:lang w:eastAsia="zh-CN"/>
              </w:rPr>
              <w:t>）</w:t>
            </w:r>
            <w:r>
              <w:rPr>
                <w:rFonts w:hint="default" w:ascii="Times New Roman" w:hAnsi="Times New Roman" w:eastAsia="宋体" w:cs="Times New Roman"/>
                <w:color w:val="auto"/>
                <w:spacing w:val="-6"/>
                <w:sz w:val="21"/>
                <w:szCs w:val="21"/>
                <w:highlight w:val="none"/>
              </w:rPr>
              <w:t>医疗废物暂存在</w:t>
            </w:r>
            <w:r>
              <w:rPr>
                <w:rFonts w:hint="default" w:ascii="Times New Roman" w:hAnsi="Times New Roman" w:cs="Times New Roman"/>
                <w:color w:val="auto"/>
                <w:spacing w:val="-6"/>
                <w:sz w:val="21"/>
                <w:szCs w:val="21"/>
                <w:highlight w:val="none"/>
                <w:lang w:eastAsia="zh-CN"/>
              </w:rPr>
              <w:t>医疗废物暂存间</w:t>
            </w:r>
            <w:r>
              <w:rPr>
                <w:rFonts w:hint="default" w:ascii="Times New Roman" w:hAnsi="Times New Roman" w:eastAsia="宋体" w:cs="Times New Roman"/>
                <w:color w:val="auto"/>
                <w:spacing w:val="-6"/>
                <w:sz w:val="21"/>
                <w:szCs w:val="21"/>
                <w:highlight w:val="none"/>
              </w:rPr>
              <w:t>的专用容器内，交由有资质的单位处置</w:t>
            </w:r>
            <w:r>
              <w:rPr>
                <w:rFonts w:hint="default" w:ascii="Times New Roman" w:hAnsi="Times New Roman" w:cs="Times New Roman"/>
                <w:color w:val="auto"/>
                <w:spacing w:val="-6"/>
                <w:sz w:val="21"/>
                <w:szCs w:val="21"/>
                <w:highlight w:val="none"/>
                <w:lang w:eastAsia="zh-CN"/>
              </w:rPr>
              <w:t>。</w:t>
            </w:r>
          </w:p>
          <w:p>
            <w:pPr>
              <w:pStyle w:val="55"/>
              <w:pageBreakBefore w:val="0"/>
              <w:wordWrap/>
              <w:bidi w:val="0"/>
              <w:adjustRightInd w:val="0"/>
              <w:ind w:left="0" w:leftChars="0" w:right="0" w:right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病死牛尸体</w:t>
            </w:r>
            <w:r>
              <w:rPr>
                <w:rFonts w:hint="eastAsia" w:cs="Times New Roman"/>
                <w:color w:val="auto"/>
                <w:sz w:val="21"/>
                <w:szCs w:val="21"/>
                <w:highlight w:val="none"/>
                <w:lang w:val="en-US" w:eastAsia="zh-CN"/>
              </w:rPr>
              <w:t>进入</w:t>
            </w:r>
            <w:r>
              <w:rPr>
                <w:rFonts w:hint="default" w:ascii="Times New Roman" w:hAnsi="Times New Roman" w:cs="Times New Roman"/>
                <w:color w:val="auto"/>
                <w:sz w:val="21"/>
                <w:szCs w:val="21"/>
                <w:highlight w:val="none"/>
                <w:lang w:val="en-US" w:eastAsia="zh-CN"/>
              </w:rPr>
              <w:t>安全填埋井填埋</w:t>
            </w:r>
            <w:r>
              <w:rPr>
                <w:rFonts w:hint="default" w:ascii="Times New Roman" w:hAnsi="Times New Roman" w:cs="Times New Roman"/>
                <w:color w:val="auto"/>
                <w:sz w:val="21"/>
                <w:szCs w:val="21"/>
                <w:highlight w:val="none"/>
              </w:rPr>
              <w:t>。</w:t>
            </w:r>
          </w:p>
          <w:p>
            <w:pPr>
              <w:pStyle w:val="55"/>
              <w:pageBreakBefore w:val="0"/>
              <w:wordWrap/>
              <w:bidi w:val="0"/>
              <w:adjustRightInd w:val="0"/>
              <w:ind w:left="0" w:leftChars="0" w:right="0" w:right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生活垃圾经场区内垃圾桶集中收集后，交环卫部门处理。</w:t>
            </w:r>
          </w:p>
          <w:p>
            <w:pPr>
              <w:pStyle w:val="55"/>
              <w:pageBreakBefore w:val="0"/>
              <w:wordWrap/>
              <w:bidi w:val="0"/>
              <w:adjustRightInd w:val="0"/>
              <w:ind w:left="0" w:leftChars="0" w:right="0" w:right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（5）布袋除尘收集的粉尘作为饲料用于牛饲养。</w:t>
            </w:r>
          </w:p>
        </w:tc>
        <w:tc>
          <w:tcPr>
            <w:tcW w:w="300"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w:t>
            </w:r>
          </w:p>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单位</w:t>
            </w:r>
          </w:p>
        </w:tc>
        <w:tc>
          <w:tcPr>
            <w:tcW w:w="330"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243" w:hRule="atLeast"/>
          <w:jc w:val="center"/>
        </w:trPr>
        <w:tc>
          <w:tcPr>
            <w:tcW w:w="299"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yellow"/>
              </w:rPr>
            </w:pPr>
          </w:p>
        </w:tc>
        <w:tc>
          <w:tcPr>
            <w:tcW w:w="4070" w:type="pct"/>
            <w:tcBorders>
              <w:tl2br w:val="nil"/>
              <w:tr2bl w:val="nil"/>
            </w:tcBorders>
            <w:noWrap w:val="0"/>
            <w:vAlign w:val="center"/>
          </w:tcPr>
          <w:p>
            <w:pPr>
              <w:pStyle w:val="55"/>
              <w:pageBreakBefore w:val="0"/>
              <w:wordWrap/>
              <w:bidi w:val="0"/>
              <w:adjustRightInd w:val="0"/>
              <w:ind w:left="0" w:leftChars="0" w:right="0" w:right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5.土壤</w:t>
            </w:r>
          </w:p>
          <w:p>
            <w:pPr>
              <w:pStyle w:val="55"/>
              <w:pageBreakBefore w:val="0"/>
              <w:wordWrap/>
              <w:bidi w:val="0"/>
              <w:adjustRightInd w:val="0"/>
              <w:ind w:left="0" w:leftChars="0" w:right="0" w:right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粪污堆肥</w:t>
            </w:r>
            <w:r>
              <w:rPr>
                <w:rFonts w:hint="default" w:ascii="Times New Roman" w:hAnsi="Times New Roman" w:eastAsia="宋体" w:cs="Times New Roman"/>
                <w:color w:val="auto"/>
                <w:sz w:val="21"/>
                <w:szCs w:val="21"/>
                <w:highlight w:val="none"/>
              </w:rPr>
              <w:t>施用前需满足《畜禽粪便还田技术规范》</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GB/T 25246-201</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等相关要求，避免过量施肥进而污染外环境。</w:t>
            </w:r>
          </w:p>
          <w:p>
            <w:pPr>
              <w:pStyle w:val="55"/>
              <w:pageBreakBefore w:val="0"/>
              <w:wordWrap/>
              <w:bidi w:val="0"/>
              <w:adjustRightInd w:val="0"/>
              <w:ind w:left="0" w:leftChars="0" w:right="0" w:right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）配套有机肥施用农田面积需满足《畜禽粪污土地承载力测算技术指南》、《畜禽养殖业污染治理工程技术规范》（HJ 497-2009）的相关要求。</w:t>
            </w:r>
          </w:p>
          <w:p>
            <w:pPr>
              <w:pStyle w:val="55"/>
              <w:pageBreakBefore w:val="0"/>
              <w:wordWrap/>
              <w:bidi w:val="0"/>
              <w:adjustRightInd w:val="0"/>
              <w:ind w:left="0" w:leftChars="0" w:right="0" w:rightChars="0"/>
              <w:jc w:val="both"/>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）加强施肥指导宣传，科学合理按需施肥，避免过量施肥</w:t>
            </w:r>
            <w:r>
              <w:rPr>
                <w:rFonts w:hint="default" w:ascii="Times New Roman" w:hAnsi="Times New Roman" w:cs="Times New Roman"/>
                <w:color w:val="auto"/>
                <w:sz w:val="21"/>
                <w:szCs w:val="21"/>
                <w:highlight w:val="none"/>
              </w:rPr>
              <w:t>。</w:t>
            </w:r>
          </w:p>
          <w:p>
            <w:pPr>
              <w:pStyle w:val="55"/>
              <w:pageBreakBefore w:val="0"/>
              <w:wordWrap/>
              <w:bidi w:val="0"/>
              <w:adjustRightInd w:val="0"/>
              <w:ind w:left="0" w:leftChars="0" w:right="0" w:right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采取分区防渗措施。</w:t>
            </w:r>
          </w:p>
        </w:tc>
        <w:tc>
          <w:tcPr>
            <w:tcW w:w="300"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w:t>
            </w:r>
          </w:p>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单位</w:t>
            </w:r>
          </w:p>
        </w:tc>
        <w:tc>
          <w:tcPr>
            <w:tcW w:w="330"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60" w:hRule="atLeast"/>
          <w:jc w:val="center"/>
        </w:trPr>
        <w:tc>
          <w:tcPr>
            <w:tcW w:w="299"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yellow"/>
              </w:rPr>
            </w:pPr>
          </w:p>
        </w:tc>
        <w:tc>
          <w:tcPr>
            <w:tcW w:w="4070" w:type="pct"/>
            <w:tcBorders>
              <w:tl2br w:val="nil"/>
              <w:tr2bl w:val="nil"/>
            </w:tcBorders>
            <w:noWrap w:val="0"/>
            <w:vAlign w:val="center"/>
          </w:tcPr>
          <w:p>
            <w:pPr>
              <w:pStyle w:val="55"/>
              <w:pageBreakBefore w:val="0"/>
              <w:wordWrap/>
              <w:bidi w:val="0"/>
              <w:adjustRightInd w:val="0"/>
              <w:ind w:left="0" w:leftChars="0" w:right="0" w:right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6.地下水</w:t>
            </w:r>
          </w:p>
          <w:p>
            <w:pPr>
              <w:pStyle w:val="55"/>
              <w:pageBreakBefore w:val="0"/>
              <w:wordWrap/>
              <w:bidi w:val="0"/>
              <w:adjustRightInd w:val="0"/>
              <w:ind w:left="0" w:leftChars="0" w:right="0" w:right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对</w:t>
            </w:r>
            <w:r>
              <w:rPr>
                <w:rFonts w:hint="default" w:ascii="Times New Roman" w:hAnsi="Times New Roman" w:cs="Times New Roman"/>
                <w:color w:val="auto"/>
                <w:sz w:val="21"/>
                <w:szCs w:val="21"/>
                <w:highlight w:val="none"/>
                <w:lang w:val="en-US" w:eastAsia="zh-CN"/>
              </w:rPr>
              <w:t>堆粪场</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医疗废物暂存间</w:t>
            </w:r>
            <w:r>
              <w:rPr>
                <w:rFonts w:hint="default" w:ascii="Times New Roman" w:hAnsi="Times New Roman" w:eastAsia="宋体" w:cs="Times New Roman"/>
                <w:color w:val="auto"/>
                <w:sz w:val="21"/>
                <w:szCs w:val="21"/>
                <w:highlight w:val="none"/>
                <w:lang w:val="en-US" w:eastAsia="zh-CN"/>
              </w:rPr>
              <w:t>、青贮窖、牛舍等采取分区防渗措施。</w:t>
            </w:r>
          </w:p>
        </w:tc>
        <w:tc>
          <w:tcPr>
            <w:tcW w:w="300"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w:t>
            </w:r>
          </w:p>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单位</w:t>
            </w:r>
          </w:p>
        </w:tc>
        <w:tc>
          <w:tcPr>
            <w:tcW w:w="330"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556" w:hRule="atLeast"/>
          <w:jc w:val="center"/>
        </w:trPr>
        <w:tc>
          <w:tcPr>
            <w:tcW w:w="299"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yellow"/>
              </w:rPr>
            </w:pPr>
          </w:p>
        </w:tc>
        <w:tc>
          <w:tcPr>
            <w:tcW w:w="4070" w:type="pct"/>
            <w:tcBorders>
              <w:tl2br w:val="nil"/>
              <w:tr2bl w:val="nil"/>
            </w:tcBorders>
            <w:noWrap w:val="0"/>
            <w:vAlign w:val="center"/>
          </w:tcPr>
          <w:p>
            <w:pPr>
              <w:pStyle w:val="55"/>
              <w:pageBreakBefore w:val="0"/>
              <w:wordWrap/>
              <w:bidi w:val="0"/>
              <w:adjustRightInd w:val="0"/>
              <w:ind w:left="0" w:leftChars="0" w:right="0" w:right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7.</w:t>
            </w:r>
            <w:r>
              <w:rPr>
                <w:rFonts w:hint="default" w:ascii="Times New Roman" w:hAnsi="Times New Roman" w:cs="Times New Roman"/>
                <w:color w:val="auto"/>
                <w:sz w:val="21"/>
                <w:szCs w:val="21"/>
                <w:highlight w:val="none"/>
              </w:rPr>
              <w:t>环境管理</w:t>
            </w:r>
          </w:p>
          <w:p>
            <w:pPr>
              <w:pStyle w:val="55"/>
              <w:pageBreakBefore w:val="0"/>
              <w:wordWrap/>
              <w:bidi w:val="0"/>
              <w:adjustRightInd w:val="0"/>
              <w:ind w:left="0" w:leftChars="0" w:right="0" w:right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建立环境监测制度，做好监测档案管理；定期检查标识牌悬挂情况，对破损标识牌及时更换。</w:t>
            </w:r>
          </w:p>
        </w:tc>
        <w:tc>
          <w:tcPr>
            <w:tcW w:w="300"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w:t>
            </w:r>
          </w:p>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单位</w:t>
            </w:r>
          </w:p>
        </w:tc>
        <w:tc>
          <w:tcPr>
            <w:tcW w:w="330"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yellow"/>
              </w:rPr>
            </w:pPr>
          </w:p>
        </w:tc>
      </w:tr>
    </w:tbl>
    <w:p>
      <w:pPr>
        <w:pStyle w:val="4"/>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425" w:name="_Toc13948"/>
      <w:bookmarkStart w:id="426" w:name="_Toc3219"/>
      <w:bookmarkStart w:id="427" w:name="_Toc9495"/>
      <w:bookmarkStart w:id="428" w:name="_Toc14839_WPSOffice_Level3"/>
      <w:bookmarkStart w:id="429" w:name="_Toc32328"/>
      <w:bookmarkStart w:id="430" w:name="_Toc5262_WPSOffice_Level3"/>
      <w:bookmarkStart w:id="431" w:name="_Toc107"/>
      <w:r>
        <w:rPr>
          <w:rFonts w:hint="default" w:ascii="Times New Roman" w:hAnsi="Times New Roman" w:cs="Times New Roman"/>
          <w:color w:val="auto"/>
          <w:highlight w:val="none"/>
        </w:rPr>
        <w:t>排污口规范化</w:t>
      </w:r>
      <w:bookmarkEnd w:id="425"/>
      <w:bookmarkEnd w:id="426"/>
      <w:bookmarkEnd w:id="427"/>
      <w:bookmarkEnd w:id="428"/>
      <w:bookmarkEnd w:id="429"/>
      <w:bookmarkEnd w:id="430"/>
      <w:bookmarkEnd w:id="431"/>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的各排污口按照环境管理要求，必须进行规范化建设，在本项目大气排放源、噪声排放源、固体废物源设立规范的环境保护图形标志，按照《环境保护图形标志―排放口（源）》（GB15562.1-1995、1996-07-11实施）</w:t>
      </w:r>
      <w:r>
        <w:rPr>
          <w:rFonts w:hint="default" w:ascii="Times New Roman" w:hAnsi="Times New Roman" w:cs="Times New Roman"/>
          <w:color w:val="auto"/>
          <w:highlight w:val="none"/>
          <w:lang w:val="en-US" w:eastAsia="zh-CN"/>
        </w:rPr>
        <w:t>、《环境保护图形标志</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固体废物贮存（处置）场》（GB 15562.2-1995）</w:t>
      </w:r>
      <w:r>
        <w:rPr>
          <w:rFonts w:hint="eastAsia" w:cs="Times New Roman"/>
          <w:color w:val="auto"/>
          <w:highlight w:val="none"/>
          <w:lang w:val="en-US" w:eastAsia="zh-CN"/>
        </w:rPr>
        <w:t>及其修改单</w:t>
      </w:r>
      <w:r>
        <w:rPr>
          <w:rFonts w:hint="default" w:ascii="Times New Roman" w:hAnsi="Times New Roman" w:cs="Times New Roman"/>
          <w:color w:val="auto"/>
          <w:highlight w:val="none"/>
          <w:lang w:val="en-US" w:eastAsia="zh-CN"/>
        </w:rPr>
        <w:t>、《医疗废物专用包装袋、容器和警示标志标准》（HJ 421-2008）设置</w:t>
      </w:r>
      <w:r>
        <w:rPr>
          <w:rFonts w:hint="default" w:ascii="Times New Roman" w:hAnsi="Times New Roman" w:cs="Times New Roman"/>
          <w:color w:val="auto"/>
          <w:highlight w:val="none"/>
        </w:rPr>
        <w:t>，以利于</w:t>
      </w:r>
      <w:r>
        <w:rPr>
          <w:rFonts w:hint="default" w:ascii="Times New Roman" w:hAnsi="Times New Roman" w:cs="Times New Roman"/>
          <w:color w:val="auto"/>
          <w:highlight w:val="none"/>
          <w:lang w:eastAsia="zh-CN"/>
        </w:rPr>
        <w:t>生态环境</w:t>
      </w:r>
      <w:r>
        <w:rPr>
          <w:rFonts w:hint="default" w:ascii="Times New Roman" w:hAnsi="Times New Roman" w:cs="Times New Roman"/>
          <w:color w:val="auto"/>
          <w:highlight w:val="none"/>
        </w:rPr>
        <w:t xml:space="preserve">主管部门对各排放口的监督管理。标志牌应设置在与之功能相应的醒目处，环境保护图形标志具体设置图形见表8.3-1。 </w:t>
      </w:r>
    </w:p>
    <w:p>
      <w:pPr>
        <w:pStyle w:val="50"/>
        <w:pageBreakBefore w:val="0"/>
        <w:wordWrap/>
        <w:bidi w:val="0"/>
        <w:adjustRightInd w:val="0"/>
        <w:ind w:left="0" w:leftChars="0" w:right="0" w:rightChars="0"/>
        <w:rPr>
          <w:rFonts w:hint="default" w:ascii="Times New Roman" w:hAnsi="Times New Roman" w:cs="Times New Roman"/>
          <w:color w:val="auto"/>
          <w:sz w:val="21"/>
          <w:szCs w:val="21"/>
          <w:highlight w:val="none"/>
        </w:rPr>
      </w:pPr>
      <w:bookmarkStart w:id="432" w:name="_Toc304_WPSOffice_Level3"/>
      <w:bookmarkStart w:id="433" w:name="_Toc1164_WPSOffice_Level2"/>
      <w:bookmarkStart w:id="434" w:name="_Toc543_WPSOffice_Level2"/>
      <w:bookmarkStart w:id="435" w:name="_Toc13772_WPSOffice_Level3"/>
      <w:bookmarkStart w:id="436" w:name="_Toc11566_WPSOffice_Level2"/>
      <w:bookmarkStart w:id="437" w:name="_Toc17649_WPSOffice_Level2"/>
      <w:r>
        <w:rPr>
          <w:rFonts w:hint="default" w:ascii="Times New Roman" w:hAnsi="Times New Roman" w:cs="Times New Roman"/>
          <w:color w:val="auto"/>
          <w:sz w:val="21"/>
          <w:szCs w:val="21"/>
          <w:highlight w:val="none"/>
        </w:rPr>
        <w:t>表8.3-1    环境保护图形标志设置图形表</w:t>
      </w:r>
      <w:bookmarkEnd w:id="432"/>
      <w:bookmarkEnd w:id="433"/>
      <w:bookmarkEnd w:id="434"/>
      <w:bookmarkEnd w:id="435"/>
      <w:bookmarkEnd w:id="436"/>
      <w:bookmarkEnd w:id="437"/>
    </w:p>
    <w:tbl>
      <w:tblPr>
        <w:tblStyle w:val="39"/>
        <w:tblW w:w="0" w:type="auto"/>
        <w:jc w:val="center"/>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tblLayout w:type="fixed"/>
        <w:tblCellMar>
          <w:top w:w="0" w:type="dxa"/>
          <w:left w:w="108" w:type="dxa"/>
          <w:bottom w:w="0" w:type="dxa"/>
          <w:right w:w="108" w:type="dxa"/>
        </w:tblCellMar>
      </w:tblPr>
      <w:tblGrid>
        <w:gridCol w:w="1079"/>
        <w:gridCol w:w="1411"/>
        <w:gridCol w:w="1510"/>
        <w:gridCol w:w="1508"/>
        <w:gridCol w:w="1510"/>
        <w:gridCol w:w="1510"/>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tblCellMar>
            <w:top w:w="0" w:type="dxa"/>
            <w:left w:w="108" w:type="dxa"/>
            <w:bottom w:w="0" w:type="dxa"/>
            <w:right w:w="108" w:type="dxa"/>
          </w:tblCellMar>
        </w:tblPrEx>
        <w:trPr>
          <w:trHeight w:val="90" w:hRule="atLeast"/>
          <w:jc w:val="center"/>
        </w:trPr>
        <w:tc>
          <w:tcPr>
            <w:tcW w:w="1079" w:type="dxa"/>
            <w:tcBorders>
              <w:tl2br w:val="nil"/>
              <w:tr2bl w:val="nil"/>
            </w:tcBorders>
            <w:noWrap w:val="0"/>
            <w:vAlign w:val="center"/>
          </w:tcPr>
          <w:p>
            <w:pPr>
              <w:pageBreakBefore w:val="0"/>
              <w:wordWrap/>
              <w:bidi w:val="0"/>
              <w:adjustRightInd w:val="0"/>
              <w:spacing w:line="280" w:lineRule="exact"/>
              <w:ind w:left="0" w:leftChars="0" w:right="0" w:rightChars="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bidi="ar"/>
              </w:rPr>
              <w:t>排放口</w:t>
            </w:r>
          </w:p>
        </w:tc>
        <w:tc>
          <w:tcPr>
            <w:tcW w:w="1411" w:type="dxa"/>
            <w:tcBorders>
              <w:tl2br w:val="nil"/>
              <w:tr2bl w:val="nil"/>
            </w:tcBorders>
            <w:noWrap w:val="0"/>
            <w:tcMar>
              <w:left w:w="0" w:type="dxa"/>
              <w:right w:w="0" w:type="dxa"/>
            </w:tcMar>
            <w:vAlign w:val="center"/>
          </w:tcPr>
          <w:p>
            <w:pPr>
              <w:pageBreakBefore w:val="0"/>
              <w:wordWrap/>
              <w:bidi w:val="0"/>
              <w:adjustRightInd w:val="0"/>
              <w:spacing w:line="280" w:lineRule="exact"/>
              <w:ind w:left="0" w:leftChars="0" w:right="0" w:rightChars="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bidi="ar"/>
              </w:rPr>
              <w:t>废水排口</w:t>
            </w:r>
          </w:p>
        </w:tc>
        <w:tc>
          <w:tcPr>
            <w:tcW w:w="1510" w:type="dxa"/>
            <w:tcBorders>
              <w:tl2br w:val="nil"/>
              <w:tr2bl w:val="nil"/>
            </w:tcBorders>
            <w:noWrap w:val="0"/>
            <w:vAlign w:val="center"/>
          </w:tcPr>
          <w:p>
            <w:pPr>
              <w:pageBreakBefore w:val="0"/>
              <w:wordWrap/>
              <w:bidi w:val="0"/>
              <w:adjustRightInd w:val="0"/>
              <w:spacing w:line="280" w:lineRule="exact"/>
              <w:ind w:left="0" w:leftChars="0" w:right="0" w:rightChars="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bidi="ar"/>
              </w:rPr>
              <w:t>废气排口</w:t>
            </w:r>
          </w:p>
        </w:tc>
        <w:tc>
          <w:tcPr>
            <w:tcW w:w="1508" w:type="dxa"/>
            <w:tcBorders>
              <w:tl2br w:val="nil"/>
              <w:tr2bl w:val="nil"/>
            </w:tcBorders>
            <w:noWrap w:val="0"/>
            <w:vAlign w:val="center"/>
          </w:tcPr>
          <w:p>
            <w:pPr>
              <w:pageBreakBefore w:val="0"/>
              <w:wordWrap/>
              <w:bidi w:val="0"/>
              <w:adjustRightInd w:val="0"/>
              <w:spacing w:line="280" w:lineRule="exact"/>
              <w:ind w:left="0" w:leftChars="0" w:right="0" w:rightChars="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bidi="ar"/>
              </w:rPr>
              <w:t>固废堆场</w:t>
            </w:r>
          </w:p>
        </w:tc>
        <w:tc>
          <w:tcPr>
            <w:tcW w:w="1510" w:type="dxa"/>
            <w:tcBorders>
              <w:tl2br w:val="nil"/>
              <w:tr2bl w:val="nil"/>
            </w:tcBorders>
            <w:noWrap w:val="0"/>
            <w:vAlign w:val="center"/>
          </w:tcPr>
          <w:p>
            <w:pPr>
              <w:pageBreakBefore w:val="0"/>
              <w:wordWrap/>
              <w:bidi w:val="0"/>
              <w:adjustRightInd w:val="0"/>
              <w:spacing w:line="280" w:lineRule="exact"/>
              <w:ind w:left="0" w:leftChars="0" w:right="0" w:rightChars="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bidi="ar"/>
              </w:rPr>
              <w:t>噪声源</w:t>
            </w:r>
          </w:p>
        </w:tc>
        <w:tc>
          <w:tcPr>
            <w:tcW w:w="1510" w:type="dxa"/>
            <w:tcBorders>
              <w:tl2br w:val="nil"/>
              <w:tr2bl w:val="nil"/>
            </w:tcBorders>
            <w:noWrap w:val="0"/>
            <w:vAlign w:val="center"/>
          </w:tcPr>
          <w:p>
            <w:pPr>
              <w:pageBreakBefore w:val="0"/>
              <w:wordWrap/>
              <w:bidi w:val="0"/>
              <w:adjustRightInd w:val="0"/>
              <w:spacing w:line="280" w:lineRule="exact"/>
              <w:ind w:left="0" w:leftChars="0" w:right="0" w:rightChars="0" w:firstLine="0" w:firstLineChars="0"/>
              <w:jc w:val="center"/>
              <w:rPr>
                <w:rFonts w:hint="default" w:ascii="Times New Roman" w:hAnsi="Times New Roman" w:cs="Times New Roman"/>
                <w:b/>
                <w:bCs/>
                <w:color w:val="auto"/>
                <w:sz w:val="21"/>
                <w:szCs w:val="21"/>
                <w:highlight w:val="none"/>
                <w:lang w:bidi="ar"/>
              </w:rPr>
            </w:pPr>
            <w:r>
              <w:rPr>
                <w:rFonts w:hint="default" w:ascii="Times New Roman" w:hAnsi="Times New Roman" w:cs="Times New Roman"/>
                <w:b/>
                <w:bCs/>
                <w:color w:val="auto"/>
                <w:sz w:val="21"/>
                <w:szCs w:val="21"/>
                <w:highlight w:val="none"/>
                <w:lang w:bidi="ar"/>
              </w:rPr>
              <w:t>医疗废物</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tblCellMar>
            <w:top w:w="0" w:type="dxa"/>
            <w:left w:w="108" w:type="dxa"/>
            <w:bottom w:w="0" w:type="dxa"/>
            <w:right w:w="108" w:type="dxa"/>
          </w:tblCellMar>
        </w:tblPrEx>
        <w:trPr>
          <w:trHeight w:val="1088" w:hRule="atLeast"/>
          <w:jc w:val="center"/>
        </w:trPr>
        <w:tc>
          <w:tcPr>
            <w:tcW w:w="1079" w:type="dxa"/>
            <w:tcBorders>
              <w:tl2br w:val="nil"/>
              <w:tr2bl w:val="nil"/>
            </w:tcBorders>
            <w:noWrap w:val="0"/>
            <w:vAlign w:val="center"/>
          </w:tcPr>
          <w:p>
            <w:pPr>
              <w:pageBreakBefore w:val="0"/>
              <w:wordWrap/>
              <w:bidi w:val="0"/>
              <w:adjustRightInd w:val="0"/>
              <w:spacing w:line="320" w:lineRule="exact"/>
              <w:ind w:left="0" w:leftChars="0" w:right="0" w:rightChars="0" w:firstLine="0" w:firstLineChars="0"/>
              <w:jc w:val="center"/>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图形</w:t>
            </w:r>
          </w:p>
          <w:p>
            <w:pPr>
              <w:pageBreakBefore w:val="0"/>
              <w:wordWrap/>
              <w:bidi w:val="0"/>
              <w:adjustRightInd w:val="0"/>
              <w:spacing w:line="320" w:lineRule="exact"/>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符号</w:t>
            </w:r>
          </w:p>
        </w:tc>
        <w:tc>
          <w:tcPr>
            <w:tcW w:w="1411" w:type="dxa"/>
            <w:tcBorders>
              <w:tl2br w:val="nil"/>
              <w:tr2bl w:val="nil"/>
            </w:tcBorders>
            <w:noWrap w:val="0"/>
            <w:tcMar>
              <w:left w:w="0" w:type="dxa"/>
              <w:right w:w="0" w:type="dxa"/>
            </w:tcMar>
            <w:vAlign w:val="top"/>
          </w:tcPr>
          <w:p>
            <w:pPr>
              <w:pageBreakBefore w:val="0"/>
              <w:wordWrap/>
              <w:bidi w:val="0"/>
              <w:adjustRightInd w:val="0"/>
              <w:spacing w:line="320" w:lineRule="exact"/>
              <w:ind w:left="0" w:leftChars="0" w:right="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highlight w:val="none"/>
              </w:rPr>
              <w:drawing>
                <wp:anchor distT="0" distB="0" distL="114300" distR="114300" simplePos="0" relativeHeight="251679744" behindDoc="0" locked="0" layoutInCell="1" allowOverlap="1">
                  <wp:simplePos x="0" y="0"/>
                  <wp:positionH relativeFrom="column">
                    <wp:posOffset>8255</wp:posOffset>
                  </wp:positionH>
                  <wp:positionV relativeFrom="paragraph">
                    <wp:posOffset>0</wp:posOffset>
                  </wp:positionV>
                  <wp:extent cx="878840" cy="685800"/>
                  <wp:effectExtent l="0" t="0" r="16510" b="0"/>
                  <wp:wrapNone/>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63"/>
                          <a:stretch>
                            <a:fillRect/>
                          </a:stretch>
                        </pic:blipFill>
                        <pic:spPr>
                          <a:xfrm>
                            <a:off x="0" y="0"/>
                            <a:ext cx="878840" cy="685800"/>
                          </a:xfrm>
                          <a:prstGeom prst="rect">
                            <a:avLst/>
                          </a:prstGeom>
                          <a:noFill/>
                          <a:ln>
                            <a:noFill/>
                          </a:ln>
                        </pic:spPr>
                      </pic:pic>
                    </a:graphicData>
                  </a:graphic>
                </wp:anchor>
              </w:drawing>
            </w:r>
          </w:p>
        </w:tc>
        <w:tc>
          <w:tcPr>
            <w:tcW w:w="1510" w:type="dxa"/>
            <w:tcBorders>
              <w:tl2br w:val="nil"/>
              <w:tr2bl w:val="nil"/>
            </w:tcBorders>
            <w:noWrap w:val="0"/>
            <w:vAlign w:val="top"/>
          </w:tcPr>
          <w:p>
            <w:pPr>
              <w:pageBreakBefore w:val="0"/>
              <w:wordWrap/>
              <w:bidi w:val="0"/>
              <w:adjustRightInd w:val="0"/>
              <w:spacing w:line="320" w:lineRule="exact"/>
              <w:ind w:left="0" w:leftChars="0" w:right="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highlight w:val="none"/>
              </w:rPr>
              <w:drawing>
                <wp:anchor distT="0" distB="0" distL="114300" distR="114300" simplePos="0" relativeHeight="251680768" behindDoc="0" locked="0" layoutInCell="1" allowOverlap="1">
                  <wp:simplePos x="0" y="0"/>
                  <wp:positionH relativeFrom="column">
                    <wp:posOffset>-38100</wp:posOffset>
                  </wp:positionH>
                  <wp:positionV relativeFrom="paragraph">
                    <wp:posOffset>28575</wp:posOffset>
                  </wp:positionV>
                  <wp:extent cx="868045" cy="635635"/>
                  <wp:effectExtent l="0" t="0" r="8255" b="12065"/>
                  <wp:wrapNone/>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64"/>
                          <a:stretch>
                            <a:fillRect/>
                          </a:stretch>
                        </pic:blipFill>
                        <pic:spPr>
                          <a:xfrm>
                            <a:off x="0" y="0"/>
                            <a:ext cx="868045" cy="635635"/>
                          </a:xfrm>
                          <a:prstGeom prst="rect">
                            <a:avLst/>
                          </a:prstGeom>
                          <a:noFill/>
                          <a:ln>
                            <a:noFill/>
                          </a:ln>
                        </pic:spPr>
                      </pic:pic>
                    </a:graphicData>
                  </a:graphic>
                </wp:anchor>
              </w:drawing>
            </w:r>
          </w:p>
        </w:tc>
        <w:tc>
          <w:tcPr>
            <w:tcW w:w="1508" w:type="dxa"/>
            <w:tcBorders>
              <w:tl2br w:val="nil"/>
              <w:tr2bl w:val="nil"/>
            </w:tcBorders>
            <w:noWrap w:val="0"/>
            <w:vAlign w:val="top"/>
          </w:tcPr>
          <w:p>
            <w:pPr>
              <w:pageBreakBefore w:val="0"/>
              <w:wordWrap/>
              <w:bidi w:val="0"/>
              <w:adjustRightInd w:val="0"/>
              <w:spacing w:line="320" w:lineRule="exact"/>
              <w:ind w:left="0" w:leftChars="0" w:right="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drawing>
                <wp:anchor distT="0" distB="0" distL="114300" distR="114300" simplePos="0" relativeHeight="251664384" behindDoc="0" locked="0" layoutInCell="1" allowOverlap="1">
                  <wp:simplePos x="0" y="0"/>
                  <wp:positionH relativeFrom="column">
                    <wp:posOffset>-38735</wp:posOffset>
                  </wp:positionH>
                  <wp:positionV relativeFrom="paragraph">
                    <wp:posOffset>2540</wp:posOffset>
                  </wp:positionV>
                  <wp:extent cx="891540" cy="620395"/>
                  <wp:effectExtent l="0" t="0" r="3810" b="8255"/>
                  <wp:wrapNone/>
                  <wp:docPr id="4" name="图片 5" descr="固废堆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固废堆场"/>
                          <pic:cNvPicPr>
                            <a:picLocks noChangeAspect="1"/>
                          </pic:cNvPicPr>
                        </pic:nvPicPr>
                        <pic:blipFill>
                          <a:blip r:embed="rId65"/>
                          <a:stretch>
                            <a:fillRect/>
                          </a:stretch>
                        </pic:blipFill>
                        <pic:spPr>
                          <a:xfrm>
                            <a:off x="0" y="0"/>
                            <a:ext cx="891540" cy="620395"/>
                          </a:xfrm>
                          <a:prstGeom prst="rect">
                            <a:avLst/>
                          </a:prstGeom>
                          <a:noFill/>
                          <a:ln>
                            <a:noFill/>
                          </a:ln>
                        </pic:spPr>
                      </pic:pic>
                    </a:graphicData>
                  </a:graphic>
                </wp:anchor>
              </w:drawing>
            </w:r>
          </w:p>
        </w:tc>
        <w:tc>
          <w:tcPr>
            <w:tcW w:w="1510" w:type="dxa"/>
            <w:tcBorders>
              <w:tl2br w:val="nil"/>
              <w:tr2bl w:val="nil"/>
            </w:tcBorders>
            <w:noWrap w:val="0"/>
            <w:vAlign w:val="top"/>
          </w:tcPr>
          <w:p>
            <w:pPr>
              <w:pageBreakBefore w:val="0"/>
              <w:wordWrap/>
              <w:bidi w:val="0"/>
              <w:adjustRightInd w:val="0"/>
              <w:spacing w:line="320" w:lineRule="exact"/>
              <w:ind w:left="0" w:leftChars="0" w:right="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drawing>
                <wp:anchor distT="0" distB="0" distL="114300" distR="114300" simplePos="0" relativeHeight="251665408" behindDoc="0" locked="0" layoutInCell="1" allowOverlap="1">
                  <wp:simplePos x="0" y="0"/>
                  <wp:positionH relativeFrom="column">
                    <wp:posOffset>-25400</wp:posOffset>
                  </wp:positionH>
                  <wp:positionV relativeFrom="paragraph">
                    <wp:posOffset>22860</wp:posOffset>
                  </wp:positionV>
                  <wp:extent cx="911860" cy="659765"/>
                  <wp:effectExtent l="0" t="0" r="2540" b="6985"/>
                  <wp:wrapNone/>
                  <wp:docPr id="5" name="图片 6" descr="噪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噪声"/>
                          <pic:cNvPicPr>
                            <a:picLocks noChangeAspect="1"/>
                          </pic:cNvPicPr>
                        </pic:nvPicPr>
                        <pic:blipFill>
                          <a:blip r:embed="rId66"/>
                          <a:stretch>
                            <a:fillRect/>
                          </a:stretch>
                        </pic:blipFill>
                        <pic:spPr>
                          <a:xfrm>
                            <a:off x="0" y="0"/>
                            <a:ext cx="911860" cy="659765"/>
                          </a:xfrm>
                          <a:prstGeom prst="rect">
                            <a:avLst/>
                          </a:prstGeom>
                          <a:noFill/>
                          <a:ln>
                            <a:noFill/>
                          </a:ln>
                        </pic:spPr>
                      </pic:pic>
                    </a:graphicData>
                  </a:graphic>
                </wp:anchor>
              </w:drawing>
            </w:r>
          </w:p>
        </w:tc>
        <w:tc>
          <w:tcPr>
            <w:tcW w:w="1510" w:type="dxa"/>
            <w:tcBorders>
              <w:tl2br w:val="nil"/>
              <w:tr2bl w:val="nil"/>
            </w:tcBorders>
            <w:noWrap w:val="0"/>
            <w:vAlign w:val="top"/>
          </w:tcPr>
          <w:p>
            <w:pPr>
              <w:pageBreakBefore w:val="0"/>
              <w:wordWrap/>
              <w:bidi w:val="0"/>
              <w:adjustRightInd w:val="0"/>
              <w:spacing w:line="320" w:lineRule="exact"/>
              <w:ind w:left="0" w:leftChars="0" w:right="0" w:rightChars="0" w:firstLine="0" w:firstLineChars="0"/>
              <w:rPr>
                <w:rFonts w:hint="default" w:ascii="Times New Roman" w:hAnsi="Times New Roman" w:cs="Times New Roman"/>
                <w:color w:val="auto"/>
                <w:sz w:val="21"/>
                <w:szCs w:val="21"/>
                <w:highlight w:val="none"/>
                <w:lang w:bidi="ar"/>
              </w:rPr>
            </w:pPr>
            <w:r>
              <w:rPr>
                <w:color w:val="auto"/>
              </w:rPr>
              <w:drawing>
                <wp:anchor distT="0" distB="0" distL="114300" distR="114300" simplePos="0" relativeHeight="251700224" behindDoc="0" locked="0" layoutInCell="1" allowOverlap="1">
                  <wp:simplePos x="0" y="0"/>
                  <wp:positionH relativeFrom="column">
                    <wp:posOffset>9525</wp:posOffset>
                  </wp:positionH>
                  <wp:positionV relativeFrom="paragraph">
                    <wp:posOffset>47625</wp:posOffset>
                  </wp:positionV>
                  <wp:extent cx="820420" cy="595630"/>
                  <wp:effectExtent l="9525" t="9525" r="27305" b="23495"/>
                  <wp:wrapNone/>
                  <wp:docPr id="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pic:cNvPicPr>
                            <a:picLocks noChangeAspect="1"/>
                          </pic:cNvPicPr>
                        </pic:nvPicPr>
                        <pic:blipFill>
                          <a:blip r:embed="rId67"/>
                          <a:stretch>
                            <a:fillRect/>
                          </a:stretch>
                        </pic:blipFill>
                        <pic:spPr>
                          <a:xfrm>
                            <a:off x="0" y="0"/>
                            <a:ext cx="820420" cy="595630"/>
                          </a:xfrm>
                          <a:prstGeom prst="rect">
                            <a:avLst/>
                          </a:prstGeom>
                          <a:noFill/>
                          <a:ln>
                            <a:solidFill>
                              <a:schemeClr val="tx1"/>
                            </a:solidFill>
                          </a:ln>
                        </pic:spPr>
                      </pic:pic>
                    </a:graphicData>
                  </a:graphic>
                </wp:anchor>
              </w:drawing>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tblCellMar>
            <w:top w:w="0" w:type="dxa"/>
            <w:left w:w="108" w:type="dxa"/>
            <w:bottom w:w="0" w:type="dxa"/>
            <w:right w:w="108" w:type="dxa"/>
          </w:tblCellMar>
        </w:tblPrEx>
        <w:trPr>
          <w:trHeight w:val="293" w:hRule="atLeast"/>
          <w:jc w:val="center"/>
        </w:trPr>
        <w:tc>
          <w:tcPr>
            <w:tcW w:w="1079" w:type="dxa"/>
            <w:tcBorders>
              <w:tl2br w:val="nil"/>
              <w:tr2bl w:val="nil"/>
            </w:tcBorders>
            <w:noWrap w:val="0"/>
            <w:vAlign w:val="center"/>
          </w:tcPr>
          <w:p>
            <w:pPr>
              <w:pageBreakBefore w:val="0"/>
              <w:wordWrap/>
              <w:bidi w:val="0"/>
              <w:adjustRightInd w:val="0"/>
              <w:spacing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背景颜色</w:t>
            </w:r>
          </w:p>
        </w:tc>
        <w:tc>
          <w:tcPr>
            <w:tcW w:w="7449" w:type="dxa"/>
            <w:gridSpan w:val="5"/>
            <w:tcBorders>
              <w:tl2br w:val="nil"/>
              <w:tr2bl w:val="nil"/>
            </w:tcBorders>
            <w:noWrap w:val="0"/>
            <w:tcMar>
              <w:left w:w="0" w:type="dxa"/>
              <w:right w:w="0" w:type="dxa"/>
            </w:tcMar>
            <w:vAlign w:val="center"/>
          </w:tcPr>
          <w:p>
            <w:pPr>
              <w:pageBreakBefore w:val="0"/>
              <w:wordWrap/>
              <w:bidi w:val="0"/>
              <w:adjustRightInd w:val="0"/>
              <w:spacing w:line="240" w:lineRule="auto"/>
              <w:ind w:left="0" w:leftChars="0" w:right="0" w:rightChars="0" w:firstLine="0" w:firstLineChars="0"/>
              <w:jc w:val="center"/>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绿色（医疗废物背景为黄色）</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tblCellMar>
            <w:top w:w="0" w:type="dxa"/>
            <w:left w:w="108" w:type="dxa"/>
            <w:bottom w:w="0" w:type="dxa"/>
            <w:right w:w="108" w:type="dxa"/>
          </w:tblCellMar>
        </w:tblPrEx>
        <w:trPr>
          <w:trHeight w:val="269" w:hRule="atLeast"/>
          <w:jc w:val="center"/>
        </w:trPr>
        <w:tc>
          <w:tcPr>
            <w:tcW w:w="1079" w:type="dxa"/>
            <w:tcBorders>
              <w:tl2br w:val="nil"/>
              <w:tr2bl w:val="nil"/>
            </w:tcBorders>
            <w:noWrap w:val="0"/>
            <w:vAlign w:val="center"/>
          </w:tcPr>
          <w:p>
            <w:pPr>
              <w:pageBreakBefore w:val="0"/>
              <w:wordWrap/>
              <w:bidi w:val="0"/>
              <w:adjustRightInd w:val="0"/>
              <w:spacing w:line="280" w:lineRule="exact"/>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图形颜色</w:t>
            </w:r>
          </w:p>
        </w:tc>
        <w:tc>
          <w:tcPr>
            <w:tcW w:w="7449" w:type="dxa"/>
            <w:gridSpan w:val="5"/>
            <w:tcBorders>
              <w:tl2br w:val="nil"/>
              <w:tr2bl w:val="nil"/>
            </w:tcBorders>
            <w:noWrap w:val="0"/>
            <w:tcMar>
              <w:left w:w="0" w:type="dxa"/>
              <w:right w:w="0" w:type="dxa"/>
            </w:tcMar>
            <w:vAlign w:val="center"/>
          </w:tcPr>
          <w:p>
            <w:pPr>
              <w:pageBreakBefore w:val="0"/>
              <w:wordWrap/>
              <w:bidi w:val="0"/>
              <w:adjustRightInd w:val="0"/>
              <w:spacing w:line="240" w:lineRule="auto"/>
              <w:ind w:left="0" w:leftChars="0" w:right="0" w:rightChars="0" w:firstLine="0" w:firstLineChars="0"/>
              <w:jc w:val="center"/>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白色（医疗废物图形为黑色）</w:t>
            </w:r>
          </w:p>
        </w:tc>
      </w:tr>
    </w:tbl>
    <w:p>
      <w:pPr>
        <w:pStyle w:val="4"/>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438" w:name="_Toc26280"/>
      <w:bookmarkStart w:id="439" w:name="_Toc4438"/>
      <w:bookmarkStart w:id="440" w:name="_Toc7812"/>
      <w:r>
        <w:rPr>
          <w:rFonts w:hint="default" w:ascii="Times New Roman" w:hAnsi="Times New Roman" w:cs="Times New Roman"/>
          <w:color w:val="auto"/>
          <w:highlight w:val="none"/>
        </w:rPr>
        <w:t>污染物排放清单</w:t>
      </w:r>
      <w:bookmarkEnd w:id="438"/>
      <w:bookmarkEnd w:id="439"/>
      <w:bookmarkEnd w:id="440"/>
    </w:p>
    <w:p>
      <w:pPr>
        <w:pageBreakBefore w:val="0"/>
        <w:wordWrap/>
        <w:bidi w:val="0"/>
        <w:adjustRightInd w:val="0"/>
        <w:spacing w:line="360" w:lineRule="auto"/>
        <w:ind w:left="0" w:leftChars="0" w:right="0" w:rightChars="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bCs/>
          <w:color w:val="auto"/>
          <w:kern w:val="0"/>
          <w:sz w:val="24"/>
          <w:szCs w:val="24"/>
          <w:highlight w:val="none"/>
        </w:rPr>
        <w:t>主要污染物排放清单如下：</w:t>
      </w:r>
    </w:p>
    <w:p>
      <w:pPr>
        <w:pStyle w:val="50"/>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表8.</w:t>
      </w:r>
      <w:r>
        <w:rPr>
          <w:rFonts w:hint="default"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 xml:space="preserve">  污染物排放清单</w:t>
      </w:r>
    </w:p>
    <w:tbl>
      <w:tblPr>
        <w:tblStyle w:val="39"/>
        <w:tblW w:w="869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28" w:type="dxa"/>
          <w:bottom w:w="0" w:type="dxa"/>
          <w:right w:w="28" w:type="dxa"/>
        </w:tblCellMar>
      </w:tblPr>
      <w:tblGrid>
        <w:gridCol w:w="856"/>
        <w:gridCol w:w="904"/>
        <w:gridCol w:w="1361"/>
        <w:gridCol w:w="748"/>
        <w:gridCol w:w="1160"/>
        <w:gridCol w:w="3667"/>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cantSplit/>
          <w:trHeight w:val="925" w:hRule="atLeast"/>
        </w:trPr>
        <w:tc>
          <w:tcPr>
            <w:tcW w:w="856" w:type="dxa"/>
            <w:tcBorders>
              <w:tl2br w:val="nil"/>
              <w:tr2bl w:val="nil"/>
            </w:tcBorders>
            <w:noWrap w:val="0"/>
            <w:vAlign w:val="center"/>
          </w:tcPr>
          <w:p>
            <w:pPr>
              <w:pStyle w:val="55"/>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bookmarkStart w:id="441" w:name="_Toc9752"/>
            <w:bookmarkStart w:id="442" w:name="_Toc229909614"/>
            <w:bookmarkStart w:id="443" w:name="_Toc12846"/>
            <w:r>
              <w:rPr>
                <w:rFonts w:hint="default" w:ascii="Times New Roman" w:hAnsi="Times New Roman" w:eastAsia="宋体" w:cs="Times New Roman"/>
                <w:color w:val="auto"/>
                <w:sz w:val="21"/>
                <w:szCs w:val="21"/>
                <w:highlight w:val="none"/>
              </w:rPr>
              <w:t>内容</w:t>
            </w:r>
          </w:p>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类型</w:t>
            </w:r>
          </w:p>
        </w:tc>
        <w:tc>
          <w:tcPr>
            <w:tcW w:w="904"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排放源</w:t>
            </w:r>
          </w:p>
        </w:tc>
        <w:tc>
          <w:tcPr>
            <w:tcW w:w="1361"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名称</w:t>
            </w:r>
          </w:p>
        </w:tc>
        <w:tc>
          <w:tcPr>
            <w:tcW w:w="748"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浓度</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mg/L</w:t>
            </w:r>
            <w:r>
              <w:rPr>
                <w:rFonts w:hint="default" w:ascii="Times New Roman" w:hAnsi="Times New Roman" w:cs="Times New Roman"/>
                <w:color w:val="auto"/>
                <w:sz w:val="21"/>
                <w:szCs w:val="21"/>
                <w:highlight w:val="none"/>
                <w:lang w:val="en-US" w:eastAsia="zh-CN"/>
              </w:rPr>
              <w:t>)</w:t>
            </w:r>
          </w:p>
        </w:tc>
        <w:tc>
          <w:tcPr>
            <w:tcW w:w="1160"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排放量</w:t>
            </w:r>
          </w:p>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t/a</w:t>
            </w:r>
            <w:r>
              <w:rPr>
                <w:rFonts w:hint="default" w:ascii="Times New Roman" w:hAnsi="Times New Roman" w:eastAsia="宋体" w:cs="Times New Roman"/>
                <w:color w:val="auto"/>
                <w:sz w:val="21"/>
                <w:szCs w:val="21"/>
                <w:highlight w:val="none"/>
                <w:lang w:eastAsia="zh-CN"/>
              </w:rPr>
              <w:t>）</w:t>
            </w:r>
          </w:p>
        </w:tc>
        <w:tc>
          <w:tcPr>
            <w:tcW w:w="3667"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治理措施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cantSplit/>
          <w:trHeight w:val="383" w:hRule="atLeast"/>
        </w:trPr>
        <w:tc>
          <w:tcPr>
            <w:tcW w:w="856" w:type="dxa"/>
            <w:vMerge w:val="restart"/>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大气污染物</w:t>
            </w:r>
          </w:p>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c>
          <w:tcPr>
            <w:tcW w:w="904" w:type="dxa"/>
            <w:vMerge w:val="restart"/>
            <w:tcBorders>
              <w:tl2br w:val="nil"/>
              <w:tr2bl w:val="nil"/>
            </w:tcBorders>
            <w:noWrap w:val="0"/>
            <w:vAlign w:val="center"/>
          </w:tcPr>
          <w:p>
            <w:pPr>
              <w:pStyle w:val="59"/>
              <w:pageBreakBefore w:val="0"/>
              <w:widowControl w:val="0"/>
              <w:tabs>
                <w:tab w:val="left" w:pos="502"/>
              </w:tabs>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养殖区</w:t>
            </w:r>
          </w:p>
        </w:tc>
        <w:tc>
          <w:tcPr>
            <w:tcW w:w="1361"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p>
        </w:tc>
        <w:tc>
          <w:tcPr>
            <w:tcW w:w="748"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60"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0.022</w:t>
            </w:r>
          </w:p>
        </w:tc>
        <w:tc>
          <w:tcPr>
            <w:tcW w:w="3667" w:type="dxa"/>
            <w:vMerge w:val="restart"/>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圈舍加强通风，并科学合理调控饲粮</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圈舍每天定时清理粪污，减少恶臭污染物的蓄积</w:t>
            </w:r>
            <w:r>
              <w:rPr>
                <w:rFonts w:hint="default" w:ascii="Times New Roman" w:hAnsi="Times New Roman" w:eastAsia="宋体"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cantSplit/>
          <w:trHeight w:val="495" w:hRule="atLeast"/>
        </w:trPr>
        <w:tc>
          <w:tcPr>
            <w:tcW w:w="856" w:type="dxa"/>
            <w:vMerge w:val="continue"/>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c>
          <w:tcPr>
            <w:tcW w:w="904" w:type="dxa"/>
            <w:vMerge w:val="continue"/>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c>
          <w:tcPr>
            <w:tcW w:w="1361"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S</w:t>
            </w:r>
          </w:p>
        </w:tc>
        <w:tc>
          <w:tcPr>
            <w:tcW w:w="748"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60"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0.011</w:t>
            </w:r>
          </w:p>
        </w:tc>
        <w:tc>
          <w:tcPr>
            <w:tcW w:w="3667" w:type="dxa"/>
            <w:vMerge w:val="continue"/>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cantSplit/>
          <w:trHeight w:val="270" w:hRule="atLeast"/>
        </w:trPr>
        <w:tc>
          <w:tcPr>
            <w:tcW w:w="856" w:type="dxa"/>
            <w:vMerge w:val="continue"/>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c>
          <w:tcPr>
            <w:tcW w:w="904" w:type="dxa"/>
            <w:vMerge w:val="restart"/>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堆粪场</w:t>
            </w:r>
          </w:p>
        </w:tc>
        <w:tc>
          <w:tcPr>
            <w:tcW w:w="1361"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p>
        </w:tc>
        <w:tc>
          <w:tcPr>
            <w:tcW w:w="748"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60"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0.0028</w:t>
            </w:r>
          </w:p>
        </w:tc>
        <w:tc>
          <w:tcPr>
            <w:tcW w:w="3667" w:type="dxa"/>
            <w:vMerge w:val="restart"/>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定期喷洒除臭剂，采用好氧堆肥工艺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cantSplit/>
          <w:trHeight w:val="270" w:hRule="atLeast"/>
        </w:trPr>
        <w:tc>
          <w:tcPr>
            <w:tcW w:w="856" w:type="dxa"/>
            <w:vMerge w:val="continue"/>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c>
          <w:tcPr>
            <w:tcW w:w="904" w:type="dxa"/>
            <w:vMerge w:val="continue"/>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c>
          <w:tcPr>
            <w:tcW w:w="1361"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S</w:t>
            </w:r>
          </w:p>
        </w:tc>
        <w:tc>
          <w:tcPr>
            <w:tcW w:w="748"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60"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0.00022</w:t>
            </w:r>
          </w:p>
        </w:tc>
        <w:tc>
          <w:tcPr>
            <w:tcW w:w="3667" w:type="dxa"/>
            <w:vMerge w:val="continue"/>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cantSplit/>
          <w:trHeight w:val="590" w:hRule="atLeast"/>
        </w:trPr>
        <w:tc>
          <w:tcPr>
            <w:tcW w:w="856" w:type="dxa"/>
            <w:vMerge w:val="continue"/>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c>
          <w:tcPr>
            <w:tcW w:w="904" w:type="dxa"/>
            <w:vMerge w:val="restart"/>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饲料加工</w:t>
            </w:r>
          </w:p>
        </w:tc>
        <w:tc>
          <w:tcPr>
            <w:tcW w:w="1361"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有组织</w:t>
            </w:r>
            <w:r>
              <w:rPr>
                <w:rFonts w:hint="default" w:ascii="Times New Roman" w:hAnsi="Times New Roman" w:eastAsia="宋体" w:cs="Times New Roman"/>
                <w:color w:val="auto"/>
                <w:sz w:val="21"/>
                <w:szCs w:val="21"/>
                <w:highlight w:val="none"/>
              </w:rPr>
              <w:t>颗粒物</w:t>
            </w:r>
          </w:p>
        </w:tc>
        <w:tc>
          <w:tcPr>
            <w:tcW w:w="748"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160"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0.011</w:t>
            </w:r>
          </w:p>
        </w:tc>
        <w:tc>
          <w:tcPr>
            <w:tcW w:w="3667"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采用布袋除尘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cantSplit/>
          <w:trHeight w:val="590" w:hRule="atLeast"/>
        </w:trPr>
        <w:tc>
          <w:tcPr>
            <w:tcW w:w="856" w:type="dxa"/>
            <w:vMerge w:val="continue"/>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c>
          <w:tcPr>
            <w:tcW w:w="904" w:type="dxa"/>
            <w:vMerge w:val="continue"/>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eastAsia="zh-CN"/>
              </w:rPr>
            </w:pPr>
          </w:p>
        </w:tc>
        <w:tc>
          <w:tcPr>
            <w:tcW w:w="1361"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无组织</w:t>
            </w:r>
            <w:r>
              <w:rPr>
                <w:rFonts w:hint="default" w:ascii="Times New Roman" w:hAnsi="Times New Roman" w:eastAsia="宋体" w:cs="Times New Roman"/>
                <w:color w:val="auto"/>
                <w:sz w:val="21"/>
                <w:szCs w:val="21"/>
                <w:highlight w:val="none"/>
              </w:rPr>
              <w:t>颗粒物</w:t>
            </w:r>
          </w:p>
        </w:tc>
        <w:tc>
          <w:tcPr>
            <w:tcW w:w="748"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60"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w:t>
            </w:r>
          </w:p>
        </w:tc>
        <w:tc>
          <w:tcPr>
            <w:tcW w:w="3667"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cantSplit/>
          <w:trHeight w:val="310" w:hRule="atLeast"/>
        </w:trPr>
        <w:tc>
          <w:tcPr>
            <w:tcW w:w="856" w:type="dxa"/>
            <w:vMerge w:val="restart"/>
            <w:tcBorders>
              <w:tl2br w:val="nil"/>
              <w:tr2bl w:val="nil"/>
            </w:tcBorders>
            <w:noWrap w:val="0"/>
            <w:textDirection w:val="tbRlV"/>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水污染物</w:t>
            </w:r>
          </w:p>
        </w:tc>
        <w:tc>
          <w:tcPr>
            <w:tcW w:w="904" w:type="dxa"/>
            <w:vMerge w:val="restart"/>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设备、地面清洗废水、</w:t>
            </w:r>
            <w:r>
              <w:rPr>
                <w:rFonts w:hint="default" w:ascii="Times New Roman" w:hAnsi="Times New Roman" w:eastAsia="宋体" w:cs="Times New Roman"/>
                <w:color w:val="auto"/>
                <w:sz w:val="21"/>
                <w:szCs w:val="21"/>
                <w:highlight w:val="none"/>
              </w:rPr>
              <w:t>生活污水</w:t>
            </w:r>
          </w:p>
        </w:tc>
        <w:tc>
          <w:tcPr>
            <w:tcW w:w="1361"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废水量</w:t>
            </w:r>
          </w:p>
        </w:tc>
        <w:tc>
          <w:tcPr>
            <w:tcW w:w="748"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1160"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2336</w:t>
            </w:r>
            <w:r>
              <w:rPr>
                <w:rFonts w:hint="default" w:ascii="Times New Roman" w:hAnsi="Times New Roman" w:eastAsia="宋体" w:cs="Times New Roman"/>
                <w:color w:val="auto"/>
                <w:sz w:val="21"/>
                <w:szCs w:val="21"/>
                <w:highlight w:val="none"/>
              </w:rPr>
              <w:t>m</w:t>
            </w:r>
            <w:r>
              <w:rPr>
                <w:rStyle w:val="58"/>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c>
          <w:tcPr>
            <w:tcW w:w="3667" w:type="dxa"/>
            <w:vMerge w:val="restart"/>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冲洗水</w:t>
            </w:r>
            <w:r>
              <w:rPr>
                <w:rFonts w:hint="default" w:ascii="Times New Roman" w:hAnsi="Times New Roman" w:cs="Times New Roman"/>
                <w:color w:val="auto"/>
                <w:sz w:val="21"/>
                <w:szCs w:val="21"/>
                <w:highlight w:val="none"/>
                <w:lang w:eastAsia="zh-CN"/>
              </w:rPr>
              <w:t>及</w:t>
            </w:r>
            <w:r>
              <w:rPr>
                <w:rFonts w:hint="default" w:ascii="Times New Roman" w:hAnsi="Times New Roman" w:eastAsia="宋体" w:cs="Times New Roman"/>
                <w:color w:val="auto"/>
                <w:sz w:val="21"/>
                <w:szCs w:val="21"/>
                <w:highlight w:val="none"/>
                <w:lang w:eastAsia="zh-CN"/>
              </w:rPr>
              <w:t>生活污水进入</w:t>
            </w:r>
            <w:r>
              <w:rPr>
                <w:rFonts w:hint="default" w:ascii="Times New Roman" w:hAnsi="Times New Roman" w:cs="Times New Roman"/>
                <w:color w:val="auto"/>
                <w:sz w:val="21"/>
                <w:szCs w:val="21"/>
                <w:highlight w:val="none"/>
                <w:lang w:eastAsia="zh-CN"/>
              </w:rPr>
              <w:t>集污池收集</w:t>
            </w:r>
            <w:r>
              <w:rPr>
                <w:rFonts w:hint="default" w:ascii="Times New Roman" w:hAnsi="Times New Roman" w:eastAsia="宋体" w:cs="Times New Roman"/>
                <w:color w:val="auto"/>
                <w:sz w:val="21"/>
                <w:szCs w:val="21"/>
                <w:highlight w:val="none"/>
                <w:lang w:eastAsia="zh-CN"/>
              </w:rPr>
              <w:t>后</w:t>
            </w:r>
            <w:r>
              <w:rPr>
                <w:rFonts w:hint="eastAsia" w:cs="Times New Roman"/>
                <w:color w:val="auto"/>
                <w:sz w:val="21"/>
                <w:szCs w:val="21"/>
                <w:highlight w:val="none"/>
                <w:lang w:val="en-US" w:eastAsia="zh-CN"/>
              </w:rPr>
              <w:t>清掏拉运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cantSplit/>
          <w:trHeight w:val="335" w:hRule="atLeast"/>
        </w:trPr>
        <w:tc>
          <w:tcPr>
            <w:tcW w:w="856" w:type="dxa"/>
            <w:vMerge w:val="continue"/>
            <w:tcBorders>
              <w:tl2br w:val="nil"/>
              <w:tr2bl w:val="nil"/>
            </w:tcBorders>
            <w:noWrap w:val="0"/>
            <w:textDirection w:val="tbRlV"/>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c>
          <w:tcPr>
            <w:tcW w:w="904" w:type="dxa"/>
            <w:vMerge w:val="continue"/>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c>
          <w:tcPr>
            <w:tcW w:w="1361" w:type="dxa"/>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rPr>
              <w:t>COD</w:t>
            </w:r>
            <w:r>
              <w:rPr>
                <w:rFonts w:hint="default" w:ascii="Times New Roman" w:hAnsi="Times New Roman" w:eastAsia="宋体" w:cs="Times New Roman"/>
                <w:color w:val="auto"/>
                <w:kern w:val="0"/>
                <w:sz w:val="21"/>
                <w:szCs w:val="21"/>
                <w:highlight w:val="none"/>
                <w:vertAlign w:val="subscript"/>
                <w:lang w:val="en-US" w:eastAsia="zh-CN" w:bidi="ar"/>
              </w:rPr>
              <w:t>cr</w:t>
            </w:r>
          </w:p>
        </w:tc>
        <w:tc>
          <w:tcPr>
            <w:tcW w:w="748" w:type="dxa"/>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400</w:t>
            </w:r>
          </w:p>
        </w:tc>
        <w:tc>
          <w:tcPr>
            <w:tcW w:w="1160" w:type="dxa"/>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rPr>
            </w:pPr>
            <w:r>
              <w:rPr>
                <w:rFonts w:hint="eastAsia" w:cs="Times New Roman"/>
                <w:color w:val="auto"/>
                <w:kern w:val="0"/>
                <w:sz w:val="21"/>
                <w:szCs w:val="21"/>
                <w:highlight w:val="none"/>
                <w:lang w:val="en-US" w:eastAsia="zh-CN" w:bidi="ar-SA"/>
              </w:rPr>
              <w:t>0.93</w:t>
            </w:r>
          </w:p>
        </w:tc>
        <w:tc>
          <w:tcPr>
            <w:tcW w:w="3667" w:type="dxa"/>
            <w:vMerge w:val="continue"/>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cantSplit/>
          <w:trHeight w:val="285" w:hRule="atLeast"/>
        </w:trPr>
        <w:tc>
          <w:tcPr>
            <w:tcW w:w="856" w:type="dxa"/>
            <w:vMerge w:val="continue"/>
            <w:tcBorders>
              <w:tl2br w:val="nil"/>
              <w:tr2bl w:val="nil"/>
            </w:tcBorders>
            <w:noWrap w:val="0"/>
            <w:textDirection w:val="tbRlV"/>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c>
          <w:tcPr>
            <w:tcW w:w="904" w:type="dxa"/>
            <w:vMerge w:val="continue"/>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c>
          <w:tcPr>
            <w:tcW w:w="1361" w:type="dxa"/>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BOD</w:t>
            </w:r>
            <w:r>
              <w:rPr>
                <w:rFonts w:hint="eastAsia" w:cs="Times New Roman"/>
                <w:color w:val="auto"/>
                <w:sz w:val="21"/>
                <w:szCs w:val="21"/>
                <w:highlight w:val="none"/>
                <w:vertAlign w:val="subscript"/>
                <w:lang w:val="en-US" w:eastAsia="zh-CN"/>
              </w:rPr>
              <w:t>5</w:t>
            </w:r>
          </w:p>
        </w:tc>
        <w:tc>
          <w:tcPr>
            <w:tcW w:w="748" w:type="dxa"/>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160" w:type="dxa"/>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rPr>
            </w:pPr>
            <w:r>
              <w:rPr>
                <w:rFonts w:hint="eastAsia" w:cs="Times New Roman"/>
                <w:color w:val="auto"/>
                <w:kern w:val="0"/>
                <w:sz w:val="21"/>
                <w:szCs w:val="21"/>
                <w:highlight w:val="none"/>
                <w:lang w:val="en-US" w:eastAsia="zh-CN" w:bidi="ar-SA"/>
              </w:rPr>
              <w:t>0.47</w:t>
            </w:r>
          </w:p>
        </w:tc>
        <w:tc>
          <w:tcPr>
            <w:tcW w:w="3667" w:type="dxa"/>
            <w:vMerge w:val="continue"/>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cantSplit/>
          <w:trHeight w:val="270" w:hRule="atLeast"/>
        </w:trPr>
        <w:tc>
          <w:tcPr>
            <w:tcW w:w="856" w:type="dxa"/>
            <w:vMerge w:val="continue"/>
            <w:tcBorders>
              <w:tl2br w:val="nil"/>
              <w:tr2bl w:val="nil"/>
            </w:tcBorders>
            <w:noWrap w:val="0"/>
            <w:textDirection w:val="tbRlV"/>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c>
          <w:tcPr>
            <w:tcW w:w="904" w:type="dxa"/>
            <w:vMerge w:val="continue"/>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c>
          <w:tcPr>
            <w:tcW w:w="1361" w:type="dxa"/>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rPr>
              <w:t>SS</w:t>
            </w:r>
          </w:p>
        </w:tc>
        <w:tc>
          <w:tcPr>
            <w:tcW w:w="748" w:type="dxa"/>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300</w:t>
            </w:r>
          </w:p>
        </w:tc>
        <w:tc>
          <w:tcPr>
            <w:tcW w:w="1160" w:type="dxa"/>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rPr>
            </w:pPr>
            <w:r>
              <w:rPr>
                <w:rFonts w:hint="eastAsia" w:cs="Times New Roman"/>
                <w:color w:val="auto"/>
                <w:kern w:val="0"/>
                <w:sz w:val="21"/>
                <w:szCs w:val="21"/>
                <w:highlight w:val="none"/>
                <w:lang w:val="en-US" w:eastAsia="zh-CN" w:bidi="ar-SA"/>
              </w:rPr>
              <w:t>0.70</w:t>
            </w:r>
          </w:p>
        </w:tc>
        <w:tc>
          <w:tcPr>
            <w:tcW w:w="3667" w:type="dxa"/>
            <w:vMerge w:val="continue"/>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cantSplit/>
          <w:trHeight w:val="302" w:hRule="atLeast"/>
        </w:trPr>
        <w:tc>
          <w:tcPr>
            <w:tcW w:w="856" w:type="dxa"/>
            <w:vMerge w:val="continue"/>
            <w:tcBorders>
              <w:tl2br w:val="nil"/>
              <w:tr2bl w:val="nil"/>
            </w:tcBorders>
            <w:noWrap w:val="0"/>
            <w:textDirection w:val="tbRlV"/>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c>
          <w:tcPr>
            <w:tcW w:w="904" w:type="dxa"/>
            <w:vMerge w:val="continue"/>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c>
          <w:tcPr>
            <w:tcW w:w="1361" w:type="dxa"/>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氨氮</w:t>
            </w:r>
          </w:p>
        </w:tc>
        <w:tc>
          <w:tcPr>
            <w:tcW w:w="748" w:type="dxa"/>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25</w:t>
            </w:r>
          </w:p>
        </w:tc>
        <w:tc>
          <w:tcPr>
            <w:tcW w:w="1160" w:type="dxa"/>
            <w:tcBorders>
              <w:tl2br w:val="nil"/>
              <w:tr2bl w:val="nil"/>
            </w:tcBorders>
            <w:noWrap w:val="0"/>
            <w:vAlign w:val="center"/>
          </w:tcPr>
          <w:p>
            <w:pPr>
              <w:keepNext w:val="0"/>
              <w:keepLines w:val="0"/>
              <w:pageBreakBefore w:val="0"/>
              <w:widowControl/>
              <w:suppressLineNumbers w:val="0"/>
              <w:kinsoku/>
              <w:wordWrap/>
              <w:overflowPunct/>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rPr>
            </w:pPr>
            <w:r>
              <w:rPr>
                <w:rFonts w:hint="eastAsia" w:cs="Times New Roman"/>
                <w:color w:val="auto"/>
                <w:kern w:val="0"/>
                <w:sz w:val="21"/>
                <w:szCs w:val="21"/>
                <w:highlight w:val="none"/>
                <w:lang w:val="en-US" w:eastAsia="zh-CN" w:bidi="ar-SA"/>
              </w:rPr>
              <w:t>0.058</w:t>
            </w:r>
          </w:p>
        </w:tc>
        <w:tc>
          <w:tcPr>
            <w:tcW w:w="3667" w:type="dxa"/>
            <w:vMerge w:val="continue"/>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cantSplit/>
          <w:trHeight w:val="302" w:hRule="atLeast"/>
        </w:trPr>
        <w:tc>
          <w:tcPr>
            <w:tcW w:w="856" w:type="dxa"/>
            <w:vMerge w:val="continue"/>
            <w:tcBorders>
              <w:tl2br w:val="nil"/>
              <w:tr2bl w:val="nil"/>
            </w:tcBorders>
            <w:noWrap w:val="0"/>
            <w:textDirection w:val="tbRlV"/>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c>
          <w:tcPr>
            <w:tcW w:w="904" w:type="dxa"/>
            <w:vMerge w:val="restart"/>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牛尿</w:t>
            </w:r>
          </w:p>
        </w:tc>
        <w:tc>
          <w:tcPr>
            <w:tcW w:w="1361" w:type="dxa"/>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产生量</w:t>
            </w:r>
          </w:p>
        </w:tc>
        <w:tc>
          <w:tcPr>
            <w:tcW w:w="748"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160" w:type="dxa"/>
            <w:tcBorders>
              <w:tl2br w:val="nil"/>
              <w:tr2bl w:val="nil"/>
            </w:tcBorders>
            <w:noWrap w:val="0"/>
            <w:vAlign w:val="center"/>
          </w:tcPr>
          <w:p>
            <w:pPr>
              <w:keepNext w:val="0"/>
              <w:keepLines w:val="0"/>
              <w:pageBreakBefore w:val="0"/>
              <w:widowControl/>
              <w:suppressLineNumbers w:val="0"/>
              <w:kinsoku/>
              <w:wordWrap/>
              <w:overflowPunct/>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10950</w:t>
            </w:r>
          </w:p>
        </w:tc>
        <w:tc>
          <w:tcPr>
            <w:tcW w:w="3667" w:type="dxa"/>
            <w:vMerge w:val="restart"/>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牛尿进入垫料中，部分自然蒸发，剩余部分与垫料一起进入堆粪场，不外排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cantSplit/>
          <w:trHeight w:val="302" w:hRule="atLeast"/>
        </w:trPr>
        <w:tc>
          <w:tcPr>
            <w:tcW w:w="856" w:type="dxa"/>
            <w:vMerge w:val="continue"/>
            <w:tcBorders>
              <w:tl2br w:val="nil"/>
              <w:tr2bl w:val="nil"/>
            </w:tcBorders>
            <w:noWrap w:val="0"/>
            <w:textDirection w:val="tbRlV"/>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c>
          <w:tcPr>
            <w:tcW w:w="904" w:type="dxa"/>
            <w:vMerge w:val="continue"/>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c>
          <w:tcPr>
            <w:tcW w:w="1361" w:type="dxa"/>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COD</w:t>
            </w:r>
            <w:r>
              <w:rPr>
                <w:rFonts w:hint="default" w:ascii="Times New Roman" w:hAnsi="Times New Roman" w:eastAsia="宋体" w:cs="Times New Roman"/>
                <w:color w:val="auto"/>
                <w:kern w:val="0"/>
                <w:sz w:val="21"/>
                <w:szCs w:val="21"/>
                <w:highlight w:val="none"/>
                <w:vertAlign w:val="subscript"/>
                <w:lang w:val="en-US" w:eastAsia="zh-CN" w:bidi="ar"/>
              </w:rPr>
              <w:t>cr</w:t>
            </w:r>
          </w:p>
        </w:tc>
        <w:tc>
          <w:tcPr>
            <w:tcW w:w="748" w:type="dxa"/>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983</w:t>
            </w:r>
          </w:p>
        </w:tc>
        <w:tc>
          <w:tcPr>
            <w:tcW w:w="1160" w:type="dxa"/>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10.8</w:t>
            </w:r>
          </w:p>
        </w:tc>
        <w:tc>
          <w:tcPr>
            <w:tcW w:w="3667" w:type="dxa"/>
            <w:vMerge w:val="continue"/>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cantSplit/>
          <w:trHeight w:val="302" w:hRule="atLeast"/>
        </w:trPr>
        <w:tc>
          <w:tcPr>
            <w:tcW w:w="856" w:type="dxa"/>
            <w:vMerge w:val="continue"/>
            <w:tcBorders>
              <w:tl2br w:val="nil"/>
              <w:tr2bl w:val="nil"/>
            </w:tcBorders>
            <w:noWrap w:val="0"/>
            <w:textDirection w:val="tbRlV"/>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c>
          <w:tcPr>
            <w:tcW w:w="904" w:type="dxa"/>
            <w:vMerge w:val="continue"/>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c>
          <w:tcPr>
            <w:tcW w:w="1361" w:type="dxa"/>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氨氮</w:t>
            </w:r>
          </w:p>
        </w:tc>
        <w:tc>
          <w:tcPr>
            <w:tcW w:w="748" w:type="dxa"/>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51</w:t>
            </w:r>
          </w:p>
        </w:tc>
        <w:tc>
          <w:tcPr>
            <w:tcW w:w="1160" w:type="dxa"/>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0.56</w:t>
            </w:r>
          </w:p>
        </w:tc>
        <w:tc>
          <w:tcPr>
            <w:tcW w:w="3667" w:type="dxa"/>
            <w:vMerge w:val="continue"/>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cantSplit/>
          <w:trHeight w:val="302" w:hRule="atLeast"/>
        </w:trPr>
        <w:tc>
          <w:tcPr>
            <w:tcW w:w="856" w:type="dxa"/>
            <w:vMerge w:val="continue"/>
            <w:tcBorders>
              <w:tl2br w:val="nil"/>
              <w:tr2bl w:val="nil"/>
            </w:tcBorders>
            <w:noWrap w:val="0"/>
            <w:textDirection w:val="tbRlV"/>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c>
          <w:tcPr>
            <w:tcW w:w="904" w:type="dxa"/>
            <w:vMerge w:val="continue"/>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c>
          <w:tcPr>
            <w:tcW w:w="1361" w:type="dxa"/>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总氮</w:t>
            </w:r>
          </w:p>
        </w:tc>
        <w:tc>
          <w:tcPr>
            <w:tcW w:w="748" w:type="dxa"/>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30.8</w:t>
            </w:r>
          </w:p>
        </w:tc>
        <w:tc>
          <w:tcPr>
            <w:tcW w:w="1160" w:type="dxa"/>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0.38</w:t>
            </w:r>
          </w:p>
        </w:tc>
        <w:tc>
          <w:tcPr>
            <w:tcW w:w="3667" w:type="dxa"/>
            <w:vMerge w:val="continue"/>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cantSplit/>
          <w:trHeight w:val="90" w:hRule="atLeast"/>
        </w:trPr>
        <w:tc>
          <w:tcPr>
            <w:tcW w:w="856" w:type="dxa"/>
            <w:vMerge w:val="continue"/>
            <w:tcBorders>
              <w:tl2br w:val="nil"/>
              <w:tr2bl w:val="nil"/>
            </w:tcBorders>
            <w:noWrap w:val="0"/>
            <w:textDirection w:val="tbRlV"/>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c>
          <w:tcPr>
            <w:tcW w:w="904" w:type="dxa"/>
            <w:vMerge w:val="continue"/>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p>
        </w:tc>
        <w:tc>
          <w:tcPr>
            <w:tcW w:w="1361" w:type="dxa"/>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总磷</w:t>
            </w:r>
          </w:p>
        </w:tc>
        <w:tc>
          <w:tcPr>
            <w:tcW w:w="748" w:type="dxa"/>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18.6</w:t>
            </w:r>
          </w:p>
        </w:tc>
        <w:tc>
          <w:tcPr>
            <w:tcW w:w="1160" w:type="dxa"/>
            <w:tcBorders>
              <w:tl2br w:val="nil"/>
              <w:tr2bl w:val="nil"/>
            </w:tcBorders>
            <w:noWrap w:val="0"/>
            <w:vAlign w:val="center"/>
          </w:tcPr>
          <w:p>
            <w:pPr>
              <w:pStyle w:val="84"/>
              <w:keepNext w:val="0"/>
              <w:keepLines w:val="0"/>
              <w:pageBreakBefore w:val="0"/>
              <w:kinsoku/>
              <w:wordWrap/>
              <w:overflowPunct/>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0.20</w:t>
            </w:r>
          </w:p>
        </w:tc>
        <w:tc>
          <w:tcPr>
            <w:tcW w:w="3667" w:type="dxa"/>
            <w:vMerge w:val="continue"/>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cantSplit/>
          <w:trHeight w:val="666" w:hRule="atLeast"/>
        </w:trPr>
        <w:tc>
          <w:tcPr>
            <w:tcW w:w="856" w:type="dxa"/>
            <w:vMerge w:val="restart"/>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w:t>
            </w:r>
          </w:p>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体</w:t>
            </w:r>
          </w:p>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w:t>
            </w:r>
          </w:p>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弃</w:t>
            </w:r>
          </w:p>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物</w:t>
            </w:r>
          </w:p>
        </w:tc>
        <w:tc>
          <w:tcPr>
            <w:tcW w:w="904"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圈舍</w:t>
            </w:r>
          </w:p>
        </w:tc>
        <w:tc>
          <w:tcPr>
            <w:tcW w:w="1361"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粪污</w:t>
            </w:r>
          </w:p>
        </w:tc>
        <w:tc>
          <w:tcPr>
            <w:tcW w:w="748"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60"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7507.32</w:t>
            </w:r>
          </w:p>
        </w:tc>
        <w:tc>
          <w:tcPr>
            <w:tcW w:w="3667"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采用干清粪工艺，清理的</w:t>
            </w:r>
            <w:r>
              <w:rPr>
                <w:rFonts w:hint="default" w:ascii="Times New Roman" w:hAnsi="Times New Roman" w:eastAsia="宋体" w:cs="Times New Roman"/>
                <w:color w:val="auto"/>
                <w:sz w:val="21"/>
                <w:szCs w:val="21"/>
                <w:highlight w:val="none"/>
                <w:lang w:eastAsia="zh-CN"/>
              </w:rPr>
              <w:t>粪污</w:t>
            </w:r>
            <w:r>
              <w:rPr>
                <w:rFonts w:hint="default" w:ascii="Times New Roman" w:hAnsi="Times New Roman" w:eastAsia="宋体" w:cs="Times New Roman"/>
                <w:color w:val="auto"/>
                <w:sz w:val="21"/>
                <w:szCs w:val="21"/>
                <w:highlight w:val="none"/>
              </w:rPr>
              <w:t>暂存于</w:t>
            </w:r>
            <w:r>
              <w:rPr>
                <w:rFonts w:hint="default" w:ascii="Times New Roman" w:hAnsi="Times New Roman" w:cs="Times New Roman"/>
                <w:color w:val="auto"/>
                <w:sz w:val="21"/>
                <w:szCs w:val="21"/>
                <w:highlight w:val="none"/>
                <w:lang w:eastAsia="zh-CN"/>
              </w:rPr>
              <w:t>堆粪场</w:t>
            </w:r>
            <w:r>
              <w:rPr>
                <w:rFonts w:hint="default" w:ascii="Times New Roman" w:hAnsi="Times New Roman" w:eastAsia="宋体" w:cs="Times New Roman"/>
                <w:color w:val="auto"/>
                <w:sz w:val="21"/>
                <w:szCs w:val="21"/>
                <w:highlight w:val="none"/>
              </w:rPr>
              <w:t>采用</w:t>
            </w:r>
            <w:r>
              <w:rPr>
                <w:rFonts w:hint="default" w:ascii="Times New Roman" w:hAnsi="Times New Roman" w:cs="Times New Roman"/>
                <w:color w:val="auto"/>
                <w:sz w:val="21"/>
                <w:szCs w:val="21"/>
                <w:highlight w:val="none"/>
                <w:lang w:eastAsia="zh-CN"/>
              </w:rPr>
              <w:t>好氧发酵</w:t>
            </w:r>
            <w:r>
              <w:rPr>
                <w:rFonts w:hint="default" w:ascii="Times New Roman" w:hAnsi="Times New Roman" w:eastAsia="宋体" w:cs="Times New Roman"/>
                <w:color w:val="auto"/>
                <w:sz w:val="21"/>
                <w:szCs w:val="21"/>
                <w:highlight w:val="none"/>
              </w:rPr>
              <w:t>后</w:t>
            </w:r>
            <w:r>
              <w:rPr>
                <w:rFonts w:hint="eastAsia" w:cs="Times New Roman"/>
                <w:color w:val="auto"/>
                <w:sz w:val="21"/>
                <w:szCs w:val="21"/>
                <w:highlight w:val="none"/>
                <w:lang w:eastAsia="zh-CN"/>
              </w:rPr>
              <w:t>用于垫料及还田利用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cantSplit/>
          <w:trHeight w:val="657" w:hRule="atLeast"/>
        </w:trPr>
        <w:tc>
          <w:tcPr>
            <w:tcW w:w="856" w:type="dxa"/>
            <w:vMerge w:val="continue"/>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yellow"/>
              </w:rPr>
            </w:pPr>
          </w:p>
        </w:tc>
        <w:tc>
          <w:tcPr>
            <w:tcW w:w="904"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人员</w:t>
            </w:r>
          </w:p>
        </w:tc>
        <w:tc>
          <w:tcPr>
            <w:tcW w:w="1361"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748"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60"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9.125</w:t>
            </w:r>
          </w:p>
        </w:tc>
        <w:tc>
          <w:tcPr>
            <w:tcW w:w="3667"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经养殖场内垃圾桶集中收集后，由当地环卫部门统一清运。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cantSplit/>
          <w:trHeight w:val="390" w:hRule="atLeast"/>
        </w:trPr>
        <w:tc>
          <w:tcPr>
            <w:tcW w:w="856" w:type="dxa"/>
            <w:vMerge w:val="continue"/>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yellow"/>
              </w:rPr>
            </w:pPr>
          </w:p>
        </w:tc>
        <w:tc>
          <w:tcPr>
            <w:tcW w:w="904"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圈舍</w:t>
            </w:r>
          </w:p>
        </w:tc>
        <w:tc>
          <w:tcPr>
            <w:tcW w:w="1361"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病牛死尸</w:t>
            </w:r>
          </w:p>
        </w:tc>
        <w:tc>
          <w:tcPr>
            <w:tcW w:w="748"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60"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24</w:t>
            </w:r>
          </w:p>
        </w:tc>
        <w:tc>
          <w:tcPr>
            <w:tcW w:w="3667"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lang w:val="en-US" w:eastAsia="zh-CN"/>
              </w:rPr>
              <w:t>病死牛尸体由安全填埋井填埋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cantSplit/>
          <w:trHeight w:val="590" w:hRule="atLeast"/>
        </w:trPr>
        <w:tc>
          <w:tcPr>
            <w:tcW w:w="856" w:type="dxa"/>
            <w:vMerge w:val="continue"/>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yellow"/>
              </w:rPr>
            </w:pPr>
          </w:p>
        </w:tc>
        <w:tc>
          <w:tcPr>
            <w:tcW w:w="904"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布袋除尘</w:t>
            </w:r>
          </w:p>
        </w:tc>
        <w:tc>
          <w:tcPr>
            <w:tcW w:w="1361"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布袋除尘收集的粉尘</w:t>
            </w:r>
          </w:p>
        </w:tc>
        <w:tc>
          <w:tcPr>
            <w:tcW w:w="748"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160"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1.089</w:t>
            </w:r>
          </w:p>
        </w:tc>
        <w:tc>
          <w:tcPr>
            <w:tcW w:w="3667"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布袋除尘收集的粉尘作为饲料用于</w:t>
            </w:r>
            <w:r>
              <w:rPr>
                <w:rFonts w:hint="default" w:ascii="Times New Roman" w:hAnsi="Times New Roman" w:cs="Times New Roman"/>
                <w:color w:val="auto"/>
                <w:sz w:val="21"/>
                <w:szCs w:val="21"/>
                <w:highlight w:val="none"/>
                <w:lang w:val="en-US" w:eastAsia="zh-CN"/>
              </w:rPr>
              <w:t>奶牛</w:t>
            </w:r>
            <w:r>
              <w:rPr>
                <w:rFonts w:hint="default" w:ascii="Times New Roman" w:hAnsi="Times New Roman" w:eastAsia="宋体" w:cs="Times New Roman"/>
                <w:color w:val="auto"/>
                <w:sz w:val="21"/>
                <w:szCs w:val="21"/>
                <w:highlight w:val="none"/>
                <w:lang w:val="en-US" w:eastAsia="zh-CN"/>
              </w:rPr>
              <w:t>饲养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cantSplit/>
          <w:trHeight w:val="1176" w:hRule="atLeast"/>
        </w:trPr>
        <w:tc>
          <w:tcPr>
            <w:tcW w:w="856" w:type="dxa"/>
            <w:vMerge w:val="continue"/>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yellow"/>
              </w:rPr>
            </w:pPr>
          </w:p>
        </w:tc>
        <w:tc>
          <w:tcPr>
            <w:tcW w:w="904"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病牛隔离室、兽药室</w:t>
            </w:r>
          </w:p>
        </w:tc>
        <w:tc>
          <w:tcPr>
            <w:tcW w:w="1361"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医疗废物</w:t>
            </w:r>
          </w:p>
        </w:tc>
        <w:tc>
          <w:tcPr>
            <w:tcW w:w="748"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60"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1.1</w:t>
            </w:r>
          </w:p>
        </w:tc>
        <w:tc>
          <w:tcPr>
            <w:tcW w:w="3667" w:type="dxa"/>
            <w:tcBorders>
              <w:tl2br w:val="nil"/>
              <w:tr2bl w:val="nil"/>
            </w:tcBorders>
            <w:noWrap w:val="0"/>
            <w:vAlign w:val="center"/>
          </w:tcPr>
          <w:p>
            <w:pPr>
              <w:pStyle w:val="59"/>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项目设置</w:t>
            </w:r>
            <w:r>
              <w:rPr>
                <w:rFonts w:hint="default" w:ascii="Times New Roman" w:hAnsi="Times New Roman" w:cs="Times New Roman"/>
                <w:color w:val="auto"/>
                <w:sz w:val="21"/>
                <w:szCs w:val="21"/>
                <w:highlight w:val="none"/>
                <w:lang w:eastAsia="zh-CN"/>
              </w:rPr>
              <w:t>医疗废物暂存间</w:t>
            </w:r>
            <w:r>
              <w:rPr>
                <w:rFonts w:hint="default" w:ascii="Times New Roman" w:hAnsi="Times New Roman" w:eastAsia="宋体" w:cs="Times New Roman"/>
                <w:color w:val="auto"/>
                <w:sz w:val="21"/>
                <w:szCs w:val="21"/>
                <w:highlight w:val="none"/>
              </w:rPr>
              <w:t>，对医疗废弃物进行分类暂存。医疗废物最终交由有资质单位处置。</w:t>
            </w:r>
          </w:p>
        </w:tc>
      </w:tr>
    </w:tbl>
    <w:p>
      <w:pPr>
        <w:pStyle w:val="4"/>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444" w:name="_Toc2822"/>
      <w:r>
        <w:rPr>
          <w:rFonts w:hint="default" w:ascii="Times New Roman" w:hAnsi="Times New Roman" w:cs="Times New Roman"/>
          <w:color w:val="auto"/>
          <w:highlight w:val="none"/>
        </w:rPr>
        <w:t>环境监测</w:t>
      </w:r>
      <w:bookmarkEnd w:id="418"/>
      <w:bookmarkEnd w:id="419"/>
      <w:bookmarkEnd w:id="441"/>
      <w:bookmarkEnd w:id="442"/>
      <w:bookmarkEnd w:id="443"/>
      <w:bookmarkEnd w:id="444"/>
    </w:p>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445" w:name="_Toc844"/>
      <w:bookmarkStart w:id="446" w:name="_Toc4025"/>
      <w:bookmarkStart w:id="447" w:name="_Toc20379_WPSOffice_Level3"/>
      <w:bookmarkStart w:id="448" w:name="_Toc521585912"/>
      <w:bookmarkStart w:id="449" w:name="_Toc30258_WPSOffice_Level3"/>
      <w:bookmarkStart w:id="450" w:name="_Toc21274"/>
      <w:bookmarkStart w:id="451" w:name="_Toc24907"/>
      <w:bookmarkStart w:id="452" w:name="_Toc229909617"/>
      <w:bookmarkStart w:id="453" w:name="_Toc2838_WPSOffice_Level3"/>
      <w:r>
        <w:rPr>
          <w:rFonts w:hint="default" w:ascii="Times New Roman" w:hAnsi="Times New Roman" w:cs="Times New Roman"/>
          <w:color w:val="auto"/>
          <w:highlight w:val="none"/>
        </w:rPr>
        <w:t>监测目的</w:t>
      </w:r>
      <w:bookmarkEnd w:id="445"/>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环境监测是环境管理技术的支持，还是企业搞好环境管理，促进污染治理设施正常运行的主要保障。通过定期的环境监测，了解当地的环境质量状况，可以及时发现问题、解决问题，从而有利于监督各项环保措施的落实，并根据监测结果适时调整环境保护计划。</w:t>
      </w:r>
    </w:p>
    <w:bookmarkEnd w:id="446"/>
    <w:bookmarkEnd w:id="447"/>
    <w:bookmarkEnd w:id="448"/>
    <w:bookmarkEnd w:id="449"/>
    <w:bookmarkEnd w:id="450"/>
    <w:bookmarkEnd w:id="451"/>
    <w:bookmarkEnd w:id="452"/>
    <w:bookmarkEnd w:id="453"/>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454" w:name="_Toc10675"/>
      <w:r>
        <w:rPr>
          <w:rFonts w:hint="default" w:ascii="Times New Roman" w:hAnsi="Times New Roman" w:cs="Times New Roman"/>
          <w:color w:val="auto"/>
          <w:highlight w:val="none"/>
        </w:rPr>
        <w:t>监测项目及监测计划</w:t>
      </w:r>
      <w:bookmarkEnd w:id="454"/>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本项目环境监测主要包括废气、废水、固体废物以等污染源监测及场区外地下水、土壤的定期监测。根据《环境影响评价技术导则 地下水环境》（HJ610-2016）中有关地下水环境监测与管理的相关规定，环评建议企业：</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（1）建立地下水环境监测管理体系，包括制定地下水环境影响跟踪监测计划、建立地下水环境影响跟踪监测制度、配备先进的监测仪器，以便及时发现问题，采取措施。</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跟踪监测计划应根据环境水文地质条件和建设项目特点设置跟踪监测点，跟踪监测点应明确与建设项目的位置关系，给出点位、坐标、井深、井结构、监测层位、监测因子及监测频率等相关参数。三级评价的建设项目，一般跟踪监测点数量不少于1个，应至少在建设项目场地下游布设1个。</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制定地下水环境跟踪与信息公开计划，落实跟踪监测报告编制的责任主体，明确地下水环境跟踪监测报告的内容，主要包括建设项目所在场地及其影响区地下水环境跟踪监测数据，排放污染物的种类、数量、浓度。生产设备（本项目</w:t>
      </w:r>
      <w:r>
        <w:rPr>
          <w:rFonts w:hint="default" w:ascii="Times New Roman" w:hAnsi="Times New Roman" w:cs="Times New Roman"/>
          <w:color w:val="auto"/>
          <w:highlight w:val="none"/>
          <w:lang w:val="en-US" w:eastAsia="zh-CN"/>
        </w:rPr>
        <w:t>堆粪场</w:t>
      </w:r>
      <w:r>
        <w:rPr>
          <w:rFonts w:hint="default" w:ascii="Times New Roman" w:hAnsi="Times New Roman" w:cs="Times New Roman"/>
          <w:color w:val="auto"/>
          <w:highlight w:val="none"/>
        </w:rPr>
        <w:t>等）、贮存与运输装置、污染贮存与处理装置、事故应急装置等设施的运行状况、跑冒滴漏记录、维护记录。信息公开计划至少应包括建设项目特征因子的地下水环境监测值。</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（4）制定地下水污染应急响应制度，明确污染状况下采取的控制措施、切断污染源的途径等。</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lang w:val="en-US" w:eastAsia="zh-CN"/>
        </w:rPr>
        <w:t>根据《畜禽场环境质量标准》（NY/T388-1999）及《畜禽场环境质量及卫生控制规范》</w:t>
      </w:r>
      <w:r>
        <w:rPr>
          <w:rFonts w:hint="default" w:ascii="Times New Roman" w:hAnsi="Times New Roman" w:eastAsia="宋体" w:cs="Times New Roman"/>
          <w:color w:val="auto"/>
          <w:highlight w:val="none"/>
          <w:lang w:val="zh-CN" w:eastAsia="zh-CN"/>
        </w:rPr>
        <w:t>（</w:t>
      </w:r>
      <w:r>
        <w:rPr>
          <w:rFonts w:hint="default" w:ascii="Times New Roman" w:hAnsi="Times New Roman" w:eastAsia="宋体" w:cs="Times New Roman"/>
          <w:color w:val="auto"/>
          <w:highlight w:val="none"/>
          <w:lang w:val="en-US" w:eastAsia="zh-CN"/>
        </w:rPr>
        <w:t>NY/T 1167-2006）、《</w:t>
      </w: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"https://www.mee.gov.cn/ywgz/fgbz/bz/bzwb/jcffbz/202012/W020201203608473632069.pdf"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地下水环境监测技术规范》（HJ 164-2020）</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、《工业企业土壤和地下水自行监测技术指南》（HJ1209-2021）、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排污许可证申请与核发技术规范 畜禽养殖行业》（HJ1029-2019）及《排污单位自行监测技术指南 总则》（HJ819</w:t>
      </w:r>
      <w:r>
        <w:rPr>
          <w:rFonts w:hint="default" w:ascii="Times New Roman" w:hAnsi="Times New Roman" w:cs="Times New Roman"/>
          <w:color w:val="auto"/>
          <w:highlight w:val="none"/>
          <w:lang w:val="en-US" w:eastAsia="zh-CN"/>
        </w:rPr>
        <w:t>-2017</w:t>
      </w:r>
      <w:r>
        <w:rPr>
          <w:rFonts w:hint="default" w:ascii="Times New Roman" w:hAnsi="Times New Roman" w:cs="Times New Roman"/>
          <w:color w:val="auto"/>
          <w:highlight w:val="none"/>
        </w:rPr>
        <w:t>），项目环境监测内容一览表见表8.</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-1。</w:t>
      </w:r>
    </w:p>
    <w:p>
      <w:pPr>
        <w:pStyle w:val="50"/>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表8.</w:t>
      </w:r>
      <w:r>
        <w:rPr>
          <w:rFonts w:hint="default"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-1  环境监测内容一览表</w:t>
      </w:r>
    </w:p>
    <w:tbl>
      <w:tblPr>
        <w:tblStyle w:val="39"/>
        <w:tblpPr w:leftFromText="180" w:rightFromText="180" w:vertAnchor="text" w:tblpXSpec="center"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675"/>
        <w:gridCol w:w="2890"/>
        <w:gridCol w:w="3474"/>
        <w:gridCol w:w="1755"/>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6" w:hRule="atLeast"/>
        </w:trPr>
        <w:tc>
          <w:tcPr>
            <w:tcW w:w="384"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w:t>
            </w:r>
          </w:p>
        </w:tc>
        <w:tc>
          <w:tcPr>
            <w:tcW w:w="1643"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监测点位</w:t>
            </w:r>
          </w:p>
        </w:tc>
        <w:tc>
          <w:tcPr>
            <w:tcW w:w="1975"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监测内容</w:t>
            </w:r>
          </w:p>
        </w:tc>
        <w:tc>
          <w:tcPr>
            <w:tcW w:w="997"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监测频次</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9" w:hRule="atLeast"/>
        </w:trPr>
        <w:tc>
          <w:tcPr>
            <w:tcW w:w="5000" w:type="pct"/>
            <w:gridSpan w:val="4"/>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（一）污染源的监测</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3" w:hRule="atLeast"/>
        </w:trPr>
        <w:tc>
          <w:tcPr>
            <w:tcW w:w="384" w:type="pct"/>
            <w:vMerge w:val="restar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1643"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排气筒</w:t>
            </w:r>
          </w:p>
        </w:tc>
        <w:tc>
          <w:tcPr>
            <w:tcW w:w="1975"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997"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每年一次</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3" w:hRule="atLeast"/>
        </w:trPr>
        <w:tc>
          <w:tcPr>
            <w:tcW w:w="384" w:type="pct"/>
            <w:vMerge w:val="continue"/>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p>
        </w:tc>
        <w:tc>
          <w:tcPr>
            <w:tcW w:w="1643"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场界</w:t>
            </w:r>
          </w:p>
        </w:tc>
        <w:tc>
          <w:tcPr>
            <w:tcW w:w="1975"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臭气浓度、H</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S、NH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、颗粒物</w:t>
            </w:r>
          </w:p>
        </w:tc>
        <w:tc>
          <w:tcPr>
            <w:tcW w:w="997"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每年一次</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2" w:hRule="atLeast"/>
        </w:trPr>
        <w:tc>
          <w:tcPr>
            <w:tcW w:w="384"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1643"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四周场界外1m</w:t>
            </w:r>
          </w:p>
        </w:tc>
        <w:tc>
          <w:tcPr>
            <w:tcW w:w="1975"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等效连续A声级</w:t>
            </w:r>
          </w:p>
        </w:tc>
        <w:tc>
          <w:tcPr>
            <w:tcW w:w="997"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每季度1次</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3" w:hRule="atLeast"/>
        </w:trPr>
        <w:tc>
          <w:tcPr>
            <w:tcW w:w="5000" w:type="pct"/>
            <w:gridSpan w:val="4"/>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（二）外环境的监测</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85" w:hRule="atLeast"/>
        </w:trPr>
        <w:tc>
          <w:tcPr>
            <w:tcW w:w="384"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地下水</w:t>
            </w:r>
          </w:p>
        </w:tc>
        <w:tc>
          <w:tcPr>
            <w:tcW w:w="1643"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下游设置1口地下水监测井</w:t>
            </w:r>
          </w:p>
        </w:tc>
        <w:tc>
          <w:tcPr>
            <w:tcW w:w="1975"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化学需氧量、五日生化需氧量、氨氮、总氮、</w:t>
            </w:r>
            <w:r>
              <w:rPr>
                <w:rFonts w:hint="default" w:ascii="Times New Roman" w:hAnsi="Times New Roman" w:cs="Times New Roman"/>
                <w:color w:val="auto"/>
                <w:sz w:val="21"/>
                <w:szCs w:val="21"/>
                <w:highlight w:val="none"/>
                <w:lang w:val="en-US" w:eastAsia="zh-CN"/>
              </w:rPr>
              <w:t>粪大肠菌群等</w:t>
            </w:r>
          </w:p>
        </w:tc>
        <w:tc>
          <w:tcPr>
            <w:tcW w:w="997" w:type="pct"/>
            <w:tcBorders>
              <w:tl2br w:val="nil"/>
              <w:tr2bl w:val="nil"/>
            </w:tcBorders>
            <w:noWrap w:val="0"/>
            <w:vAlign w:val="center"/>
          </w:tcPr>
          <w:p>
            <w:pPr>
              <w:pStyle w:val="55"/>
              <w:pageBreakBefore w:val="0"/>
              <w:wordWrap/>
              <w:bidi w:val="0"/>
              <w:adjustRightInd w:val="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建议每年一次</w:t>
            </w:r>
          </w:p>
        </w:tc>
      </w:tr>
    </w:tbl>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上述监测任务</w:t>
      </w:r>
      <w:r>
        <w:rPr>
          <w:rFonts w:hint="default" w:ascii="Times New Roman" w:hAnsi="Times New Roman" w:cs="Times New Roman"/>
          <w:color w:val="auto"/>
          <w:highlight w:val="none"/>
          <w:lang w:val="en-US" w:eastAsia="zh-CN"/>
        </w:rPr>
        <w:t>应</w:t>
      </w:r>
      <w:r>
        <w:rPr>
          <w:rFonts w:hint="default" w:ascii="Times New Roman" w:hAnsi="Times New Roman" w:cs="Times New Roman"/>
          <w:color w:val="auto"/>
          <w:highlight w:val="none"/>
        </w:rPr>
        <w:t>委托有资质的单位进行监测。本项目应有专人负责联系监测和保存监测资料。</w:t>
      </w:r>
    </w:p>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455" w:name="_Toc2862"/>
      <w:r>
        <w:rPr>
          <w:rFonts w:hint="default" w:ascii="Times New Roman" w:hAnsi="Times New Roman" w:cs="Times New Roman"/>
          <w:color w:val="auto"/>
          <w:highlight w:val="none"/>
        </w:rPr>
        <w:t>监测数据管理</w:t>
      </w:r>
      <w:bookmarkEnd w:id="455"/>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监测结果应按照项目有关规定及时建立档案，并定期向</w:t>
      </w:r>
      <w:r>
        <w:rPr>
          <w:rFonts w:hint="default" w:ascii="Times New Roman" w:hAnsi="Times New Roman" w:cs="Times New Roman"/>
          <w:color w:val="auto"/>
          <w:highlight w:val="none"/>
          <w:lang w:eastAsia="zh-CN"/>
        </w:rPr>
        <w:t>生态环境主管部门</w:t>
      </w:r>
      <w:r>
        <w:rPr>
          <w:rFonts w:hint="default" w:ascii="Times New Roman" w:hAnsi="Times New Roman" w:cs="Times New Roman"/>
          <w:color w:val="auto"/>
          <w:highlight w:val="none"/>
        </w:rPr>
        <w:t>汇报，对于常规监测数据应该进行公开。如发现异常或发生事故，加密监测频次，并分析污染原因，确定污染源，及时采取应急措施。</w:t>
      </w:r>
    </w:p>
    <w:p>
      <w:pPr>
        <w:pStyle w:val="5"/>
        <w:pageBreakBefore w:val="0"/>
        <w:wordWrap/>
        <w:bidi w:val="0"/>
        <w:adjustRightInd w:val="0"/>
        <w:ind w:left="0" w:leftChars="0" w:right="0" w:rightChars="0" w:firstLineChars="0"/>
        <w:rPr>
          <w:rFonts w:hint="default" w:ascii="Times New Roman" w:hAnsi="Times New Roman" w:cs="Times New Roman"/>
          <w:color w:val="auto"/>
          <w:highlight w:val="none"/>
        </w:rPr>
      </w:pPr>
      <w:bookmarkStart w:id="456" w:name="_Toc27233"/>
      <w:r>
        <w:rPr>
          <w:rFonts w:hint="default" w:ascii="Times New Roman" w:hAnsi="Times New Roman" w:cs="Times New Roman"/>
          <w:color w:val="auto"/>
          <w:highlight w:val="none"/>
        </w:rPr>
        <w:t>环境</w:t>
      </w:r>
      <w:r>
        <w:rPr>
          <w:rFonts w:hint="default" w:ascii="Times New Roman" w:hAnsi="Times New Roman" w:cs="Times New Roman"/>
          <w:color w:val="auto"/>
          <w:highlight w:val="none"/>
          <w:lang w:val="en-US" w:eastAsia="zh-CN"/>
        </w:rPr>
        <w:t>管理</w:t>
      </w:r>
      <w:r>
        <w:rPr>
          <w:rFonts w:hint="default" w:ascii="Times New Roman" w:hAnsi="Times New Roman" w:cs="Times New Roman"/>
          <w:color w:val="auto"/>
          <w:highlight w:val="none"/>
        </w:rPr>
        <w:t>台账</w:t>
      </w:r>
      <w:bookmarkEnd w:id="456"/>
    </w:p>
    <w:p>
      <w:pPr>
        <w:pageBreakBefore w:val="0"/>
        <w:wordWrap/>
        <w:bidi w:val="0"/>
        <w:adjustRightInd w:val="0"/>
        <w:snapToGrid w:val="0"/>
        <w:spacing w:line="360" w:lineRule="auto"/>
        <w:ind w:left="0" w:leftChars="0" w:right="0" w:rightChars="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运营后，需制定环境管理台账记录制度，由专人负责，采用电子化储存和纸质储存的两种方式同步管理，保存期限不得低于三年。记录内容包括治理设施运行、自行监测和其他环境管理等与污染物排放相关的信息。</w:t>
      </w:r>
    </w:p>
    <w:p>
      <w:pPr>
        <w:pageBreakBefore w:val="0"/>
        <w:wordWrap/>
        <w:bidi w:val="0"/>
        <w:adjustRightInd w:val="0"/>
        <w:snapToGrid w:val="0"/>
        <w:spacing w:line="360" w:lineRule="auto"/>
        <w:ind w:left="0" w:leftChars="0" w:right="0" w:rightChars="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一般原则</w:t>
      </w:r>
    </w:p>
    <w:p>
      <w:pPr>
        <w:pageBreakBefore w:val="0"/>
        <w:wordWrap/>
        <w:bidi w:val="0"/>
        <w:adjustRightInd w:val="0"/>
        <w:snapToGrid w:val="0"/>
        <w:spacing w:line="360" w:lineRule="auto"/>
        <w:ind w:left="0" w:leftChars="0" w:right="0" w:rightChars="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排污单位应建立环境管理台账记录制度，落实相关责任部门和责任人，明确工作职责，真实记录污染治理设施运行、自行监测和其他环境管理等与污染物排放相关的信息，并对环境管理台账的真实性、完整性和规范性负责。</w:t>
      </w:r>
    </w:p>
    <w:p>
      <w:pPr>
        <w:pageBreakBefore w:val="0"/>
        <w:wordWrap/>
        <w:bidi w:val="0"/>
        <w:adjustRightInd w:val="0"/>
        <w:snapToGrid w:val="0"/>
        <w:spacing w:line="360" w:lineRule="auto"/>
        <w:ind w:left="0" w:leftChars="0" w:right="0" w:rightChars="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为便于携带、储存、导出及证明排污许可证执行情况，环境管理台账应按照电子化储存和纸质储存两种形式同步管理，保存期限不得少于三年。</w:t>
      </w:r>
    </w:p>
    <w:p>
      <w:pPr>
        <w:pStyle w:val="17"/>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污染治理设施运行信息</w:t>
      </w:r>
    </w:p>
    <w:p>
      <w:pPr>
        <w:pStyle w:val="17"/>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1）基本信息</w:t>
      </w:r>
    </w:p>
    <w:p>
      <w:pPr>
        <w:pStyle w:val="17"/>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基本信息包括排污单位生产设施基本信息与污染防治设施基本信息。</w:t>
      </w:r>
    </w:p>
    <w:p>
      <w:pPr>
        <w:pStyle w:val="17"/>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a）生产设施基本信息</w:t>
      </w:r>
    </w:p>
    <w:p>
      <w:pPr>
        <w:pStyle w:val="17"/>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生产设施基本信息包括养殖种类、养殖能力、占地面积、栏舍面积、是否雨污分流等。</w:t>
      </w:r>
    </w:p>
    <w:p>
      <w:pPr>
        <w:pStyle w:val="17"/>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b）污染防治设施基本信息</w:t>
      </w:r>
    </w:p>
    <w:p>
      <w:pPr>
        <w:pStyle w:val="17"/>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污染防治设施基本信息包括废水处理设施名称、编码、处理规模、处理工艺、污泥处理处置方式、是否有流量计、是否安装在线监测及在线监测指标；无组织废气收集装置名称、编码、处理方式、型号、排放方式、是否开展监测等。</w:t>
      </w:r>
    </w:p>
    <w:p>
      <w:pPr>
        <w:pStyle w:val="17"/>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2）生产设施运行管理信息</w:t>
      </w:r>
    </w:p>
    <w:p>
      <w:pPr>
        <w:pStyle w:val="17"/>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生产设施运行管理信息为养殖栏舍管理信息，具体应记录养殖种类、栏舍数量、栏舍面积、养殖方式、存栏量、出栏量、总取水量、总排水量。</w:t>
      </w:r>
    </w:p>
    <w:p>
      <w:pPr>
        <w:pStyle w:val="17"/>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3）污染防治设施运行管理信息</w:t>
      </w:r>
    </w:p>
    <w:p>
      <w:pPr>
        <w:pStyle w:val="17"/>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包括无组织废气及固体粪污污染防治设施运行管理信息，至少记录以下内容：</w:t>
      </w:r>
    </w:p>
    <w:p>
      <w:pPr>
        <w:pStyle w:val="17"/>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a）正常情况</w:t>
      </w:r>
    </w:p>
    <w:p>
      <w:pPr>
        <w:pStyle w:val="17"/>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无组织废气污染防治设施运行管理信息应记录无组织排放控制措施、记录班次、控制措施运行参数等；固体粪污设施运行管理信息应记录清粪方式、</w:t>
      </w:r>
      <w:r>
        <w:rPr>
          <w:rFonts w:hint="eastAsia" w:cs="Times New Roman"/>
          <w:color w:val="auto"/>
          <w:highlight w:val="none"/>
          <w:lang w:eastAsia="zh-CN"/>
        </w:rPr>
        <w:t>有机肥产生量</w:t>
      </w:r>
      <w:r>
        <w:rPr>
          <w:rFonts w:hint="default" w:ascii="Times New Roman" w:hAnsi="Times New Roman" w:cs="Times New Roman"/>
          <w:color w:val="auto"/>
          <w:highlight w:val="none"/>
        </w:rPr>
        <w:t>和清出量、粪污利用去向等。</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b）异常情况</w:t>
      </w:r>
    </w:p>
    <w:p>
      <w:pPr>
        <w:pStyle w:val="17"/>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应记录异常</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停运</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时刻、恢复</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启动</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时刻、事件原因、是否报告、所采取的措施。</w:t>
      </w:r>
    </w:p>
    <w:p>
      <w:pPr>
        <w:pStyle w:val="17"/>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监测记录信息</w:t>
      </w:r>
    </w:p>
    <w:p>
      <w:pPr>
        <w:pStyle w:val="17"/>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排污单位监测记录信息包括手工监测记录信息和自动监测运维记录信息，记录内容按照HJ819开展，参见《排污许可证申请与核发技术规范 畜禽养殖行业》（HJ1029</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2019）附录A中表A.1-表 A.9。</w:t>
      </w:r>
    </w:p>
    <w:p>
      <w:pPr>
        <w:pStyle w:val="5"/>
        <w:pageBreakBefore w:val="0"/>
        <w:wordWrap/>
        <w:bidi w:val="0"/>
        <w:adjustRightInd w:val="0"/>
        <w:ind w:left="0" w:leftChars="0" w:right="0" w:rightChars="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信息</w:t>
      </w:r>
      <w:r>
        <w:rPr>
          <w:rFonts w:hint="default" w:ascii="Times New Roman" w:hAnsi="Times New Roman" w:eastAsia="宋体" w:cs="Times New Roman"/>
          <w:color w:val="auto"/>
          <w:highlight w:val="none"/>
        </w:rPr>
        <w:t>报告</w:t>
      </w:r>
    </w:p>
    <w:p>
      <w:pPr>
        <w:pStyle w:val="17"/>
        <w:pageBreakBefore w:val="0"/>
        <w:wordWrap/>
        <w:bidi w:val="0"/>
        <w:adjustRightInd w:val="0"/>
        <w:ind w:left="0" w:leftChars="0" w:right="0" w:right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排污单位应编写自行监测年度报告，年度报告至少应包含以下内容：</w:t>
      </w:r>
    </w:p>
    <w:p>
      <w:pPr>
        <w:pStyle w:val="17"/>
        <w:pageBreakBefore w:val="0"/>
        <w:wordWrap/>
        <w:bidi w:val="0"/>
        <w:adjustRightInd w:val="0"/>
        <w:ind w:left="0" w:leftChars="0" w:right="0" w:right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监测方案的调整变化情况及变更原因；</w:t>
      </w:r>
    </w:p>
    <w:p>
      <w:pPr>
        <w:pStyle w:val="17"/>
        <w:pageBreakBefore w:val="0"/>
        <w:wordWrap/>
        <w:bidi w:val="0"/>
        <w:adjustRightInd w:val="0"/>
        <w:ind w:left="0" w:leftChars="0" w:right="0" w:right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b</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企业及各主要生产设施</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至少涵盖废气主要污染源相关生产设施</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全年运行天数，各监测点、各监测指标全年监测次数、超标情况、浓度分布情况；</w:t>
      </w:r>
    </w:p>
    <w:p>
      <w:pPr>
        <w:pStyle w:val="17"/>
        <w:pageBreakBefore w:val="0"/>
        <w:wordWrap/>
        <w:bidi w:val="0"/>
        <w:adjustRightInd w:val="0"/>
        <w:ind w:left="0" w:leftChars="0" w:right="0" w:right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c</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按要求开展的周边环境质量影响状况监测结果；</w:t>
      </w:r>
    </w:p>
    <w:p>
      <w:pPr>
        <w:pStyle w:val="17"/>
        <w:pageBreakBefore w:val="0"/>
        <w:wordWrap/>
        <w:bidi w:val="0"/>
        <w:adjustRightInd w:val="0"/>
        <w:ind w:left="0" w:leftChars="0" w:right="0" w:right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d</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自行监测开展的其他情况说明；</w:t>
      </w:r>
    </w:p>
    <w:p>
      <w:pPr>
        <w:pStyle w:val="17"/>
        <w:pageBreakBefore w:val="0"/>
        <w:wordWrap/>
        <w:bidi w:val="0"/>
        <w:adjustRightInd w:val="0"/>
        <w:ind w:left="0" w:leftChars="0" w:right="0" w:right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e</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排污单位实现达标排放所采取的主要措施。</w:t>
      </w:r>
    </w:p>
    <w:p>
      <w:pPr>
        <w:pStyle w:val="5"/>
        <w:pageBreakBefore w:val="0"/>
        <w:wordWrap/>
        <w:bidi w:val="0"/>
        <w:adjustRightInd w:val="0"/>
        <w:ind w:left="0" w:leftChars="0" w:right="0" w:rightChars="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信息公开</w:t>
      </w:r>
    </w:p>
    <w:p>
      <w:pPr>
        <w:pStyle w:val="17"/>
        <w:pageBreakBefore w:val="0"/>
        <w:wordWrap/>
        <w:bidi w:val="0"/>
        <w:adjustRightInd w:val="0"/>
        <w:ind w:left="0" w:leftChars="0" w:right="0" w:right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排污单位自行监测信息公开内容及方式按照</w:t>
      </w:r>
      <w:r>
        <w:rPr>
          <w:rFonts w:hint="eastAsia" w:cs="Times New Roman"/>
          <w:color w:val="auto"/>
          <w:highlight w:val="none"/>
          <w:lang w:eastAsia="zh-CN"/>
        </w:rPr>
        <w:t>《企业环境信息依法披露管理办法》（生态环境部部令第24号）</w:t>
      </w:r>
      <w:r>
        <w:rPr>
          <w:rFonts w:hint="default" w:ascii="Times New Roman" w:hAnsi="Times New Roman" w:eastAsia="宋体" w:cs="Times New Roman"/>
          <w:color w:val="auto"/>
          <w:highlight w:val="none"/>
        </w:rPr>
        <w:t>及《国家重点监控企业自行监测及信息公开办法</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试行</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环发〔2013〕81号</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执行。非重点排污单位的信息公开要求由地方</w:t>
      </w:r>
      <w:r>
        <w:rPr>
          <w:rFonts w:hint="default" w:ascii="Times New Roman" w:hAnsi="Times New Roman" w:eastAsia="宋体" w:cs="Times New Roman"/>
          <w:color w:val="auto"/>
          <w:highlight w:val="none"/>
          <w:lang w:val="en-US" w:eastAsia="zh-CN"/>
        </w:rPr>
        <w:t>生态环境</w:t>
      </w:r>
      <w:r>
        <w:rPr>
          <w:rFonts w:hint="default" w:ascii="Times New Roman" w:hAnsi="Times New Roman" w:eastAsia="宋体" w:cs="Times New Roman"/>
          <w:color w:val="auto"/>
          <w:highlight w:val="none"/>
        </w:rPr>
        <w:t>主管部门确定。</w:t>
      </w:r>
    </w:p>
    <w:p>
      <w:pPr>
        <w:pStyle w:val="4"/>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457" w:name="_Toc4692"/>
      <w:bookmarkStart w:id="458" w:name="_Toc30640"/>
      <w:bookmarkStart w:id="459" w:name="_Toc17113"/>
      <w:bookmarkStart w:id="460" w:name="_Toc292183633"/>
      <w:bookmarkStart w:id="461" w:name="_Toc298855667"/>
      <w:r>
        <w:rPr>
          <w:rFonts w:hint="default" w:ascii="Times New Roman" w:hAnsi="Times New Roman" w:cs="Times New Roman"/>
          <w:color w:val="auto"/>
          <w:highlight w:val="none"/>
        </w:rPr>
        <w:t>竣工验收管理</w:t>
      </w:r>
      <w:bookmarkEnd w:id="457"/>
      <w:bookmarkEnd w:id="458"/>
      <w:bookmarkEnd w:id="459"/>
    </w:p>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462" w:name="_Toc23274_WPSOffice_Level3"/>
      <w:bookmarkStart w:id="463" w:name="_Toc14577"/>
      <w:bookmarkStart w:id="464" w:name="_Toc6456_WPSOffice_Level3"/>
      <w:bookmarkStart w:id="465" w:name="_Toc24960"/>
      <w:bookmarkStart w:id="466" w:name="_Toc32614"/>
      <w:bookmarkStart w:id="467" w:name="_Toc1930"/>
      <w:r>
        <w:rPr>
          <w:rFonts w:hint="default" w:ascii="Times New Roman" w:hAnsi="Times New Roman" w:cs="Times New Roman"/>
          <w:color w:val="auto"/>
          <w:highlight w:val="none"/>
        </w:rPr>
        <w:t>竣工验收管理及要求</w:t>
      </w:r>
      <w:bookmarkEnd w:id="462"/>
      <w:bookmarkEnd w:id="463"/>
      <w:bookmarkEnd w:id="464"/>
      <w:bookmarkEnd w:id="465"/>
      <w:bookmarkEnd w:id="466"/>
      <w:bookmarkEnd w:id="467"/>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根据《建设项目竣工环境保护验收暂行办法》，建设项目竣工后建设单位自主开展环境保护验收及相关监督管理。项目建设中应配套建设废气、废水、噪声</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 xml:space="preserve">固体废物污染防治设施，正式投入生产或使用之前自主开展环境保护验收。建设单位是建设项目竣工环境保护验收的责任主体，应当按照本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环境保护设施是指防治环境污染和生态破坏以及开展环境监测所需的装置、设备和工程设施等。验收报告分为验收监测（调查）报告、验收意见和其他需要说明的事项等三项内容。 </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（1）建设项目竣工环境保护验收的主要依据包括：</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①建设项目环境保护相关法律、法规、规章、标准和规范性文件；</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②建设项目竣工环境保护验收技术规范；</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③建设项目环境影响报告书及审批部门审批决定。</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（2）验收的程序和内容</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建设项目竣工后，建设单位应当如实查验、监测、记载建设项目环境保护设施的建设和调试情况，编制验收监测（调查）报告。以排放污染物为主的建设项目，参照《建设项目竣工环境保护验收技术指南污染影响类》编制验收监测报告。 建设单位应当确保调试期间污染物排放符合国家和地方有关污染物排放标准和排污许可等相关管理规定。</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环境保护设施未与主体工程同时建成的，或者应当取得排污许可证但未取得的，建设单位不得对该建设项目环境保护设施进行调试。调试期间，建设单位应当对环境保护设施运行情况和建设项目对环境的影响进行监测。验收监测应当在确保主体工程调试工况稳定、环境保护设施运行正常的情况下进行，并如实记录监测时的实际工况。国家和地方有关污染物排放标准或者行业验收技术规范对工况和生产负荷另有规定的，按其规定执行。建设单位开展验收监测活动，可根据自身条件和能力，利用自有人员、场所和设备自行监测；也可以委托其他有能力的监测机构开展监测。 </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验收监测（调查）报告编制完成后，建设单位应当根据验收监测（调查）报告结论，逐一检查是否存在验收不合格的情形，提出验收意见。存在问题的，建设单位应当进行整改，整改完成后方可提出验收意见。 验收意见包括工程建设基本情况、工程变动情况、环境保护设施落实情况、环境保护设施调试效果、工程建设对环境的影响、验收结论和后续要求等内容，验收结论应当明确该建设项目环境保护设施是否验收合格。 建设项目配套建设的环境保护设施经验收合格后，其主体工程方可投入生产或者使用；未经验收或者验收不合格的，不得投入生产或者使用。企业自主验收流程示意见图8.</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-1。</w:t>
      </w:r>
    </w:p>
    <w:p>
      <w:pPr>
        <w:pageBreakBefore w:val="0"/>
        <w:wordWrap/>
        <w:bidi w:val="0"/>
        <w:adjustRightInd w:val="0"/>
        <w:spacing w:line="240" w:lineRule="auto"/>
        <w:ind w:left="0" w:leftChars="0"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443220" cy="5088890"/>
            <wp:effectExtent l="0" t="0" r="5080" b="16510"/>
            <wp:docPr id="4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4"/>
                    <pic:cNvPicPr>
                      <a:picLocks noChangeAspect="1"/>
                    </pic:cNvPicPr>
                  </pic:nvPicPr>
                  <pic:blipFill>
                    <a:blip r:embed="rId68"/>
                    <a:srcRect b="5116"/>
                    <a:stretch>
                      <a:fillRect/>
                    </a:stretch>
                  </pic:blipFill>
                  <pic:spPr>
                    <a:xfrm>
                      <a:off x="0" y="0"/>
                      <a:ext cx="5443220" cy="5088890"/>
                    </a:xfrm>
                    <a:prstGeom prst="rect">
                      <a:avLst/>
                    </a:prstGeom>
                    <a:noFill/>
                    <a:ln>
                      <a:noFill/>
                    </a:ln>
                  </pic:spPr>
                </pic:pic>
              </a:graphicData>
            </a:graphic>
          </wp:inline>
        </w:drawing>
      </w:r>
    </w:p>
    <w:p>
      <w:pPr>
        <w:pStyle w:val="50"/>
        <w:pageBreakBefore w:val="0"/>
        <w:wordWrap/>
        <w:bidi w:val="0"/>
        <w:adjustRightInd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sz w:val="21"/>
          <w:szCs w:val="21"/>
          <w:highlight w:val="none"/>
        </w:rPr>
        <w:t>图8.</w:t>
      </w:r>
      <w:r>
        <w:rPr>
          <w:rFonts w:hint="default" w:ascii="Times New Roman" w:hAnsi="Times New Roman" w:cs="Times New Roman"/>
          <w:color w:val="auto"/>
          <w:sz w:val="21"/>
          <w:szCs w:val="21"/>
          <w:highlight w:val="none"/>
          <w:lang w:val="en-US" w:eastAsia="zh-CN"/>
        </w:rPr>
        <w:t>6</w:t>
      </w:r>
      <w:r>
        <w:rPr>
          <w:rFonts w:hint="default" w:ascii="Times New Roman" w:hAnsi="Times New Roman" w:cs="Times New Roman"/>
          <w:color w:val="auto"/>
          <w:sz w:val="21"/>
          <w:szCs w:val="21"/>
          <w:highlight w:val="none"/>
        </w:rPr>
        <w:t>-1   企业自主验收流程示意图</w:t>
      </w:r>
    </w:p>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468" w:name="_Toc11026"/>
      <w:bookmarkStart w:id="469" w:name="_Toc21969_WPSOffice_Level3"/>
      <w:bookmarkStart w:id="470" w:name="_Toc19141"/>
      <w:bookmarkStart w:id="471" w:name="_Toc568"/>
      <w:bookmarkStart w:id="472" w:name="_Toc16564"/>
      <w:bookmarkStart w:id="473" w:name="_Toc12242_WPSOffice_Level3"/>
      <w:r>
        <w:rPr>
          <w:rFonts w:hint="default" w:ascii="Times New Roman" w:hAnsi="Times New Roman" w:cs="Times New Roman"/>
          <w:color w:val="auto"/>
          <w:highlight w:val="none"/>
        </w:rPr>
        <w:t>环保竣工验收</w:t>
      </w:r>
      <w:bookmarkEnd w:id="468"/>
      <w:bookmarkEnd w:id="469"/>
      <w:bookmarkEnd w:id="470"/>
      <w:bookmarkEnd w:id="471"/>
      <w:bookmarkEnd w:id="472"/>
      <w:bookmarkEnd w:id="473"/>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本项目环境保护设施“三同时”验收一览表详见表8.</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w:t>
      </w:r>
    </w:p>
    <w:bookmarkEnd w:id="460"/>
    <w:bookmarkEnd w:id="461"/>
    <w:p>
      <w:pPr>
        <w:pStyle w:val="50"/>
        <w:keepNext w:val="0"/>
        <w:keepLines w:val="0"/>
        <w:pageBreakBefore w:val="0"/>
        <w:widowControl w:val="0"/>
        <w:kinsoku/>
        <w:wordWrap/>
        <w:overflowPunct/>
        <w:topLinePunct w:val="0"/>
        <w:autoSpaceDE/>
        <w:autoSpaceDN/>
        <w:bidi w:val="0"/>
        <w:adjustRightInd w:val="0"/>
        <w:snapToGrid w:val="0"/>
        <w:spacing w:before="157" w:beforeLines="50" w:afterLines="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表8.6-</w:t>
      </w:r>
      <w:r>
        <w:rPr>
          <w:rFonts w:hint="eastAsia" w:ascii="Times New Roman" w:hAnsi="Times New Roman"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 xml:space="preserve">  环境保护“三同时”验收一览表</w:t>
      </w:r>
    </w:p>
    <w:tbl>
      <w:tblPr>
        <w:tblStyle w:val="39"/>
        <w:tblpPr w:leftFromText="180" w:rightFromText="180" w:vertAnchor="text" w:tblpY="1"/>
        <w:tblOverlap w:val="never"/>
        <w:tblW w:w="498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563"/>
        <w:gridCol w:w="4444"/>
        <w:gridCol w:w="600"/>
        <w:gridCol w:w="30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0" w:hRule="atLeast"/>
        </w:trPr>
        <w:tc>
          <w:tcPr>
            <w:tcW w:w="325"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环保工程</w:t>
            </w:r>
          </w:p>
        </w:tc>
        <w:tc>
          <w:tcPr>
            <w:tcW w:w="2567"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环保措施</w:t>
            </w:r>
          </w:p>
        </w:tc>
        <w:tc>
          <w:tcPr>
            <w:tcW w:w="346"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监测因子</w:t>
            </w:r>
          </w:p>
        </w:tc>
        <w:tc>
          <w:tcPr>
            <w:tcW w:w="1761"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验收标准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或指标）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0" w:hRule="atLeast"/>
        </w:trPr>
        <w:tc>
          <w:tcPr>
            <w:tcW w:w="325" w:type="pct"/>
            <w:vMerge w:val="restar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废气治理</w:t>
            </w:r>
          </w:p>
        </w:tc>
        <w:tc>
          <w:tcPr>
            <w:tcW w:w="2567"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采取科学设计日粮，选择优质的饲料</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加强圈舍内通风、</w:t>
            </w:r>
            <w:r>
              <w:rPr>
                <w:rFonts w:hint="default" w:ascii="Times New Roman" w:hAnsi="Times New Roman" w:eastAsia="宋体" w:cs="Times New Roman"/>
                <w:color w:val="auto"/>
                <w:sz w:val="21"/>
                <w:szCs w:val="21"/>
                <w:highlight w:val="none"/>
                <w:lang w:eastAsia="zh-CN"/>
              </w:rPr>
              <w:t>粪污</w:t>
            </w:r>
            <w:r>
              <w:rPr>
                <w:rFonts w:hint="default" w:ascii="Times New Roman" w:hAnsi="Times New Roman" w:eastAsia="宋体" w:cs="Times New Roman"/>
                <w:color w:val="auto"/>
                <w:sz w:val="21"/>
                <w:szCs w:val="21"/>
                <w:highlight w:val="none"/>
              </w:rPr>
              <w:t>日产日清；</w:t>
            </w:r>
            <w:r>
              <w:rPr>
                <w:rFonts w:hint="default" w:ascii="Times New Roman" w:hAnsi="Times New Roman" w:eastAsia="宋体" w:cs="Times New Roman"/>
                <w:color w:val="auto"/>
                <w:sz w:val="21"/>
                <w:szCs w:val="21"/>
                <w:highlight w:val="none"/>
                <w:lang w:val="en-US" w:eastAsia="zh-CN"/>
              </w:rPr>
              <w:t>养殖区及</w:t>
            </w:r>
            <w:r>
              <w:rPr>
                <w:rFonts w:hint="default" w:ascii="Times New Roman" w:hAnsi="Times New Roman" w:cs="Times New Roman"/>
                <w:color w:val="auto"/>
                <w:sz w:val="21"/>
                <w:szCs w:val="21"/>
                <w:highlight w:val="none"/>
                <w:lang w:val="en-US" w:eastAsia="zh-CN"/>
              </w:rPr>
              <w:t>堆粪场</w:t>
            </w:r>
            <w:r>
              <w:rPr>
                <w:rFonts w:hint="default" w:ascii="Times New Roman" w:hAnsi="Times New Roman" w:eastAsia="宋体" w:cs="Times New Roman"/>
                <w:color w:val="auto"/>
                <w:sz w:val="21"/>
                <w:szCs w:val="21"/>
                <w:highlight w:val="none"/>
                <w:lang w:val="en-US" w:eastAsia="zh-CN"/>
              </w:rPr>
              <w:t>定期</w:t>
            </w:r>
            <w:r>
              <w:rPr>
                <w:rFonts w:hint="default" w:ascii="Times New Roman" w:hAnsi="Times New Roman" w:eastAsia="宋体" w:cs="Times New Roman"/>
                <w:color w:val="auto"/>
                <w:sz w:val="21"/>
                <w:szCs w:val="21"/>
                <w:highlight w:val="none"/>
              </w:rPr>
              <w:t>投加或喷洒除臭剂</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运输器具密闭、防泄漏，防止</w:t>
            </w:r>
            <w:r>
              <w:rPr>
                <w:rFonts w:hint="default" w:ascii="Times New Roman" w:hAnsi="Times New Roman" w:eastAsia="宋体" w:cs="Times New Roman"/>
                <w:color w:val="auto"/>
                <w:sz w:val="21"/>
                <w:szCs w:val="21"/>
                <w:highlight w:val="none"/>
                <w:lang w:eastAsia="zh-CN"/>
              </w:rPr>
              <w:t>粪污</w:t>
            </w:r>
            <w:r>
              <w:rPr>
                <w:rFonts w:hint="default" w:ascii="Times New Roman" w:hAnsi="Times New Roman" w:eastAsia="宋体" w:cs="Times New Roman"/>
                <w:color w:val="auto"/>
                <w:sz w:val="21"/>
                <w:szCs w:val="21"/>
                <w:highlight w:val="none"/>
              </w:rPr>
              <w:t>洒落出去造成污染；圈舍消毒；</w:t>
            </w:r>
            <w:r>
              <w:rPr>
                <w:rFonts w:hint="default" w:ascii="Times New Roman" w:hAnsi="Times New Roman" w:eastAsia="宋体" w:cs="Times New Roman"/>
                <w:color w:val="auto"/>
                <w:sz w:val="21"/>
                <w:szCs w:val="21"/>
                <w:highlight w:val="none"/>
                <w:lang w:val="en-US" w:eastAsia="zh-CN"/>
              </w:rPr>
              <w:t>场区运输道路全硬化、及时清扫、定期洒水抑尘；</w:t>
            </w:r>
            <w:r>
              <w:rPr>
                <w:rFonts w:hint="default" w:ascii="Times New Roman" w:hAnsi="Times New Roman" w:eastAsia="宋体" w:cs="Times New Roman"/>
                <w:color w:val="auto"/>
                <w:sz w:val="21"/>
                <w:szCs w:val="21"/>
                <w:highlight w:val="none"/>
              </w:rPr>
              <w:t>强对牛舍的清洁卫生管理和通风措施措施减少污染物的无组织排放</w:t>
            </w:r>
          </w:p>
        </w:tc>
        <w:tc>
          <w:tcPr>
            <w:tcW w:w="346"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S、臭气浓度</w:t>
            </w:r>
          </w:p>
        </w:tc>
        <w:tc>
          <w:tcPr>
            <w:tcW w:w="1761"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eastAsia="zh-CN"/>
              </w:rPr>
              <w:t>畜禽养殖业污染物排放标准</w:t>
            </w:r>
            <w:r>
              <w:rPr>
                <w:rFonts w:hint="default" w:ascii="Times New Roman" w:hAnsi="Times New Roman" w:eastAsia="宋体" w:cs="Times New Roman"/>
                <w:color w:val="auto"/>
                <w:sz w:val="21"/>
                <w:szCs w:val="21"/>
                <w:highlight w:val="none"/>
              </w:rPr>
              <w:t xml:space="preserve">》（GB18596-2001）、《恶臭污染物排放标准》 </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GB14554-93</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表1中恶臭污染物</w:t>
            </w:r>
            <w:r>
              <w:rPr>
                <w:rFonts w:hint="default" w:ascii="Times New Roman" w:hAnsi="Times New Roman" w:cs="Times New Roman"/>
                <w:color w:val="auto"/>
                <w:sz w:val="21"/>
                <w:szCs w:val="21"/>
                <w:highlight w:val="none"/>
                <w:lang w:eastAsia="zh-CN"/>
              </w:rPr>
              <w:t>场界</w:t>
            </w:r>
            <w:r>
              <w:rPr>
                <w:rFonts w:hint="default" w:ascii="Times New Roman" w:hAnsi="Times New Roman" w:eastAsia="宋体" w:cs="Times New Roman"/>
                <w:color w:val="auto"/>
                <w:sz w:val="21"/>
                <w:szCs w:val="21"/>
                <w:highlight w:val="none"/>
              </w:rPr>
              <w:t>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0" w:hRule="atLeast"/>
        </w:trPr>
        <w:tc>
          <w:tcPr>
            <w:tcW w:w="325" w:type="pct"/>
            <w:vMerge w:val="continue"/>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p>
        </w:tc>
        <w:tc>
          <w:tcPr>
            <w:tcW w:w="2567"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布袋除尘+15m排气筒</w:t>
            </w:r>
          </w:p>
        </w:tc>
        <w:tc>
          <w:tcPr>
            <w:tcW w:w="346"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1761"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《大气污染物综合排放标准》（GB16297-1996）表2中二级标准</w:t>
            </w:r>
            <w:r>
              <w:rPr>
                <w:rFonts w:hint="default" w:ascii="Times New Roman" w:hAnsi="Times New Roman" w:eastAsia="宋体" w:cs="Times New Roman"/>
                <w:color w:val="auto"/>
                <w:sz w:val="21"/>
                <w:szCs w:val="21"/>
                <w:highlight w:val="none"/>
                <w:lang w:val="en-US" w:eastAsia="zh-CN"/>
              </w:rPr>
              <w:t>浓度限值及无组织排放浓度监控限值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0" w:hRule="atLeast"/>
        </w:trPr>
        <w:tc>
          <w:tcPr>
            <w:tcW w:w="325" w:type="pct"/>
            <w:vMerge w:val="restar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污水治理</w:t>
            </w:r>
          </w:p>
        </w:tc>
        <w:tc>
          <w:tcPr>
            <w:tcW w:w="2567"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挤奶厅设备和地面清洗废水</w:t>
            </w:r>
            <w:r>
              <w:rPr>
                <w:rFonts w:hint="default" w:ascii="Times New Roman" w:hAnsi="Times New Roman" w:cs="Times New Roman"/>
                <w:color w:val="auto"/>
                <w:sz w:val="21"/>
                <w:szCs w:val="21"/>
                <w:highlight w:val="none"/>
                <w:lang w:eastAsia="zh-CN"/>
              </w:rPr>
              <w:t>及</w:t>
            </w:r>
            <w:r>
              <w:rPr>
                <w:rFonts w:hint="default" w:ascii="Times New Roman" w:hAnsi="Times New Roman" w:eastAsia="宋体" w:cs="Times New Roman"/>
                <w:color w:val="auto"/>
                <w:sz w:val="21"/>
                <w:szCs w:val="21"/>
                <w:highlight w:val="none"/>
                <w:lang w:eastAsia="zh-CN"/>
              </w:rPr>
              <w:t>生活污水进入</w:t>
            </w:r>
            <w:r>
              <w:rPr>
                <w:rFonts w:hint="default" w:ascii="Times New Roman" w:hAnsi="Times New Roman" w:cs="Times New Roman"/>
                <w:color w:val="auto"/>
                <w:sz w:val="21"/>
                <w:szCs w:val="21"/>
                <w:highlight w:val="none"/>
                <w:lang w:eastAsia="zh-CN"/>
              </w:rPr>
              <w:t>集污池收集</w:t>
            </w:r>
            <w:r>
              <w:rPr>
                <w:rFonts w:hint="default" w:ascii="Times New Roman" w:hAnsi="Times New Roman" w:eastAsia="宋体" w:cs="Times New Roman"/>
                <w:color w:val="auto"/>
                <w:sz w:val="21"/>
                <w:szCs w:val="21"/>
                <w:highlight w:val="none"/>
                <w:lang w:eastAsia="zh-CN"/>
              </w:rPr>
              <w:t>后</w:t>
            </w:r>
            <w:r>
              <w:rPr>
                <w:rFonts w:hint="eastAsia" w:cs="Times New Roman"/>
                <w:color w:val="auto"/>
                <w:sz w:val="21"/>
                <w:szCs w:val="21"/>
                <w:highlight w:val="none"/>
                <w:lang w:val="en-US" w:eastAsia="zh-CN"/>
              </w:rPr>
              <w:t>清掏拉运</w:t>
            </w:r>
          </w:p>
        </w:tc>
        <w:tc>
          <w:tcPr>
            <w:tcW w:w="346"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761" w:type="pct"/>
            <w:tcBorders>
              <w:tl2br w:val="nil"/>
              <w:tr2bl w:val="nil"/>
            </w:tcBorders>
            <w:noWrap w:val="0"/>
            <w:vAlign w:val="center"/>
          </w:tcPr>
          <w:p>
            <w:pPr>
              <w:pStyle w:val="15"/>
              <w:pageBreakBefore w:val="0"/>
              <w:widowControl w:val="0"/>
              <w:kinsoku/>
              <w:wordWrap/>
              <w:overflow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集污池</w:t>
            </w:r>
            <w:r>
              <w:rPr>
                <w:rFonts w:hint="default" w:ascii="Times New Roman" w:hAnsi="Times New Roman" w:eastAsia="宋体" w:cs="Times New Roman"/>
                <w:color w:val="auto"/>
                <w:sz w:val="21"/>
                <w:szCs w:val="21"/>
                <w:highlight w:val="none"/>
                <w:lang w:val="en-US" w:eastAsia="zh-CN"/>
              </w:rPr>
              <w:t>建设情况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0" w:hRule="atLeast"/>
        </w:trPr>
        <w:tc>
          <w:tcPr>
            <w:tcW w:w="325" w:type="pct"/>
            <w:vMerge w:val="restar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固废处理</w:t>
            </w:r>
          </w:p>
        </w:tc>
        <w:tc>
          <w:tcPr>
            <w:tcW w:w="2567"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堆粪场</w:t>
            </w:r>
            <w:r>
              <w:rPr>
                <w:rFonts w:hint="default" w:ascii="Times New Roman" w:hAnsi="Times New Roman" w:eastAsia="宋体" w:cs="Times New Roman"/>
                <w:color w:val="auto"/>
                <w:sz w:val="21"/>
                <w:szCs w:val="21"/>
                <w:highlight w:val="none"/>
              </w:rPr>
              <w:t>暂存，</w:t>
            </w:r>
            <w:r>
              <w:rPr>
                <w:rFonts w:hint="default" w:ascii="Times New Roman" w:hAnsi="Times New Roman" w:cs="Times New Roman"/>
                <w:color w:val="auto"/>
                <w:sz w:val="21"/>
                <w:szCs w:val="21"/>
                <w:highlight w:val="none"/>
                <w:lang w:eastAsia="zh-CN"/>
              </w:rPr>
              <w:t>堆肥后</w:t>
            </w:r>
            <w:r>
              <w:rPr>
                <w:rFonts w:hint="eastAsia" w:ascii="Times New Roman" w:hAnsi="Times New Roman" w:cs="Times New Roman"/>
                <w:color w:val="auto"/>
                <w:sz w:val="21"/>
                <w:szCs w:val="21"/>
                <w:highlight w:val="none"/>
                <w:lang w:val="en-US" w:eastAsia="zh-CN"/>
              </w:rPr>
              <w:t>用于垫料及</w:t>
            </w:r>
            <w:r>
              <w:rPr>
                <w:rFonts w:hint="default" w:ascii="Times New Roman" w:hAnsi="Times New Roman" w:cs="Times New Roman"/>
                <w:color w:val="auto"/>
                <w:sz w:val="21"/>
                <w:szCs w:val="21"/>
                <w:highlight w:val="none"/>
                <w:lang w:eastAsia="zh-CN"/>
              </w:rPr>
              <w:t>还田利用</w:t>
            </w:r>
          </w:p>
        </w:tc>
        <w:tc>
          <w:tcPr>
            <w:tcW w:w="346"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761" w:type="pct"/>
            <w:tcBorders>
              <w:tl2br w:val="nil"/>
              <w:tr2bl w:val="nil"/>
            </w:tcBorders>
            <w:noWrap w:val="0"/>
            <w:vAlign w:val="center"/>
          </w:tcPr>
          <w:p>
            <w:pPr>
              <w:pageBreakBefore w:val="0"/>
              <w:widowControl w:val="0"/>
              <w:kinsoku/>
              <w:wordWrap/>
              <w:overflow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pacing w:val="-8"/>
                <w:sz w:val="21"/>
                <w:szCs w:val="21"/>
                <w:highlight w:val="none"/>
                <w:lang w:eastAsia="zh-CN"/>
              </w:rPr>
              <w:t>《</w:t>
            </w:r>
            <w:r>
              <w:rPr>
                <w:rFonts w:hint="default" w:ascii="Times New Roman" w:hAnsi="Times New Roman" w:eastAsia="宋体" w:cs="Times New Roman"/>
                <w:bCs/>
                <w:color w:val="auto"/>
                <w:spacing w:val="-8"/>
                <w:sz w:val="21"/>
                <w:szCs w:val="21"/>
                <w:highlight w:val="none"/>
              </w:rPr>
              <w:t>一般工业固体废物贮存和填埋污染控制标准</w:t>
            </w:r>
            <w:r>
              <w:rPr>
                <w:rFonts w:hint="default" w:ascii="Times New Roman" w:hAnsi="Times New Roman" w:eastAsia="宋体" w:cs="Times New Roman"/>
                <w:bCs/>
                <w:color w:val="auto"/>
                <w:spacing w:val="-8"/>
                <w:sz w:val="21"/>
                <w:szCs w:val="21"/>
                <w:highlight w:val="none"/>
                <w:lang w:eastAsia="zh-CN"/>
              </w:rPr>
              <w:t>》</w:t>
            </w:r>
            <w:r>
              <w:rPr>
                <w:rFonts w:hint="default" w:ascii="Times New Roman" w:hAnsi="Times New Roman" w:eastAsia="宋体" w:cs="Times New Roman"/>
                <w:bCs/>
                <w:color w:val="auto"/>
                <w:spacing w:val="-8"/>
                <w:sz w:val="21"/>
                <w:szCs w:val="21"/>
                <w:highlight w:val="none"/>
              </w:rPr>
              <w:t>（GB 18599-2020）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0" w:hRule="atLeast"/>
        </w:trPr>
        <w:tc>
          <w:tcPr>
            <w:tcW w:w="325" w:type="pct"/>
            <w:vMerge w:val="continue"/>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p>
        </w:tc>
        <w:tc>
          <w:tcPr>
            <w:tcW w:w="2567"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垃圾箱</w:t>
            </w:r>
          </w:p>
        </w:tc>
        <w:tc>
          <w:tcPr>
            <w:tcW w:w="346"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761"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设置情况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0" w:hRule="atLeast"/>
        </w:trPr>
        <w:tc>
          <w:tcPr>
            <w:tcW w:w="325" w:type="pct"/>
            <w:vMerge w:val="continue"/>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p>
        </w:tc>
        <w:tc>
          <w:tcPr>
            <w:tcW w:w="2567"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安全填埋井</w:t>
            </w:r>
          </w:p>
        </w:tc>
        <w:tc>
          <w:tcPr>
            <w:tcW w:w="346"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761"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设置情况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0" w:hRule="atLeast"/>
        </w:trPr>
        <w:tc>
          <w:tcPr>
            <w:tcW w:w="325" w:type="pct"/>
            <w:vMerge w:val="continue"/>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p>
        </w:tc>
        <w:tc>
          <w:tcPr>
            <w:tcW w:w="2567"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医疗废物暂存间</w:t>
            </w:r>
          </w:p>
        </w:tc>
        <w:tc>
          <w:tcPr>
            <w:tcW w:w="346"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761"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cs="Times New Roman"/>
                <w:color w:val="auto"/>
                <w:sz w:val="21"/>
                <w:szCs w:val="21"/>
                <w:highlight w:val="none"/>
                <w:lang w:eastAsia="zh-CN"/>
              </w:rPr>
              <w:t>《危险废物贮存污染控制标准》（GB18597-2023）</w:t>
            </w:r>
            <w:r>
              <w:rPr>
                <w:rFonts w:hint="default" w:ascii="Times New Roman" w:hAnsi="Times New Roman" w:eastAsia="宋体" w:cs="Times New Roman"/>
                <w:color w:val="auto"/>
                <w:sz w:val="21"/>
                <w:szCs w:val="21"/>
                <w:highlight w:val="none"/>
                <w:lang w:val="en-US" w:eastAsia="zh-CN"/>
              </w:rPr>
              <w:t>和建设情况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0" w:hRule="atLeast"/>
        </w:trPr>
        <w:tc>
          <w:tcPr>
            <w:tcW w:w="325"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噪声治理</w:t>
            </w:r>
          </w:p>
        </w:tc>
        <w:tc>
          <w:tcPr>
            <w:tcW w:w="2567"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隔声、减振，并选取低噪声设备</w:t>
            </w:r>
          </w:p>
        </w:tc>
        <w:tc>
          <w:tcPr>
            <w:tcW w:w="346"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eastAsia="zh-CN"/>
              </w:rPr>
              <w:t>场界</w:t>
            </w:r>
            <w:r>
              <w:rPr>
                <w:rFonts w:hint="default" w:ascii="Times New Roman" w:hAnsi="Times New Roman" w:eastAsia="宋体" w:cs="Times New Roman"/>
                <w:color w:val="auto"/>
                <w:sz w:val="21"/>
                <w:szCs w:val="21"/>
                <w:highlight w:val="none"/>
              </w:rPr>
              <w:t>噪声</w:t>
            </w:r>
          </w:p>
        </w:tc>
        <w:tc>
          <w:tcPr>
            <w:tcW w:w="1761"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《工业企业</w:t>
            </w:r>
            <w:r>
              <w:rPr>
                <w:rFonts w:hint="default" w:ascii="Times New Roman" w:hAnsi="Times New Roman" w:cs="Times New Roman"/>
                <w:color w:val="auto"/>
                <w:sz w:val="21"/>
                <w:szCs w:val="21"/>
                <w:highlight w:val="none"/>
                <w:lang w:eastAsia="zh-CN"/>
              </w:rPr>
              <w:t>场界</w:t>
            </w:r>
            <w:r>
              <w:rPr>
                <w:rFonts w:hint="default" w:ascii="Times New Roman" w:hAnsi="Times New Roman" w:eastAsia="宋体" w:cs="Times New Roman"/>
                <w:color w:val="auto"/>
                <w:sz w:val="21"/>
                <w:szCs w:val="21"/>
                <w:highlight w:val="none"/>
              </w:rPr>
              <w:t>环境噪声排放标准》（GB12348-2008）中的2类标准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0" w:hRule="atLeast"/>
        </w:trPr>
        <w:tc>
          <w:tcPr>
            <w:tcW w:w="325"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土壤</w:t>
            </w:r>
          </w:p>
        </w:tc>
        <w:tc>
          <w:tcPr>
            <w:tcW w:w="2567"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场区分区防渗</w:t>
            </w:r>
          </w:p>
        </w:tc>
        <w:tc>
          <w:tcPr>
            <w:tcW w:w="346"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61"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满足防渗要求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0" w:hRule="atLeast"/>
        </w:trPr>
        <w:tc>
          <w:tcPr>
            <w:tcW w:w="325"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地下水分区防渗</w:t>
            </w:r>
          </w:p>
        </w:tc>
        <w:tc>
          <w:tcPr>
            <w:tcW w:w="2567"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医疗废物暂存间</w:t>
            </w:r>
            <w:r>
              <w:rPr>
                <w:rFonts w:hint="eastAsia" w:ascii="Times New Roman" w:hAnsi="Times New Roman" w:eastAsia="宋体" w:cs="Times New Roman"/>
                <w:color w:val="auto"/>
                <w:sz w:val="21"/>
                <w:szCs w:val="21"/>
                <w:highlight w:val="none"/>
                <w:lang w:val="en-US" w:eastAsia="zh-CN"/>
              </w:rPr>
              <w:t>根据</w:t>
            </w:r>
            <w:r>
              <w:rPr>
                <w:rFonts w:hint="default" w:ascii="Times New Roman" w:hAnsi="Times New Roman" w:eastAsia="宋体" w:cs="Times New Roman"/>
                <w:color w:val="auto"/>
                <w:sz w:val="21"/>
                <w:szCs w:val="21"/>
                <w:highlight w:val="none"/>
                <w:lang w:eastAsia="zh-CN"/>
              </w:rPr>
              <w:t>《危险废物</w:t>
            </w:r>
            <w:r>
              <w:rPr>
                <w:rFonts w:hint="default" w:ascii="Times New Roman" w:hAnsi="Times New Roman" w:eastAsia="宋体" w:cs="Times New Roman"/>
                <w:color w:val="auto"/>
                <w:sz w:val="21"/>
                <w:szCs w:val="21"/>
                <w:highlight w:val="none"/>
                <w:lang w:val="en-US" w:eastAsia="zh-CN"/>
              </w:rPr>
              <w:t>贮存</w:t>
            </w:r>
            <w:r>
              <w:rPr>
                <w:rFonts w:hint="default" w:ascii="Times New Roman" w:hAnsi="Times New Roman" w:eastAsia="宋体" w:cs="Times New Roman"/>
                <w:color w:val="auto"/>
                <w:sz w:val="21"/>
                <w:szCs w:val="21"/>
                <w:highlight w:val="none"/>
                <w:lang w:eastAsia="zh-CN"/>
              </w:rPr>
              <w:t>污染控制标准》（</w:t>
            </w:r>
            <w:r>
              <w:rPr>
                <w:rFonts w:hint="eastAsia" w:ascii="Times New Roman" w:hAnsi="Times New Roman" w:eastAsia="宋体" w:cs="Times New Roman"/>
                <w:color w:val="auto"/>
                <w:sz w:val="21"/>
                <w:szCs w:val="21"/>
                <w:highlight w:val="none"/>
                <w:lang w:eastAsia="zh-CN"/>
              </w:rPr>
              <w:t>GB18597-2023</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要求，采用抗渗混凝土或高密度聚乙烯膜防渗。</w:t>
            </w:r>
            <w:r>
              <w:rPr>
                <w:rFonts w:hint="default" w:ascii="Times New Roman" w:hAnsi="Times New Roman" w:cs="Times New Roman"/>
                <w:color w:val="auto"/>
                <w:szCs w:val="22"/>
                <w:highlight w:val="none"/>
              </w:rPr>
              <w:t>一般防渗区：</w:t>
            </w:r>
            <w:r>
              <w:rPr>
                <w:rFonts w:hint="default" w:ascii="Times New Roman" w:hAnsi="Times New Roman" w:cs="Times New Roman"/>
                <w:color w:val="auto"/>
                <w:szCs w:val="22"/>
                <w:highlight w:val="none"/>
                <w:lang w:eastAsia="zh-CN"/>
              </w:rPr>
              <w:t>堆粪场、</w:t>
            </w:r>
            <w:r>
              <w:rPr>
                <w:rFonts w:hint="default" w:ascii="Times New Roman" w:hAnsi="Times New Roman" w:cs="Times New Roman"/>
                <w:color w:val="auto"/>
                <w:szCs w:val="22"/>
                <w:highlight w:val="none"/>
                <w:lang w:val="en-US" w:eastAsia="zh-CN"/>
              </w:rPr>
              <w:t>集污池</w:t>
            </w:r>
            <w:r>
              <w:rPr>
                <w:rFonts w:hint="eastAsia" w:cs="Times New Roman"/>
                <w:color w:val="auto"/>
                <w:szCs w:val="22"/>
                <w:highlight w:val="none"/>
                <w:lang w:eastAsia="zh-CN"/>
              </w:rPr>
              <w:t>、</w:t>
            </w:r>
            <w:r>
              <w:rPr>
                <w:rFonts w:hint="default" w:ascii="Times New Roman" w:hAnsi="Times New Roman" w:cs="Times New Roman"/>
                <w:color w:val="auto"/>
                <w:highlight w:val="none"/>
                <w:lang w:val="en-US" w:eastAsia="zh-CN"/>
              </w:rPr>
              <w:t>安全填埋井</w:t>
            </w:r>
            <w:r>
              <w:rPr>
                <w:rFonts w:hint="eastAsia" w:cs="Times New Roman"/>
                <w:color w:val="auto"/>
                <w:highlight w:val="none"/>
                <w:lang w:val="en-US" w:eastAsia="zh-CN"/>
              </w:rPr>
              <w:t>、</w:t>
            </w:r>
            <w:r>
              <w:rPr>
                <w:rFonts w:hint="default" w:ascii="Times New Roman" w:hAnsi="Times New Roman" w:eastAsia="宋体" w:cs="Times New Roman"/>
                <w:color w:val="auto"/>
                <w:szCs w:val="22"/>
                <w:highlight w:val="none"/>
                <w:lang w:val="en-US" w:eastAsia="zh-CN"/>
              </w:rPr>
              <w:t>青贮窖、牛舍</w:t>
            </w:r>
            <w:r>
              <w:rPr>
                <w:rFonts w:hint="default" w:ascii="Times New Roman" w:hAnsi="Times New Roman" w:cs="Times New Roman"/>
                <w:color w:val="auto"/>
                <w:szCs w:val="22"/>
                <w:highlight w:val="none"/>
              </w:rPr>
              <w:t>等。简单防渗区</w:t>
            </w:r>
            <w:r>
              <w:rPr>
                <w:rFonts w:hint="default" w:ascii="Times New Roman" w:hAnsi="Times New Roman" w:cs="Times New Roman"/>
                <w:color w:val="auto"/>
                <w:szCs w:val="22"/>
                <w:highlight w:val="none"/>
                <w:lang w:eastAsia="zh-CN"/>
              </w:rPr>
              <w:t>：</w:t>
            </w:r>
            <w:r>
              <w:rPr>
                <w:rFonts w:hint="default" w:ascii="Times New Roman" w:hAnsi="Times New Roman" w:cs="Times New Roman"/>
                <w:color w:val="auto"/>
                <w:szCs w:val="22"/>
                <w:highlight w:val="none"/>
                <w:lang w:val="en-US" w:eastAsia="zh-CN"/>
              </w:rPr>
              <w:t>饲料库房</w:t>
            </w:r>
            <w:r>
              <w:rPr>
                <w:rFonts w:hint="default" w:ascii="Times New Roman" w:hAnsi="Times New Roman" w:cs="Times New Roman"/>
                <w:color w:val="auto"/>
                <w:szCs w:val="22"/>
                <w:highlight w:val="none"/>
              </w:rPr>
              <w:t>、</w:t>
            </w:r>
            <w:r>
              <w:rPr>
                <w:rFonts w:hint="default" w:ascii="Times New Roman" w:hAnsi="Times New Roman" w:cs="Times New Roman"/>
                <w:color w:val="auto"/>
                <w:szCs w:val="22"/>
                <w:highlight w:val="none"/>
                <w:lang w:val="en-US" w:eastAsia="zh-CN"/>
              </w:rPr>
              <w:t>干草棚、</w:t>
            </w:r>
            <w:r>
              <w:rPr>
                <w:rFonts w:hint="default" w:ascii="Times New Roman" w:hAnsi="Times New Roman" w:cs="Times New Roman"/>
                <w:color w:val="auto"/>
                <w:szCs w:val="22"/>
                <w:highlight w:val="none"/>
              </w:rPr>
              <w:t>办公区等</w:t>
            </w:r>
          </w:p>
        </w:tc>
        <w:tc>
          <w:tcPr>
            <w:tcW w:w="346"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61"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分区防渗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0" w:hRule="atLeast"/>
        </w:trPr>
        <w:tc>
          <w:tcPr>
            <w:tcW w:w="325"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风险防范</w:t>
            </w:r>
          </w:p>
        </w:tc>
        <w:tc>
          <w:tcPr>
            <w:tcW w:w="2567" w:type="pct"/>
            <w:tcBorders>
              <w:tl2br w:val="nil"/>
              <w:tr2bl w:val="nil"/>
            </w:tcBorders>
            <w:noWrap w:val="0"/>
            <w:vAlign w:val="center"/>
          </w:tcPr>
          <w:p>
            <w:pPr>
              <w:pStyle w:val="55"/>
              <w:keepNext/>
              <w:keepLines/>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）疫情风险的防范措施</w:t>
            </w:r>
          </w:p>
          <w:p>
            <w:pPr>
              <w:pStyle w:val="55"/>
              <w:keepNext/>
              <w:keepLines/>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凡进入养殖场的人和车辆等都需要经过消毒。凡是进入养殖场的工作人员，一律更换工作服、工作鞋，并经进行消毒。外来人员必须进入生产区时，也应按照上述方法消毒，在场区管理人员的带领下，按照指定路线行走。</w:t>
            </w:r>
          </w:p>
          <w:p>
            <w:pPr>
              <w:pStyle w:val="55"/>
              <w:keepNext/>
              <w:keepLines/>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②严格检疫。</w:t>
            </w:r>
          </w:p>
          <w:p>
            <w:pPr>
              <w:pStyle w:val="55"/>
              <w:keepNext/>
              <w:keepLines/>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③定期检查牛群健康状况。</w:t>
            </w:r>
          </w:p>
          <w:p>
            <w:pPr>
              <w:pStyle w:val="55"/>
              <w:keepNext/>
              <w:keepLines/>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④保证圈舍良好的卫生环境</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对圈舍内消毒时要将圈舍清扫干净，圈舍周围环境定期消毒。养殖场周围及场内定期消毒。在养殖场入口设消毒池并定期更换消毒液。</w:t>
            </w:r>
          </w:p>
          <w:p>
            <w:pPr>
              <w:pStyle w:val="55"/>
              <w:keepNext/>
              <w:keepLines/>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⑤保证饲料质量，加强饲养管理。</w:t>
            </w:r>
          </w:p>
          <w:p>
            <w:pPr>
              <w:pStyle w:val="55"/>
              <w:keepNext/>
              <w:keepLines/>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⑥本项目场界四周建设围栏，在粪污处理设施周边建设隔离带。</w:t>
            </w:r>
          </w:p>
          <w:p>
            <w:pPr>
              <w:pStyle w:val="55"/>
              <w:keepNext/>
              <w:keepLines/>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病死尸体风险</w:t>
            </w:r>
            <w:r>
              <w:rPr>
                <w:rFonts w:hint="default" w:ascii="Times New Roman" w:hAnsi="Times New Roman" w:eastAsia="宋体" w:cs="Times New Roman"/>
                <w:color w:val="auto"/>
                <w:sz w:val="21"/>
                <w:szCs w:val="21"/>
                <w:highlight w:val="none"/>
                <w:lang w:val="en-US" w:eastAsia="zh-CN"/>
              </w:rPr>
              <w:t>防范措施</w:t>
            </w:r>
          </w:p>
          <w:p>
            <w:pPr>
              <w:pStyle w:val="55"/>
              <w:keepNext/>
              <w:keepLines/>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在养殖场内专门设置有隔离圈舍，对可疑病牛先在隔离圈舍进行隔离观察，将病牛和可疑病牛与健康牛隔离开来，将疫情限制在最小范围内，同时启动相应级别疫情应急处置方案。仍然有使用价值的病</w:t>
            </w:r>
            <w:r>
              <w:rPr>
                <w:rFonts w:hint="default" w:ascii="Times New Roman" w:hAnsi="Times New Roman" w:eastAsia="宋体" w:cs="Times New Roman"/>
                <w:color w:val="auto"/>
                <w:sz w:val="21"/>
                <w:szCs w:val="21"/>
                <w:highlight w:val="none"/>
                <w:lang w:val="en-US" w:eastAsia="zh-CN"/>
              </w:rPr>
              <w:t>牛</w:t>
            </w:r>
            <w:r>
              <w:rPr>
                <w:rFonts w:hint="default" w:ascii="Times New Roman" w:hAnsi="Times New Roman" w:eastAsia="宋体" w:cs="Times New Roman"/>
                <w:color w:val="auto"/>
                <w:sz w:val="21"/>
                <w:szCs w:val="21"/>
                <w:highlight w:val="none"/>
              </w:rPr>
              <w:t>应隔离饲养、治疗，彻底治愈后，可以归群。</w:t>
            </w:r>
          </w:p>
          <w:p>
            <w:pPr>
              <w:pStyle w:val="55"/>
              <w:keepNext/>
              <w:keepLines/>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本项目饲养过程中，病死牛尸体由安全填埋井填埋。</w:t>
            </w:r>
          </w:p>
          <w:p>
            <w:pPr>
              <w:pStyle w:val="55"/>
              <w:keepNext/>
              <w:keepLines/>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eastAsia="zh-CN"/>
              </w:rPr>
              <w:t>干草棚</w:t>
            </w:r>
            <w:r>
              <w:rPr>
                <w:rFonts w:hint="default" w:ascii="Times New Roman" w:hAnsi="Times New Roman" w:eastAsia="宋体" w:cs="Times New Roman"/>
                <w:color w:val="auto"/>
                <w:sz w:val="21"/>
                <w:szCs w:val="21"/>
                <w:highlight w:val="none"/>
              </w:rPr>
              <w:t>火灾风险</w:t>
            </w:r>
            <w:r>
              <w:rPr>
                <w:rFonts w:hint="default" w:ascii="Times New Roman" w:hAnsi="Times New Roman" w:eastAsia="宋体" w:cs="Times New Roman"/>
                <w:color w:val="auto"/>
                <w:sz w:val="21"/>
                <w:szCs w:val="21"/>
                <w:highlight w:val="none"/>
                <w:lang w:val="en-US" w:eastAsia="zh-CN"/>
              </w:rPr>
              <w:t>防范措施</w:t>
            </w:r>
          </w:p>
          <w:p>
            <w:pPr>
              <w:pStyle w:val="55"/>
              <w:keepNext/>
              <w:keepLines/>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加强管理</w:t>
            </w:r>
            <w:r>
              <w:rPr>
                <w:rFonts w:hint="default" w:ascii="Times New Roman" w:hAnsi="Times New Roman" w:eastAsia="宋体" w:cs="Times New Roman"/>
                <w:color w:val="auto"/>
                <w:sz w:val="21"/>
                <w:szCs w:val="21"/>
                <w:highlight w:val="none"/>
                <w:lang w:val="en-US" w:eastAsia="zh-CN"/>
              </w:rPr>
              <w:t>项目</w:t>
            </w:r>
            <w:r>
              <w:rPr>
                <w:rFonts w:hint="default" w:ascii="Times New Roman" w:hAnsi="Times New Roman" w:eastAsia="宋体" w:cs="Times New Roman"/>
                <w:color w:val="auto"/>
                <w:sz w:val="21"/>
                <w:szCs w:val="21"/>
                <w:highlight w:val="none"/>
              </w:rPr>
              <w:t>区内明火的使用</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禁火区域内动用明火作业</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应严格执行动火审批制度</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吸烟必须按指定地点</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不准乱丢烟蒂</w:t>
            </w:r>
            <w:r>
              <w:rPr>
                <w:rFonts w:hint="default" w:ascii="Times New Roman" w:hAnsi="Times New Roman" w:eastAsia="宋体" w:cs="Times New Roman"/>
                <w:color w:val="auto"/>
                <w:sz w:val="21"/>
                <w:szCs w:val="21"/>
                <w:highlight w:val="none"/>
                <w:lang w:eastAsia="zh-CN"/>
              </w:rPr>
              <w:t>。</w:t>
            </w:r>
          </w:p>
          <w:p>
            <w:pPr>
              <w:pStyle w:val="55"/>
              <w:keepNext/>
              <w:keepLines/>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废水事故性排污风险</w:t>
            </w:r>
            <w:r>
              <w:rPr>
                <w:rFonts w:hint="default" w:ascii="Times New Roman" w:hAnsi="Times New Roman" w:eastAsia="宋体" w:cs="Times New Roman"/>
                <w:color w:val="auto"/>
                <w:sz w:val="21"/>
                <w:szCs w:val="21"/>
                <w:highlight w:val="none"/>
                <w:lang w:val="en-US" w:eastAsia="zh-CN"/>
              </w:rPr>
              <w:t>防范措施</w:t>
            </w:r>
          </w:p>
          <w:p>
            <w:pPr>
              <w:pStyle w:val="55"/>
              <w:keepNext/>
              <w:keepLines/>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制定比较完善的环境安全管理规章制度</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定期检查</w:t>
            </w:r>
            <w:r>
              <w:rPr>
                <w:rFonts w:hint="default" w:ascii="Times New Roman" w:hAnsi="Times New Roman" w:cs="Times New Roman"/>
                <w:color w:val="auto"/>
                <w:sz w:val="21"/>
                <w:szCs w:val="21"/>
                <w:highlight w:val="none"/>
                <w:lang w:val="en-US" w:eastAsia="zh-CN"/>
              </w:rPr>
              <w:t>堆粪场</w:t>
            </w:r>
            <w:r>
              <w:rPr>
                <w:rFonts w:hint="default" w:ascii="Times New Roman" w:hAnsi="Times New Roman" w:eastAsia="宋体" w:cs="Times New Roman"/>
                <w:color w:val="auto"/>
                <w:sz w:val="21"/>
                <w:szCs w:val="21"/>
                <w:highlight w:val="none"/>
                <w:lang w:val="en-US" w:eastAsia="zh-CN"/>
              </w:rPr>
              <w:t>及相关管道是否有破损情况，发现破损及时修补，避免污染土壤环境及地下水环境</w:t>
            </w:r>
            <w:r>
              <w:rPr>
                <w:rFonts w:hint="default" w:ascii="Times New Roman" w:hAnsi="Times New Roman" w:eastAsia="宋体" w:cs="Times New Roman"/>
                <w:color w:val="auto"/>
                <w:sz w:val="21"/>
                <w:szCs w:val="21"/>
                <w:highlight w:val="none"/>
              </w:rPr>
              <w:t>。</w:t>
            </w:r>
          </w:p>
        </w:tc>
        <w:tc>
          <w:tcPr>
            <w:tcW w:w="346"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61"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设置风险防范措施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0" w:hRule="atLeast"/>
        </w:trPr>
        <w:tc>
          <w:tcPr>
            <w:tcW w:w="325"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排污口规范化</w:t>
            </w:r>
          </w:p>
        </w:tc>
        <w:tc>
          <w:tcPr>
            <w:tcW w:w="2567"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污染物排放口设置标志牌</w:t>
            </w:r>
          </w:p>
        </w:tc>
        <w:tc>
          <w:tcPr>
            <w:tcW w:w="346"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761" w:type="pct"/>
            <w:tcBorders>
              <w:tl2br w:val="nil"/>
              <w:tr2bl w:val="nil"/>
            </w:tcBorders>
            <w:noWrap w:val="0"/>
            <w:vAlign w:val="center"/>
          </w:tcPr>
          <w:p>
            <w:pPr>
              <w:pStyle w:val="55"/>
              <w:pageBreakBefore w:val="0"/>
              <w:widowControl w:val="0"/>
              <w:kinsoku/>
              <w:wordWrap/>
              <w:overflowPunct/>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设置标志牌</w:t>
            </w:r>
          </w:p>
        </w:tc>
      </w:tr>
    </w:tbl>
    <w:p>
      <w:pPr>
        <w:rPr>
          <w:rFonts w:hint="default" w:ascii="Times New Roman" w:hAnsi="Times New Roman" w:cs="Times New Roman"/>
          <w:color w:val="auto"/>
          <w:highlight w:val="none"/>
        </w:rPr>
      </w:pPr>
      <w:bookmarkStart w:id="474" w:name="_Toc3980"/>
      <w:bookmarkStart w:id="475" w:name="_Toc26920"/>
      <w:bookmarkStart w:id="476" w:name="_Toc5217"/>
      <w:r>
        <w:rPr>
          <w:rFonts w:hint="default" w:ascii="Times New Roman" w:hAnsi="Times New Roman" w:cs="Times New Roman"/>
          <w:color w:val="auto"/>
          <w:highlight w:val="none"/>
        </w:rPr>
        <w:br w:type="page"/>
      </w:r>
    </w:p>
    <w:p>
      <w:pPr>
        <w:pStyle w:val="3"/>
        <w:pageBreakBefore w:val="0"/>
        <w:wordWrap/>
        <w:bidi w:val="0"/>
        <w:adjustRightInd w:val="0"/>
        <w:ind w:left="0" w:leftChars="0" w:right="0" w:rightChars="0" w:hanging="432"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环境影响评价结论</w:t>
      </w:r>
      <w:bookmarkEnd w:id="474"/>
      <w:bookmarkEnd w:id="475"/>
      <w:bookmarkEnd w:id="476"/>
    </w:p>
    <w:p>
      <w:pPr>
        <w:pStyle w:val="4"/>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477" w:name="_Toc4383"/>
      <w:bookmarkStart w:id="478" w:name="_Toc8848"/>
      <w:bookmarkStart w:id="479" w:name="_Toc129"/>
      <w:bookmarkStart w:id="480" w:name="_Toc229909620"/>
      <w:r>
        <w:rPr>
          <w:rFonts w:hint="default" w:ascii="Times New Roman" w:hAnsi="Times New Roman" w:cs="Times New Roman"/>
          <w:color w:val="auto"/>
          <w:highlight w:val="none"/>
        </w:rPr>
        <w:t>评价结论</w:t>
      </w:r>
      <w:bookmarkEnd w:id="477"/>
      <w:bookmarkEnd w:id="478"/>
      <w:bookmarkEnd w:id="479"/>
    </w:p>
    <w:bookmarkEnd w:id="480"/>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481" w:name="_Toc15897"/>
      <w:r>
        <w:rPr>
          <w:rFonts w:hint="default" w:ascii="Times New Roman" w:hAnsi="Times New Roman" w:cs="Times New Roman"/>
          <w:color w:val="auto"/>
          <w:highlight w:val="none"/>
        </w:rPr>
        <w:t>项目概况</w:t>
      </w:r>
      <w:bookmarkEnd w:id="481"/>
    </w:p>
    <w:p>
      <w:pPr>
        <w:pageBreakBefore w:val="0"/>
        <w:wordWrap/>
        <w:bidi w:val="0"/>
        <w:adjustRightInd w:val="0"/>
        <w:ind w:left="0" w:leftChars="0" w:right="0" w:rightChars="0" w:firstLine="480"/>
        <w:rPr>
          <w:rFonts w:hint="default" w:ascii="Times New Roman" w:hAnsi="Times New Roman" w:eastAsia="宋体" w:cs="Times New Roman"/>
          <w:color w:val="auto"/>
          <w:kern w:val="0"/>
          <w:highlight w:val="none"/>
          <w:lang w:eastAsia="zh-CN"/>
        </w:rPr>
      </w:pPr>
      <w:r>
        <w:rPr>
          <w:rFonts w:hint="default" w:ascii="Times New Roman" w:hAnsi="Times New Roman" w:cs="Times New Roman"/>
          <w:color w:val="auto"/>
          <w:kern w:val="0"/>
          <w:highlight w:val="none"/>
        </w:rPr>
        <w:t>项目名称：</w:t>
      </w:r>
      <w:r>
        <w:rPr>
          <w:rFonts w:hint="default" w:ascii="Times New Roman" w:hAnsi="Times New Roman" w:cs="Times New Roman"/>
          <w:color w:val="auto"/>
          <w:kern w:val="0"/>
          <w:highlight w:val="none"/>
          <w:lang w:eastAsia="zh-CN"/>
        </w:rPr>
        <w:t>塔城奶牛现代化养殖基地建设项目</w:t>
      </w:r>
    </w:p>
    <w:p>
      <w:pPr>
        <w:pageBreakBefore w:val="0"/>
        <w:tabs>
          <w:tab w:val="center" w:pos="4289"/>
        </w:tabs>
        <w:wordWrap/>
        <w:bidi w:val="0"/>
        <w:adjustRightInd w:val="0"/>
        <w:ind w:left="0" w:leftChars="0" w:right="0" w:rightChars="0" w:firstLine="480"/>
        <w:rPr>
          <w:rFonts w:hint="default" w:ascii="Times New Roman" w:hAnsi="Times New Roman" w:eastAsia="宋体" w:cs="Times New Roman"/>
          <w:color w:val="auto"/>
          <w:kern w:val="0"/>
          <w:highlight w:val="none"/>
          <w:lang w:eastAsia="zh-CN"/>
        </w:rPr>
      </w:pPr>
      <w:r>
        <w:rPr>
          <w:rFonts w:hint="default" w:ascii="Times New Roman" w:hAnsi="Times New Roman" w:cs="Times New Roman"/>
          <w:color w:val="auto"/>
          <w:kern w:val="0"/>
          <w:highlight w:val="none"/>
        </w:rPr>
        <w:t>建设单位：</w:t>
      </w:r>
      <w:r>
        <w:rPr>
          <w:rFonts w:hint="eastAsia" w:cs="Times New Roman"/>
          <w:color w:val="auto"/>
          <w:kern w:val="0"/>
          <w:highlight w:val="none"/>
          <w:lang w:eastAsia="zh-CN"/>
        </w:rPr>
        <w:t>伊犁哈萨克自治州塔城地区畜牧兽医局</w:t>
      </w:r>
    </w:p>
    <w:p>
      <w:pPr>
        <w:pageBreakBefore w:val="0"/>
        <w:wordWrap/>
        <w:bidi w:val="0"/>
        <w:adjustRightInd w:val="0"/>
        <w:ind w:left="0" w:leftChars="0" w:right="0" w:rightChars="0" w:firstLine="480"/>
        <w:rPr>
          <w:rFonts w:hint="default" w:ascii="Times New Roman" w:hAnsi="Times New Roman" w:eastAsia="宋体" w:cs="Times New Roman"/>
          <w:color w:val="auto"/>
          <w:kern w:val="0"/>
          <w:highlight w:val="none"/>
          <w:lang w:val="en-US" w:eastAsia="zh-CN"/>
        </w:rPr>
      </w:pPr>
      <w:r>
        <w:rPr>
          <w:rFonts w:hint="default" w:ascii="Times New Roman" w:hAnsi="Times New Roman" w:cs="Times New Roman"/>
          <w:color w:val="auto"/>
          <w:kern w:val="0"/>
          <w:highlight w:val="none"/>
        </w:rPr>
        <w:t>建设性质：</w:t>
      </w:r>
      <w:r>
        <w:rPr>
          <w:rFonts w:hint="default" w:ascii="Times New Roman" w:hAnsi="Times New Roman" w:cs="Times New Roman"/>
          <w:color w:val="auto"/>
          <w:kern w:val="0"/>
          <w:highlight w:val="none"/>
          <w:lang w:val="en-US" w:eastAsia="zh-CN"/>
        </w:rPr>
        <w:t>新建</w:t>
      </w:r>
    </w:p>
    <w:p>
      <w:pPr>
        <w:pageBreakBefore w:val="0"/>
        <w:wordWrap/>
        <w:bidi w:val="0"/>
        <w:adjustRightInd w:val="0"/>
        <w:ind w:left="0" w:leftChars="0" w:right="0" w:rightChars="0" w:firstLine="480"/>
        <w:rPr>
          <w:rFonts w:hint="default" w:ascii="Times New Roman" w:hAnsi="Times New Roman" w:eastAsia="宋体" w:cs="Times New Roman"/>
          <w:color w:val="auto"/>
          <w:kern w:val="0"/>
          <w:highlight w:val="none"/>
          <w:lang w:eastAsia="zh-CN"/>
        </w:rPr>
      </w:pPr>
      <w:r>
        <w:rPr>
          <w:rFonts w:hint="default" w:ascii="Times New Roman" w:hAnsi="Times New Roman" w:cs="Times New Roman"/>
          <w:color w:val="auto"/>
          <w:kern w:val="0"/>
          <w:highlight w:val="none"/>
        </w:rPr>
        <w:t>建设地点：</w:t>
      </w:r>
      <w:r>
        <w:rPr>
          <w:rFonts w:hint="default" w:ascii="Times New Roman" w:hAnsi="Times New Roman" w:cs="Times New Roman"/>
          <w:color w:val="auto"/>
          <w:kern w:val="0"/>
          <w:highlight w:val="none"/>
          <w:lang w:val="en-GB"/>
        </w:rPr>
        <w:t>本项目选址位于</w:t>
      </w:r>
      <w:r>
        <w:rPr>
          <w:rFonts w:hint="default" w:ascii="Times New Roman" w:hAnsi="Times New Roman" w:cs="Times New Roman"/>
          <w:color w:val="auto"/>
          <w:kern w:val="0"/>
          <w:highlight w:val="none"/>
          <w:lang w:eastAsia="zh-CN"/>
        </w:rPr>
        <w:t>塔城市博孜达克镇三园子村</w:t>
      </w:r>
      <w:r>
        <w:rPr>
          <w:rFonts w:hint="default" w:ascii="Times New Roman" w:hAnsi="Times New Roman" w:cs="Times New Roman"/>
          <w:color w:val="auto"/>
          <w:kern w:val="0"/>
          <w:highlight w:val="none"/>
          <w:lang w:val="en-GB"/>
        </w:rPr>
        <w:t>，地理坐标为</w:t>
      </w:r>
      <w:r>
        <w:rPr>
          <w:rFonts w:hint="default" w:ascii="Times New Roman" w:hAnsi="Times New Roman" w:cs="Times New Roman"/>
          <w:color w:val="auto"/>
          <w:highlight w:val="none"/>
        </w:rPr>
        <w:t>东经：</w:t>
      </w:r>
      <w:r>
        <w:rPr>
          <w:rFonts w:hint="default" w:ascii="Times New Roman" w:hAnsi="Times New Roman" w:cs="Times New Roman"/>
          <w:color w:val="auto"/>
          <w:highlight w:val="none"/>
          <w:lang w:eastAsia="zh-CN"/>
        </w:rPr>
        <w:t>83°11′51.214″</w:t>
      </w:r>
      <w:r>
        <w:rPr>
          <w:rFonts w:hint="default" w:ascii="Times New Roman" w:hAnsi="Times New Roman" w:cs="Times New Roman"/>
          <w:color w:val="auto"/>
          <w:highlight w:val="none"/>
        </w:rPr>
        <w:t>，北纬：</w:t>
      </w:r>
      <w:r>
        <w:rPr>
          <w:rFonts w:hint="default" w:ascii="Times New Roman" w:hAnsi="Times New Roman" w:cs="Times New Roman"/>
          <w:color w:val="auto"/>
          <w:highlight w:val="none"/>
          <w:lang w:eastAsia="zh-CN"/>
        </w:rPr>
        <w:t>46°35′48.363″。</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建设工期：</w:t>
      </w:r>
      <w:r>
        <w:rPr>
          <w:rFonts w:hint="default" w:ascii="Times New Roman" w:hAnsi="Times New Roman" w:cs="Times New Roman"/>
          <w:color w:val="auto"/>
          <w:kern w:val="0"/>
          <w:highlight w:val="none"/>
          <w:lang w:val="en-US" w:eastAsia="zh-CN"/>
        </w:rPr>
        <w:t>24</w:t>
      </w:r>
      <w:r>
        <w:rPr>
          <w:rFonts w:hint="default" w:ascii="Times New Roman" w:hAnsi="Times New Roman" w:cs="Times New Roman"/>
          <w:color w:val="auto"/>
          <w:kern w:val="0"/>
          <w:highlight w:val="none"/>
        </w:rPr>
        <w:t>个月。</w:t>
      </w:r>
    </w:p>
    <w:p>
      <w:pPr>
        <w:pageBreakBefore w:val="0"/>
        <w:wordWrap/>
        <w:bidi w:val="0"/>
        <w:adjustRightInd w:val="0"/>
        <w:ind w:left="0" w:leftChars="0" w:right="0" w:rightChars="0"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总投资：总投资</w:t>
      </w:r>
      <w:r>
        <w:rPr>
          <w:rFonts w:hint="default" w:ascii="Times New Roman" w:hAnsi="Times New Roman" w:cs="Times New Roman"/>
          <w:color w:val="auto"/>
          <w:kern w:val="0"/>
          <w:highlight w:val="none"/>
          <w:lang w:val="en-US" w:eastAsia="zh-CN"/>
        </w:rPr>
        <w:t>14000</w:t>
      </w:r>
      <w:r>
        <w:rPr>
          <w:rFonts w:hint="default" w:ascii="Times New Roman" w:hAnsi="Times New Roman" w:cs="Times New Roman"/>
          <w:color w:val="auto"/>
          <w:kern w:val="0"/>
          <w:highlight w:val="none"/>
        </w:rPr>
        <w:t>万元。</w:t>
      </w:r>
    </w:p>
    <w:p>
      <w:pPr>
        <w:pageBreakBefore w:val="0"/>
        <w:wordWrap/>
        <w:bidi w:val="0"/>
        <w:adjustRightInd w:val="0"/>
        <w:ind w:left="0" w:leftChars="0" w:right="0" w:rightChars="0" w:firstLine="480"/>
        <w:rPr>
          <w:rFonts w:hint="default" w:ascii="Times New Roman" w:hAnsi="Times New Roman" w:cs="Times New Roman"/>
          <w:color w:val="auto"/>
          <w:spacing w:val="-6"/>
          <w:kern w:val="0"/>
          <w:sz w:val="24"/>
          <w:highlight w:val="none"/>
        </w:rPr>
      </w:pPr>
      <w:r>
        <w:rPr>
          <w:rFonts w:hint="default" w:ascii="Times New Roman" w:hAnsi="Times New Roman" w:cs="Times New Roman"/>
          <w:color w:val="auto"/>
          <w:spacing w:val="-6"/>
          <w:kern w:val="0"/>
          <w:sz w:val="24"/>
          <w:highlight w:val="none"/>
        </w:rPr>
        <w:t>劳动定员：项目定员</w:t>
      </w:r>
      <w:r>
        <w:rPr>
          <w:rFonts w:hint="default" w:ascii="Times New Roman" w:hAnsi="Times New Roman" w:cs="Times New Roman"/>
          <w:color w:val="auto"/>
          <w:spacing w:val="-6"/>
          <w:kern w:val="0"/>
          <w:sz w:val="24"/>
          <w:highlight w:val="none"/>
          <w:lang w:val="en-US" w:eastAsia="zh-CN"/>
        </w:rPr>
        <w:t>50</w:t>
      </w:r>
      <w:r>
        <w:rPr>
          <w:rFonts w:hint="default" w:ascii="Times New Roman" w:hAnsi="Times New Roman" w:cs="Times New Roman"/>
          <w:color w:val="auto"/>
          <w:spacing w:val="-6"/>
          <w:kern w:val="0"/>
          <w:sz w:val="24"/>
          <w:highlight w:val="none"/>
        </w:rPr>
        <w:t>人，主要负责养殖、设备维护、值班等。全年工作365天。</w:t>
      </w:r>
    </w:p>
    <w:p>
      <w:pPr>
        <w:pageBreakBefore w:val="0"/>
        <w:wordWrap/>
        <w:bidi w:val="0"/>
        <w:adjustRightInd w:val="0"/>
        <w:ind w:left="0" w:leftChars="0" w:right="0" w:rightChars="0"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建设规模：</w:t>
      </w:r>
      <w:r>
        <w:rPr>
          <w:rFonts w:hint="default" w:ascii="Times New Roman" w:hAnsi="Times New Roman" w:cs="Times New Roman"/>
          <w:color w:val="auto"/>
          <w:kern w:val="0"/>
          <w:highlight w:val="none"/>
          <w:lang w:val="en-US" w:eastAsia="zh-CN"/>
        </w:rPr>
        <w:t>本项目存栏成年奶牛3000头</w:t>
      </w:r>
    </w:p>
    <w:p>
      <w:pPr>
        <w:pageBreakBefore w:val="0"/>
        <w:wordWrap/>
        <w:bidi w:val="0"/>
        <w:adjustRightInd w:val="0"/>
        <w:ind w:left="0" w:leftChars="0" w:right="0" w:rightChars="0" w:firstLine="480"/>
        <w:rPr>
          <w:rFonts w:hint="default" w:ascii="Times New Roman" w:hAnsi="Times New Roman" w:cs="Times New Roman"/>
          <w:color w:val="auto"/>
          <w:highlight w:val="yellow"/>
        </w:rPr>
      </w:pPr>
      <w:bookmarkStart w:id="482" w:name="_Toc229909621"/>
      <w:bookmarkStart w:id="483" w:name="_Toc27632"/>
      <w:r>
        <w:rPr>
          <w:rFonts w:hint="default" w:ascii="Times New Roman" w:hAnsi="Times New Roman" w:cs="Times New Roman"/>
          <w:color w:val="auto"/>
          <w:kern w:val="0"/>
          <w:highlight w:val="none"/>
        </w:rPr>
        <w:t>项目</w:t>
      </w:r>
      <w:r>
        <w:rPr>
          <w:rFonts w:hint="default" w:ascii="Times New Roman" w:hAnsi="Times New Roman" w:cs="Times New Roman"/>
          <w:color w:val="auto"/>
          <w:kern w:val="0"/>
          <w:highlight w:val="none"/>
          <w:lang w:val="en-US" w:eastAsia="zh-CN"/>
        </w:rPr>
        <w:t>建设</w:t>
      </w:r>
      <w:r>
        <w:rPr>
          <w:rFonts w:hint="default" w:ascii="Times New Roman" w:hAnsi="Times New Roman" w:cs="Times New Roman"/>
          <w:color w:val="auto"/>
          <w:kern w:val="0"/>
          <w:highlight w:val="none"/>
        </w:rPr>
        <w:t>内容：</w:t>
      </w:r>
      <w:r>
        <w:rPr>
          <w:rFonts w:hint="default" w:ascii="Times New Roman" w:hAnsi="Times New Roman" w:eastAsia="宋体" w:cs="Times New Roman"/>
          <w:color w:val="auto"/>
          <w:sz w:val="24"/>
          <w:highlight w:val="none"/>
          <w:lang w:val="en-US" w:eastAsia="zh-CN"/>
        </w:rPr>
        <w:t>新建年存栏3000头奶牛养殖基地。包括泌乳牛舍、干奶牛舍、后备牛舍和产房、挤奶厅、干草棚、青贮窖、场区道路及输电线路、供排水管网、生活管理区等相关配套设施</w:t>
      </w:r>
      <w:r>
        <w:rPr>
          <w:rFonts w:hint="default" w:ascii="Times New Roman" w:hAnsi="Times New Roman" w:cs="Times New Roman"/>
          <w:color w:val="auto"/>
          <w:kern w:val="0"/>
          <w:highlight w:val="none"/>
          <w:lang w:val="en-US" w:eastAsia="zh-CN"/>
        </w:rPr>
        <w:t>。</w:t>
      </w:r>
    </w:p>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环境质量现状</w:t>
      </w:r>
      <w:bookmarkEnd w:id="482"/>
      <w:bookmarkEnd w:id="483"/>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（1）空气环境质量现状</w:t>
      </w:r>
    </w:p>
    <w:p>
      <w:pPr>
        <w:pageBreakBefore w:val="0"/>
        <w:wordWrap/>
        <w:bidi w:val="0"/>
        <w:adjustRightInd w:val="0"/>
        <w:ind w:left="0" w:leftChars="0" w:right="0" w:rightChars="0" w:firstLine="480"/>
        <w:rPr>
          <w:rFonts w:hint="default" w:ascii="Times New Roman" w:hAnsi="Times New Roman" w:cs="Times New Roman"/>
          <w:bCs/>
          <w:color w:val="auto"/>
          <w:sz w:val="24"/>
          <w:highlight w:val="none"/>
        </w:rPr>
      </w:pPr>
      <w:r>
        <w:rPr>
          <w:rFonts w:hint="default" w:ascii="Times New Roman" w:hAnsi="Times New Roman" w:cs="Times New Roman"/>
          <w:color w:val="auto"/>
          <w:highlight w:val="none"/>
          <w:lang w:val="en-US" w:eastAsia="zh-CN"/>
        </w:rPr>
        <w:t>区域</w:t>
      </w:r>
      <w:r>
        <w:rPr>
          <w:rFonts w:hint="default" w:ascii="Times New Roman" w:hAnsi="Times New Roman" w:cs="Times New Roman"/>
          <w:bCs/>
          <w:color w:val="auto"/>
          <w:sz w:val="24"/>
          <w:highlight w:val="none"/>
        </w:rPr>
        <w:t>SO</w:t>
      </w:r>
      <w:r>
        <w:rPr>
          <w:rFonts w:hint="default" w:ascii="Times New Roman" w:hAnsi="Times New Roman" w:cs="Times New Roman"/>
          <w:bCs/>
          <w:color w:val="auto"/>
          <w:sz w:val="24"/>
          <w:highlight w:val="none"/>
          <w:vertAlign w:val="subscript"/>
        </w:rPr>
        <w:t>2</w:t>
      </w:r>
      <w:r>
        <w:rPr>
          <w:rFonts w:hint="default" w:ascii="Times New Roman" w:hAnsi="Times New Roman" w:cs="Times New Roman"/>
          <w:bCs/>
          <w:color w:val="auto"/>
          <w:sz w:val="24"/>
          <w:highlight w:val="none"/>
        </w:rPr>
        <w:t>、NO</w:t>
      </w:r>
      <w:r>
        <w:rPr>
          <w:rFonts w:hint="default" w:ascii="Times New Roman" w:hAnsi="Times New Roman" w:cs="Times New Roman"/>
          <w:bCs/>
          <w:color w:val="auto"/>
          <w:sz w:val="24"/>
          <w:highlight w:val="none"/>
          <w:vertAlign w:val="subscript"/>
        </w:rPr>
        <w:t>2</w:t>
      </w:r>
      <w:r>
        <w:rPr>
          <w:rFonts w:hint="default" w:ascii="Times New Roman" w:hAnsi="Times New Roman" w:cs="Times New Roman"/>
          <w:bCs/>
          <w:color w:val="auto"/>
          <w:sz w:val="24"/>
          <w:highlight w:val="none"/>
        </w:rPr>
        <w:t>、PM</w:t>
      </w:r>
      <w:r>
        <w:rPr>
          <w:rFonts w:hint="default" w:ascii="Times New Roman" w:hAnsi="Times New Roman" w:cs="Times New Roman"/>
          <w:bCs/>
          <w:color w:val="auto"/>
          <w:sz w:val="24"/>
          <w:highlight w:val="none"/>
          <w:vertAlign w:val="subscript"/>
        </w:rPr>
        <w:t>10</w:t>
      </w:r>
      <w:r>
        <w:rPr>
          <w:rFonts w:hint="default" w:ascii="Times New Roman" w:hAnsi="Times New Roman" w:cs="Times New Roman"/>
          <w:bCs/>
          <w:color w:val="auto"/>
          <w:sz w:val="24"/>
          <w:highlight w:val="none"/>
          <w:vertAlign w:val="baseline"/>
          <w:lang w:eastAsia="zh-CN"/>
        </w:rPr>
        <w:t>、</w:t>
      </w:r>
      <w:r>
        <w:rPr>
          <w:rFonts w:hint="default" w:ascii="Times New Roman" w:hAnsi="Times New Roman" w:cs="Times New Roman"/>
          <w:bCs/>
          <w:color w:val="auto"/>
          <w:sz w:val="24"/>
          <w:highlight w:val="none"/>
        </w:rPr>
        <w:t>PM</w:t>
      </w:r>
      <w:r>
        <w:rPr>
          <w:rFonts w:hint="default" w:ascii="Times New Roman" w:hAnsi="Times New Roman" w:cs="Times New Roman"/>
          <w:bCs/>
          <w:color w:val="auto"/>
          <w:sz w:val="24"/>
          <w:highlight w:val="none"/>
          <w:vertAlign w:val="subscript"/>
        </w:rPr>
        <w:t>2.5</w:t>
      </w:r>
      <w:r>
        <w:rPr>
          <w:rFonts w:hint="default" w:ascii="Times New Roman" w:hAnsi="Times New Roman" w:cs="Times New Roman"/>
          <w:bCs/>
          <w:color w:val="auto"/>
          <w:sz w:val="24"/>
          <w:highlight w:val="none"/>
        </w:rPr>
        <w:t>年平均浓度</w:t>
      </w: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rPr>
        <w:t>O</w:t>
      </w:r>
      <w:r>
        <w:rPr>
          <w:rFonts w:hint="default" w:ascii="Times New Roman" w:hAnsi="Times New Roman" w:cs="Times New Roman"/>
          <w:bCs/>
          <w:color w:val="auto"/>
          <w:sz w:val="24"/>
          <w:highlight w:val="none"/>
          <w:vertAlign w:val="subscript"/>
        </w:rPr>
        <w:t>3</w:t>
      </w:r>
      <w:r>
        <w:rPr>
          <w:rFonts w:hint="default" w:ascii="Times New Roman" w:hAnsi="Times New Roman" w:cs="Times New Roman"/>
          <w:bCs/>
          <w:color w:val="auto"/>
          <w:sz w:val="24"/>
          <w:highlight w:val="none"/>
        </w:rPr>
        <w:t>最大8小时第90百分位数日平均浓度及CO第95百分位数日平均浓度均满足《环境空气质量标准》（GB3095-2012）的二级标准要求，本项目所在区域属于</w:t>
      </w:r>
      <w:r>
        <w:rPr>
          <w:rFonts w:hint="default" w:ascii="Times New Roman" w:hAnsi="Times New Roman" w:cs="Times New Roman"/>
          <w:bCs/>
          <w:color w:val="auto"/>
          <w:sz w:val="24"/>
          <w:highlight w:val="none"/>
          <w:lang w:val="en-US" w:eastAsia="zh-CN"/>
        </w:rPr>
        <w:t>空气质量</w:t>
      </w:r>
      <w:r>
        <w:rPr>
          <w:rFonts w:hint="default" w:ascii="Times New Roman" w:hAnsi="Times New Roman" w:cs="Times New Roman"/>
          <w:bCs/>
          <w:color w:val="auto"/>
          <w:sz w:val="24"/>
          <w:highlight w:val="none"/>
        </w:rPr>
        <w:t>达标区。</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其他污染物NH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TSP</w:t>
      </w:r>
      <w:r>
        <w:rPr>
          <w:rFonts w:hint="default" w:ascii="Times New Roman" w:hAnsi="Times New Roman" w:cs="Times New Roman"/>
          <w:color w:val="auto"/>
          <w:highlight w:val="none"/>
        </w:rPr>
        <w:t>监测值满足《环境影响评价技术导则大气环境》（</w:t>
      </w:r>
      <w:r>
        <w:rPr>
          <w:rFonts w:hint="default" w:ascii="Times New Roman" w:hAnsi="Times New Roman" w:eastAsia="Times New Roman" w:cs="Times New Roman"/>
          <w:color w:val="auto"/>
          <w:highlight w:val="none"/>
        </w:rPr>
        <w:t>HJ2.2-2018</w:t>
      </w:r>
      <w:r>
        <w:rPr>
          <w:rFonts w:hint="default" w:ascii="Times New Roman" w:hAnsi="Times New Roman" w:cs="Times New Roman"/>
          <w:color w:val="auto"/>
          <w:highlight w:val="none"/>
        </w:rPr>
        <w:t>）附录</w:t>
      </w:r>
      <w:r>
        <w:rPr>
          <w:rFonts w:hint="default" w:ascii="Times New Roman" w:hAnsi="Times New Roman" w:eastAsia="Times New Roman" w:cs="Times New Roman"/>
          <w:color w:val="auto"/>
          <w:highlight w:val="none"/>
        </w:rPr>
        <w:t>D</w:t>
      </w:r>
      <w:r>
        <w:rPr>
          <w:rFonts w:hint="default" w:ascii="Times New Roman" w:hAnsi="Times New Roman" w:cs="Times New Roman"/>
          <w:color w:val="auto"/>
          <w:highlight w:val="none"/>
        </w:rPr>
        <w:t>参考限值要求，项目区大气环境质量现状良好。</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（2）水环境质量现状</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项目区地下水监测指标均满足《地下水质量标准》（GB/T14848-2017）Ⅲ类标准要求。</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（3）声环境质量现状</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项目区声现状环境满足《声环境质量标准》（GB3096-2008）中2类标准，即昼间60dB</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A</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，夜间50 dB</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A</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，项目所在区域声环境质量良好。</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（4）土壤环境质量现状</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项目所在区域土壤环境质量现状良好。所监测的因子能够满足《土壤环境质量 </w:t>
      </w:r>
      <w:r>
        <w:rPr>
          <w:rFonts w:hint="default" w:ascii="Times New Roman" w:hAnsi="Times New Roman" w:cs="Times New Roman"/>
          <w:color w:val="auto"/>
          <w:highlight w:val="none"/>
          <w:lang w:eastAsia="zh-CN"/>
        </w:rPr>
        <w:t>农用地土壤污染风险管控标准（试行）</w:t>
      </w:r>
      <w:r>
        <w:rPr>
          <w:rFonts w:hint="default" w:ascii="Times New Roman" w:hAnsi="Times New Roman" w:cs="Times New Roman"/>
          <w:color w:val="auto"/>
          <w:highlight w:val="none"/>
        </w:rPr>
        <w:t>》（GB15618-2018）风险筛查值标准及</w:t>
      </w: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rPr>
        <w:t>畜禽场环境质量及卫生控制规范</w:t>
      </w: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rPr>
        <w:t>NY</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T 1167-2006）中“表1”和</w:t>
      </w: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rPr>
        <w:t>畜禽养殖产地环境评价规范</w:t>
      </w: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rPr>
        <w:t>HJ</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lang w:eastAsia="zh-CN"/>
        </w:rPr>
        <w:t>568-2010</w:t>
      </w:r>
      <w:r>
        <w:rPr>
          <w:rFonts w:hint="default" w:ascii="Times New Roman" w:hAnsi="Times New Roman" w:cs="Times New Roman"/>
          <w:color w:val="auto"/>
          <w:highlight w:val="none"/>
        </w:rPr>
        <w:t>）中“表4”标准要求。</w:t>
      </w:r>
    </w:p>
    <w:p>
      <w:pPr>
        <w:pStyle w:val="5"/>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污染物排放情况</w:t>
      </w:r>
    </w:p>
    <w:p>
      <w:pPr>
        <w:pageBreakBefore w:val="0"/>
        <w:wordWrap/>
        <w:bidi w:val="0"/>
        <w:adjustRightInd w:val="0"/>
        <w:ind w:left="0" w:leftChars="0" w:right="0" w:right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根据工程分析结果，本工程污染物排放量如下：</w:t>
      </w:r>
    </w:p>
    <w:p>
      <w:pPr>
        <w:pageBreakBefore w:val="0"/>
        <w:wordWrap/>
        <w:bidi w:val="0"/>
        <w:adjustRightInd w:val="0"/>
        <w:ind w:left="0" w:leftChars="0" w:right="0" w:right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（1）废气</w:t>
      </w:r>
    </w:p>
    <w:p>
      <w:pPr>
        <w:pageBreakBefore w:val="0"/>
        <w:wordWrap/>
        <w:bidi w:val="0"/>
        <w:adjustRightInd w:val="0"/>
        <w:ind w:left="0" w:leftChars="0" w:right="0" w:rightChars="0"/>
        <w:rPr>
          <w:rFonts w:hint="default" w:ascii="Times New Roman" w:hAnsi="Times New Roman" w:cs="Times New Roman"/>
          <w:color w:val="auto"/>
          <w:highlight w:val="yellow"/>
          <w:lang w:val="en-US" w:eastAsia="zh-CN"/>
        </w:rPr>
      </w:pPr>
      <w:r>
        <w:rPr>
          <w:rFonts w:hint="default" w:ascii="Times New Roman" w:hAnsi="Times New Roman" w:cs="Times New Roman"/>
          <w:color w:val="auto"/>
          <w:highlight w:val="none"/>
          <w:lang w:val="en-US" w:eastAsia="zh-CN"/>
        </w:rPr>
        <w:t>颗粒物：</w:t>
      </w:r>
      <w:r>
        <w:rPr>
          <w:rFonts w:hint="eastAsia" w:cs="Times New Roman"/>
          <w:color w:val="auto"/>
          <w:highlight w:val="none"/>
          <w:lang w:val="en-US" w:eastAsia="zh-CN"/>
        </w:rPr>
        <w:t>0.111</w:t>
      </w:r>
      <w:r>
        <w:rPr>
          <w:rFonts w:hint="default" w:ascii="Times New Roman" w:hAnsi="Times New Roman" w:cs="Times New Roman"/>
          <w:color w:val="auto"/>
          <w:highlight w:val="none"/>
          <w:lang w:val="en-US" w:eastAsia="zh-CN"/>
        </w:rPr>
        <w:t>t/a；NH</w:t>
      </w:r>
      <w:r>
        <w:rPr>
          <w:rFonts w:hint="default" w:ascii="Times New Roman" w:hAnsi="Times New Roman" w:cs="Times New Roman"/>
          <w:color w:val="auto"/>
          <w:highlight w:val="none"/>
          <w:vertAlign w:val="subscript"/>
          <w:lang w:val="en-US" w:eastAsia="zh-CN"/>
        </w:rPr>
        <w:t>3</w:t>
      </w:r>
      <w:r>
        <w:rPr>
          <w:rFonts w:hint="default" w:ascii="Times New Roman" w:hAnsi="Times New Roman" w:cs="Times New Roman"/>
          <w:color w:val="auto"/>
          <w:highlight w:val="none"/>
          <w:lang w:val="en-US" w:eastAsia="zh-CN"/>
        </w:rPr>
        <w:t>：</w:t>
      </w:r>
      <w:r>
        <w:rPr>
          <w:rFonts w:hint="eastAsia" w:cs="Times New Roman"/>
          <w:color w:val="auto"/>
          <w:szCs w:val="21"/>
          <w:highlight w:val="none"/>
          <w:lang w:val="en-US" w:eastAsia="zh-CN"/>
        </w:rPr>
        <w:t>0.0248</w:t>
      </w:r>
      <w:r>
        <w:rPr>
          <w:rFonts w:hint="default" w:ascii="Times New Roman" w:hAnsi="Times New Roman" w:cs="Times New Roman"/>
          <w:color w:val="auto"/>
          <w:highlight w:val="none"/>
          <w:lang w:val="en-US" w:eastAsia="zh-CN"/>
        </w:rPr>
        <w:t>t/a；H</w:t>
      </w:r>
      <w:r>
        <w:rPr>
          <w:rFonts w:hint="default" w:ascii="Times New Roman" w:hAnsi="Times New Roman" w:cs="Times New Roman"/>
          <w:color w:val="auto"/>
          <w:highlight w:val="none"/>
          <w:vertAlign w:val="subscript"/>
          <w:lang w:val="en-US" w:eastAsia="zh-CN"/>
        </w:rPr>
        <w:t>2</w:t>
      </w:r>
      <w:r>
        <w:rPr>
          <w:rFonts w:hint="default" w:ascii="Times New Roman" w:hAnsi="Times New Roman" w:cs="Times New Roman"/>
          <w:color w:val="auto"/>
          <w:highlight w:val="none"/>
          <w:lang w:val="en-US" w:eastAsia="zh-CN"/>
        </w:rPr>
        <w:t>S：</w:t>
      </w:r>
      <w:r>
        <w:rPr>
          <w:rFonts w:hint="eastAsia" w:cs="Times New Roman"/>
          <w:color w:val="auto"/>
          <w:szCs w:val="21"/>
          <w:highlight w:val="none"/>
          <w:lang w:val="en-US" w:eastAsia="zh-CN"/>
        </w:rPr>
        <w:t>0.01122</w:t>
      </w:r>
      <w:r>
        <w:rPr>
          <w:rFonts w:hint="default" w:ascii="Times New Roman" w:hAnsi="Times New Roman" w:cs="Times New Roman"/>
          <w:color w:val="auto"/>
          <w:highlight w:val="none"/>
          <w:lang w:val="en-US" w:eastAsia="zh-CN"/>
        </w:rPr>
        <w:t>t/a。</w:t>
      </w:r>
    </w:p>
    <w:p>
      <w:pPr>
        <w:pageBreakBefore w:val="0"/>
        <w:wordWrap/>
        <w:bidi w:val="0"/>
        <w:adjustRightInd w:val="0"/>
        <w:ind w:left="0" w:leftChars="0" w:right="0" w:right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（2）废水</w:t>
      </w:r>
    </w:p>
    <w:p>
      <w:pPr>
        <w:pageBreakBefore w:val="0"/>
        <w:wordWrap/>
        <w:bidi w:val="0"/>
        <w:adjustRightInd w:val="0"/>
        <w:ind w:left="0" w:leftChars="0" w:right="0" w:right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本项目不外排生产废水。</w:t>
      </w:r>
    </w:p>
    <w:p>
      <w:pPr>
        <w:pageBreakBefore w:val="0"/>
        <w:wordWrap/>
        <w:bidi w:val="0"/>
        <w:adjustRightInd w:val="0"/>
        <w:ind w:left="0" w:leftChars="0" w:right="0" w:right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（3）固体废物</w:t>
      </w:r>
    </w:p>
    <w:p>
      <w:pPr>
        <w:pageBreakBefore w:val="0"/>
        <w:wordWrap/>
        <w:bidi w:val="0"/>
        <w:adjustRightInd w:val="0"/>
        <w:ind w:left="0" w:leftChars="0" w:right="0" w:rightChars="0" w:firstLine="48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粪污</w:t>
      </w:r>
      <w:r>
        <w:rPr>
          <w:rFonts w:hint="default" w:ascii="Times New Roman" w:hAnsi="Times New Roman" w:cs="Times New Roman"/>
          <w:color w:val="auto"/>
          <w:highlight w:val="none"/>
          <w:lang w:eastAsia="zh-CN"/>
        </w:rPr>
        <w:t>：</w:t>
      </w:r>
      <w:r>
        <w:rPr>
          <w:rFonts w:hint="default" w:ascii="Times New Roman" w:hAnsi="Times New Roman" w:cs="Times New Roman"/>
          <w:color w:val="auto"/>
          <w:szCs w:val="21"/>
          <w:highlight w:val="none"/>
          <w:lang w:val="en-US" w:eastAsia="zh-CN"/>
        </w:rPr>
        <w:t>7507.32</w:t>
      </w:r>
      <w:r>
        <w:rPr>
          <w:rFonts w:hint="default" w:ascii="Times New Roman" w:hAnsi="Times New Roman" w:cs="Times New Roman"/>
          <w:color w:val="auto"/>
          <w:highlight w:val="none"/>
          <w:lang w:val="en-US" w:eastAsia="zh-CN"/>
        </w:rPr>
        <w:t>t/a。</w:t>
      </w:r>
    </w:p>
    <w:p>
      <w:pPr>
        <w:pageBreakBefore w:val="0"/>
        <w:wordWrap/>
        <w:bidi w:val="0"/>
        <w:adjustRightInd w:val="0"/>
        <w:ind w:left="0" w:leftChars="0" w:right="0" w:rightChars="0"/>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rPr>
        <w:t>生活垃圾</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9.125</w:t>
      </w:r>
      <w:r>
        <w:rPr>
          <w:rFonts w:hint="default" w:ascii="Times New Roman" w:hAnsi="Times New Roman" w:cs="Times New Roman"/>
          <w:color w:val="auto"/>
          <w:highlight w:val="none"/>
          <w:lang w:val="en-US" w:eastAsia="zh-CN"/>
        </w:rPr>
        <w:t>t/a。</w:t>
      </w:r>
    </w:p>
    <w:p>
      <w:pPr>
        <w:pStyle w:val="17"/>
        <w:pageBreakBefore w:val="0"/>
        <w:wordWrap/>
        <w:bidi w:val="0"/>
        <w:adjustRightInd w:val="0"/>
        <w:ind w:left="0" w:leftChars="0" w:right="0" w:right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szCs w:val="21"/>
          <w:highlight w:val="none"/>
        </w:rPr>
        <w:t>病死牛</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24</w:t>
      </w:r>
      <w:r>
        <w:rPr>
          <w:rFonts w:hint="default" w:ascii="Times New Roman" w:hAnsi="Times New Roman" w:cs="Times New Roman"/>
          <w:color w:val="auto"/>
          <w:highlight w:val="none"/>
          <w:lang w:val="en-US" w:eastAsia="zh-CN"/>
        </w:rPr>
        <w:t>t/a。</w:t>
      </w:r>
    </w:p>
    <w:p>
      <w:pPr>
        <w:pStyle w:val="17"/>
        <w:pageBreakBefore w:val="0"/>
        <w:wordWrap/>
        <w:bidi w:val="0"/>
        <w:adjustRightInd w:val="0"/>
        <w:ind w:left="0" w:leftChars="0" w:right="0" w:rightChars="0"/>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布袋除尘收集的粉尘：</w:t>
      </w:r>
      <w:r>
        <w:rPr>
          <w:rFonts w:hint="eastAsia" w:cs="Times New Roman"/>
          <w:color w:val="auto"/>
          <w:szCs w:val="21"/>
          <w:highlight w:val="none"/>
          <w:lang w:val="en-US" w:eastAsia="zh-CN"/>
        </w:rPr>
        <w:t>1.089</w:t>
      </w:r>
      <w:r>
        <w:rPr>
          <w:rFonts w:hint="default" w:ascii="Times New Roman" w:hAnsi="Times New Roman" w:cs="Times New Roman"/>
          <w:color w:val="auto"/>
          <w:highlight w:val="none"/>
          <w:lang w:val="en-US" w:eastAsia="zh-CN"/>
        </w:rPr>
        <w:t>t/a。</w:t>
      </w:r>
    </w:p>
    <w:p>
      <w:pPr>
        <w:pStyle w:val="17"/>
        <w:pageBreakBefore w:val="0"/>
        <w:wordWrap/>
        <w:bidi w:val="0"/>
        <w:adjustRightInd w:val="0"/>
        <w:ind w:left="0" w:leftChars="0" w:right="0" w:right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szCs w:val="21"/>
          <w:highlight w:val="none"/>
        </w:rPr>
        <w:t>医疗废物</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1.1</w:t>
      </w:r>
      <w:r>
        <w:rPr>
          <w:rFonts w:hint="default" w:ascii="Times New Roman" w:hAnsi="Times New Roman" w:cs="Times New Roman"/>
          <w:color w:val="auto"/>
          <w:highlight w:val="none"/>
          <w:lang w:val="en-US" w:eastAsia="zh-CN"/>
        </w:rPr>
        <w:t>t/a。</w:t>
      </w:r>
    </w:p>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484" w:name="_Toc10502"/>
      <w:bookmarkStart w:id="485" w:name="_Toc17379_WPSOffice_Level3"/>
      <w:bookmarkStart w:id="486" w:name="_Toc14394"/>
      <w:bookmarkStart w:id="487" w:name="_Toc8483_WPSOffice_Level3"/>
      <w:bookmarkStart w:id="488" w:name="_Toc28211_WPSOffice_Level3"/>
      <w:bookmarkStart w:id="489" w:name="_Toc521585924"/>
      <w:bookmarkStart w:id="490" w:name="_Toc27942"/>
      <w:bookmarkStart w:id="491" w:name="_Toc17985"/>
      <w:bookmarkStart w:id="492" w:name="_Toc72235885"/>
      <w:bookmarkStart w:id="493" w:name="_Toc229909624"/>
      <w:bookmarkStart w:id="494" w:name="_Toc113250693"/>
      <w:r>
        <w:rPr>
          <w:rFonts w:hint="default" w:ascii="Times New Roman" w:hAnsi="Times New Roman" w:cs="Times New Roman"/>
          <w:color w:val="auto"/>
          <w:highlight w:val="none"/>
        </w:rPr>
        <w:t>主要环境影响</w:t>
      </w:r>
      <w:bookmarkEnd w:id="484"/>
      <w:bookmarkEnd w:id="485"/>
      <w:bookmarkEnd w:id="486"/>
      <w:bookmarkEnd w:id="487"/>
      <w:bookmarkEnd w:id="488"/>
      <w:bookmarkEnd w:id="489"/>
      <w:bookmarkEnd w:id="490"/>
      <w:bookmarkEnd w:id="491"/>
    </w:p>
    <w:p>
      <w:pPr>
        <w:pageBreakBefore w:val="0"/>
        <w:wordWrap/>
        <w:bidi w:val="0"/>
        <w:adjustRightInd w:val="0"/>
        <w:ind w:left="0" w:leftChars="0" w:right="0" w:rightChars="0" w:firstLine="480"/>
        <w:rPr>
          <w:rFonts w:hint="default" w:ascii="Times New Roman" w:hAnsi="Times New Roman" w:cs="Times New Roman"/>
          <w:color w:val="auto"/>
          <w:highlight w:val="none"/>
        </w:rPr>
      </w:pPr>
      <w:bookmarkStart w:id="495" w:name="_Toc438639607"/>
      <w:bookmarkStart w:id="496" w:name="_Toc417403188"/>
      <w:bookmarkStart w:id="497" w:name="_Toc379893983"/>
      <w:bookmarkStart w:id="498" w:name="_Toc417403193"/>
      <w:bookmarkStart w:id="499" w:name="_Toc375831497"/>
      <w:bookmarkStart w:id="500" w:name="_Toc375214356"/>
      <w:bookmarkStart w:id="501" w:name="_Toc375161174"/>
      <w:bookmarkStart w:id="502" w:name="_Toc417403192"/>
      <w:bookmarkStart w:id="503" w:name="_Toc374600656"/>
      <w:bookmarkStart w:id="504" w:name="_Toc378583120"/>
      <w:bookmarkStart w:id="505" w:name="_Toc417403194"/>
      <w:bookmarkStart w:id="506" w:name="_Toc381168958"/>
      <w:r>
        <w:rPr>
          <w:rFonts w:hint="default" w:ascii="Times New Roman" w:hAnsi="Times New Roman" w:cs="Times New Roman"/>
          <w:color w:val="auto"/>
          <w:highlight w:val="none"/>
        </w:rPr>
        <w:t>（1）大气</w:t>
      </w:r>
      <w:bookmarkEnd w:id="495"/>
      <w:bookmarkEnd w:id="496"/>
      <w:r>
        <w:rPr>
          <w:rFonts w:hint="default" w:ascii="Times New Roman" w:hAnsi="Times New Roman" w:cs="Times New Roman"/>
          <w:color w:val="auto"/>
          <w:highlight w:val="none"/>
        </w:rPr>
        <w:t>环境影响</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由估算结果可知，NH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S、颗粒物</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TSP及PM</w:t>
      </w:r>
      <w:r>
        <w:rPr>
          <w:rFonts w:hint="default" w:ascii="Times New Roman" w:hAnsi="Times New Roman" w:cs="Times New Roman"/>
          <w:color w:val="auto"/>
          <w:highlight w:val="none"/>
          <w:vertAlign w:val="subscript"/>
          <w:lang w:val="en-US" w:eastAsia="zh-CN"/>
        </w:rPr>
        <w:t>10</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污染物占标率&lt;10%，各类污染物小时最大落地浓度贡献值均较小，对环境空气不会产生明显的影响</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颗粒物有组织排放浓度满足</w:t>
      </w:r>
      <w:r>
        <w:rPr>
          <w:rFonts w:hint="default" w:ascii="Times New Roman" w:hAnsi="Times New Roman" w:cs="Times New Roman"/>
          <w:color w:val="auto"/>
          <w:highlight w:val="none"/>
        </w:rPr>
        <w:t>《大气污染物综合排放标准》（GB16297-1996）中排放限值</w:t>
      </w:r>
      <w:r>
        <w:rPr>
          <w:rFonts w:hint="default" w:ascii="Times New Roman" w:hAnsi="Times New Roman" w:cs="Times New Roman"/>
          <w:color w:val="auto"/>
          <w:highlight w:val="none"/>
          <w:lang w:val="en-US" w:eastAsia="zh-CN"/>
        </w:rPr>
        <w:t>要求；</w:t>
      </w:r>
      <w:r>
        <w:rPr>
          <w:rFonts w:hint="default" w:ascii="Times New Roman" w:hAnsi="Times New Roman" w:cs="Times New Roman"/>
          <w:color w:val="auto"/>
          <w:sz w:val="24"/>
          <w:szCs w:val="24"/>
          <w:highlight w:val="none"/>
        </w:rPr>
        <w:t>恶臭污染物氨、硫化氢</w:t>
      </w:r>
      <w:r>
        <w:rPr>
          <w:rFonts w:hint="default" w:ascii="Times New Roman" w:hAnsi="Times New Roman" w:cs="Times New Roman"/>
          <w:color w:val="auto"/>
          <w:sz w:val="24"/>
          <w:szCs w:val="24"/>
          <w:highlight w:val="none"/>
          <w:lang w:eastAsia="zh-CN"/>
        </w:rPr>
        <w:t>场界</w:t>
      </w:r>
      <w:r>
        <w:rPr>
          <w:rFonts w:hint="default" w:ascii="Times New Roman" w:hAnsi="Times New Roman" w:cs="Times New Roman"/>
          <w:color w:val="auto"/>
          <w:sz w:val="24"/>
          <w:szCs w:val="24"/>
          <w:highlight w:val="none"/>
        </w:rPr>
        <w:t>处无组织排放浓度符合《恶臭污染物排放标准》</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GB14554-93</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中的恶臭污染物</w:t>
      </w:r>
      <w:r>
        <w:rPr>
          <w:rFonts w:hint="default" w:ascii="Times New Roman" w:hAnsi="Times New Roman" w:cs="Times New Roman"/>
          <w:color w:val="auto"/>
          <w:sz w:val="24"/>
          <w:szCs w:val="24"/>
          <w:highlight w:val="none"/>
          <w:lang w:eastAsia="zh-CN"/>
        </w:rPr>
        <w:t>场界</w:t>
      </w:r>
      <w:r>
        <w:rPr>
          <w:rFonts w:hint="default" w:ascii="Times New Roman" w:hAnsi="Times New Roman" w:cs="Times New Roman"/>
          <w:color w:val="auto"/>
          <w:sz w:val="24"/>
          <w:szCs w:val="24"/>
          <w:highlight w:val="none"/>
        </w:rPr>
        <w:t>标准限制的要求</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颗粒物（TSP）满足</w:t>
      </w:r>
      <w:r>
        <w:rPr>
          <w:rFonts w:hint="default" w:ascii="Times New Roman" w:hAnsi="Times New Roman" w:cs="Times New Roman"/>
          <w:color w:val="auto"/>
          <w:highlight w:val="none"/>
        </w:rPr>
        <w:t>《大气污染物综合排放标准》（GB16297-1996）中无组织排放限值</w:t>
      </w:r>
      <w:r>
        <w:rPr>
          <w:rFonts w:hint="default" w:ascii="Times New Roman" w:hAnsi="Times New Roman" w:cs="Times New Roman"/>
          <w:color w:val="auto"/>
          <w:highlight w:val="none"/>
          <w:lang w:val="en-US" w:eastAsia="zh-CN"/>
        </w:rPr>
        <w:t>要求，</w:t>
      </w:r>
      <w:r>
        <w:rPr>
          <w:rFonts w:hint="default" w:ascii="Times New Roman" w:hAnsi="Times New Roman" w:cs="Times New Roman"/>
          <w:color w:val="auto"/>
          <w:highlight w:val="none"/>
        </w:rPr>
        <w:t>臭气浓度排放满足《畜禽养殖业污染物排放标准》（GB18596-2001）表7标准限值。因此，</w:t>
      </w:r>
      <w:r>
        <w:rPr>
          <w:rFonts w:hint="default" w:ascii="Times New Roman" w:hAnsi="Times New Roman" w:cs="Times New Roman"/>
          <w:color w:val="auto"/>
          <w:highlight w:val="none"/>
          <w:lang w:val="en-US" w:eastAsia="zh-CN"/>
        </w:rPr>
        <w:t>本</w:t>
      </w:r>
      <w:r>
        <w:rPr>
          <w:rFonts w:hint="default" w:ascii="Times New Roman" w:hAnsi="Times New Roman" w:cs="Times New Roman"/>
          <w:color w:val="auto"/>
          <w:highlight w:val="none"/>
        </w:rPr>
        <w:t>项目实施后不会对区域大气环境产生明显影响。</w:t>
      </w:r>
    </w:p>
    <w:p>
      <w:pPr>
        <w:pageBreakBefore w:val="0"/>
        <w:wordWrap/>
        <w:bidi w:val="0"/>
        <w:adjustRightInd w:val="0"/>
        <w:ind w:left="0" w:leftChars="0" w:right="0" w:rightChars="0" w:firstLine="480"/>
        <w:rPr>
          <w:rFonts w:hint="default" w:ascii="Times New Roman" w:hAnsi="Times New Roman" w:cs="Times New Roman"/>
          <w:color w:val="auto"/>
          <w:highlight w:val="none"/>
        </w:rPr>
      </w:pPr>
      <w:bookmarkStart w:id="507" w:name="_Toc417403189"/>
      <w:bookmarkStart w:id="508" w:name="_Toc438639608"/>
      <w:r>
        <w:rPr>
          <w:rFonts w:hint="default" w:ascii="Times New Roman" w:hAnsi="Times New Roman" w:cs="Times New Roman"/>
          <w:color w:val="auto"/>
          <w:highlight w:val="none"/>
        </w:rPr>
        <w:t>（2）水</w:t>
      </w:r>
      <w:bookmarkEnd w:id="507"/>
      <w:bookmarkEnd w:id="508"/>
      <w:r>
        <w:rPr>
          <w:rFonts w:hint="default" w:ascii="Times New Roman" w:hAnsi="Times New Roman" w:cs="Times New Roman"/>
          <w:color w:val="auto"/>
          <w:highlight w:val="none"/>
        </w:rPr>
        <w:t>环境影响</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eastAsia" w:cs="Times New Roman"/>
          <w:color w:val="auto"/>
          <w:highlight w:val="none"/>
          <w:lang w:eastAsia="zh-CN"/>
        </w:rPr>
        <w:t>挤奶厅设备和地面清洗废水</w:t>
      </w:r>
      <w:r>
        <w:rPr>
          <w:rFonts w:hint="default" w:ascii="Times New Roman" w:hAnsi="Times New Roman" w:cs="Times New Roman"/>
          <w:color w:val="auto"/>
          <w:highlight w:val="none"/>
          <w:lang w:eastAsia="zh-CN"/>
        </w:rPr>
        <w:t>及生活污水进入集污池收集后</w:t>
      </w:r>
      <w:r>
        <w:rPr>
          <w:rFonts w:hint="eastAsia" w:cs="Times New Roman"/>
          <w:color w:val="auto"/>
          <w:highlight w:val="none"/>
          <w:lang w:val="en-US" w:eastAsia="zh-CN"/>
        </w:rPr>
        <w:t>清掏拉运</w:t>
      </w:r>
      <w:r>
        <w:rPr>
          <w:rFonts w:hint="default" w:ascii="Times New Roman" w:hAnsi="Times New Roman" w:cs="Times New Roman"/>
          <w:color w:val="auto"/>
          <w:highlight w:val="none"/>
        </w:rPr>
        <w:t>。</w:t>
      </w:r>
      <w:r>
        <w:rPr>
          <w:rFonts w:hint="eastAsia" w:cs="Times New Roman"/>
          <w:color w:val="auto"/>
          <w:kern w:val="0"/>
          <w:sz w:val="24"/>
          <w:szCs w:val="24"/>
          <w:highlight w:val="none"/>
          <w:lang w:val="en-US" w:eastAsia="zh-CN" w:bidi="ar"/>
        </w:rPr>
        <w:t>牛尿进入垫料中，</w:t>
      </w:r>
      <w:r>
        <w:rPr>
          <w:rFonts w:hint="default" w:ascii="Times New Roman" w:hAnsi="Times New Roman" w:eastAsia="宋体" w:cs="Times New Roman"/>
          <w:color w:val="auto"/>
          <w:kern w:val="0"/>
          <w:sz w:val="24"/>
          <w:szCs w:val="24"/>
          <w:highlight w:val="none"/>
          <w:lang w:val="en-US" w:eastAsia="zh-CN" w:bidi="ar"/>
        </w:rPr>
        <w:t>部分自然蒸发，剩余</w:t>
      </w:r>
      <w:r>
        <w:rPr>
          <w:rFonts w:hint="eastAsia" w:cs="Times New Roman"/>
          <w:color w:val="auto"/>
          <w:kern w:val="0"/>
          <w:sz w:val="24"/>
          <w:szCs w:val="24"/>
          <w:highlight w:val="none"/>
          <w:lang w:val="en-US" w:eastAsia="zh-CN" w:bidi="ar"/>
        </w:rPr>
        <w:t>部分与垫料</w:t>
      </w:r>
      <w:r>
        <w:rPr>
          <w:rFonts w:hint="default" w:ascii="Times New Roman" w:hAnsi="Times New Roman" w:eastAsia="宋体" w:cs="Times New Roman"/>
          <w:color w:val="auto"/>
          <w:kern w:val="0"/>
          <w:sz w:val="24"/>
          <w:szCs w:val="24"/>
          <w:highlight w:val="none"/>
          <w:lang w:val="en-US" w:eastAsia="zh-CN" w:bidi="ar"/>
        </w:rPr>
        <w:t>一起进入</w:t>
      </w:r>
      <w:r>
        <w:rPr>
          <w:rFonts w:hint="default" w:ascii="Times New Roman" w:hAnsi="Times New Roman" w:cs="Times New Roman"/>
          <w:color w:val="auto"/>
          <w:kern w:val="0"/>
          <w:sz w:val="24"/>
          <w:szCs w:val="24"/>
          <w:highlight w:val="none"/>
          <w:lang w:val="en-US" w:eastAsia="zh-CN" w:bidi="ar"/>
        </w:rPr>
        <w:t>堆粪场</w:t>
      </w:r>
      <w:r>
        <w:rPr>
          <w:rFonts w:hint="default" w:ascii="Times New Roman" w:hAnsi="Times New Roman" w:eastAsia="宋体" w:cs="Times New Roman"/>
          <w:color w:val="auto"/>
          <w:kern w:val="0"/>
          <w:sz w:val="24"/>
          <w:szCs w:val="24"/>
          <w:highlight w:val="none"/>
          <w:lang w:val="en-US" w:eastAsia="zh-CN" w:bidi="ar"/>
        </w:rPr>
        <w:t>，不外排</w:t>
      </w:r>
      <w:r>
        <w:rPr>
          <w:rFonts w:hint="default" w:ascii="Times New Roman" w:hAnsi="Times New Roman" w:cs="Times New Roman"/>
          <w:color w:val="auto"/>
          <w:highlight w:val="none"/>
        </w:rPr>
        <w:t>。项目与地表水无直接水利联系，在落实本报告书中提出的各项地下水污染防治措施并加强养殖基地环境管理的前提下，本项目的运营对周围水环境影响很小。</w:t>
      </w:r>
    </w:p>
    <w:p>
      <w:pPr>
        <w:pageBreakBefore w:val="0"/>
        <w:wordWrap/>
        <w:bidi w:val="0"/>
        <w:adjustRightInd w:val="0"/>
        <w:ind w:left="0" w:leftChars="0" w:right="0" w:rightChars="0" w:firstLine="480"/>
        <w:rPr>
          <w:rFonts w:hint="default" w:ascii="Times New Roman" w:hAnsi="Times New Roman" w:cs="Times New Roman"/>
          <w:color w:val="auto"/>
          <w:highlight w:val="none"/>
        </w:rPr>
      </w:pPr>
      <w:bookmarkStart w:id="509" w:name="_Toc417403190"/>
      <w:bookmarkStart w:id="510" w:name="_Toc438639609"/>
      <w:r>
        <w:rPr>
          <w:rFonts w:hint="default" w:ascii="Times New Roman" w:hAnsi="Times New Roman" w:cs="Times New Roman"/>
          <w:color w:val="auto"/>
          <w:highlight w:val="none"/>
        </w:rPr>
        <w:t>（3）噪声</w:t>
      </w:r>
      <w:bookmarkEnd w:id="509"/>
      <w:bookmarkEnd w:id="510"/>
      <w:r>
        <w:rPr>
          <w:rFonts w:hint="default" w:ascii="Times New Roman" w:hAnsi="Times New Roman" w:cs="Times New Roman"/>
          <w:color w:val="auto"/>
          <w:highlight w:val="none"/>
        </w:rPr>
        <w:t>环境影响</w:t>
      </w:r>
    </w:p>
    <w:p>
      <w:pPr>
        <w:pageBreakBefore w:val="0"/>
        <w:wordWrap/>
        <w:bidi w:val="0"/>
        <w:adjustRightInd w:val="0"/>
        <w:ind w:left="0" w:leftChars="0" w:right="0" w:rightChars="0" w:firstLine="480"/>
        <w:rPr>
          <w:rFonts w:hint="default" w:ascii="Times New Roman" w:hAnsi="Times New Roman" w:cs="Times New Roman"/>
          <w:color w:val="auto"/>
          <w:highlight w:val="none"/>
        </w:rPr>
      </w:pPr>
      <w:bookmarkStart w:id="511" w:name="_Toc417403191"/>
      <w:bookmarkStart w:id="512" w:name="_Toc438639610"/>
      <w:r>
        <w:rPr>
          <w:rFonts w:hint="default" w:ascii="Times New Roman" w:hAnsi="Times New Roman" w:cs="Times New Roman"/>
          <w:color w:val="auto"/>
          <w:highlight w:val="none"/>
        </w:rPr>
        <w:t>通过对各装置采取降噪减振、距离衰减等措施，各</w:t>
      </w:r>
      <w:r>
        <w:rPr>
          <w:rFonts w:hint="default" w:ascii="Times New Roman" w:hAnsi="Times New Roman" w:cs="Times New Roman"/>
          <w:color w:val="auto"/>
          <w:highlight w:val="none"/>
          <w:lang w:eastAsia="zh-CN"/>
        </w:rPr>
        <w:t>场界</w:t>
      </w:r>
      <w:r>
        <w:rPr>
          <w:rFonts w:hint="default" w:ascii="Times New Roman" w:hAnsi="Times New Roman" w:cs="Times New Roman"/>
          <w:color w:val="auto"/>
          <w:highlight w:val="none"/>
        </w:rPr>
        <w:t>噪声</w:t>
      </w:r>
      <w:r>
        <w:rPr>
          <w:rFonts w:hint="default" w:ascii="Times New Roman" w:hAnsi="Times New Roman" w:cs="Times New Roman"/>
          <w:color w:val="auto"/>
          <w:highlight w:val="none"/>
          <w:lang w:eastAsia="zh-CN"/>
        </w:rPr>
        <w:t>贡献</w:t>
      </w:r>
      <w:r>
        <w:rPr>
          <w:rFonts w:hint="default" w:ascii="Times New Roman" w:hAnsi="Times New Roman" w:cs="Times New Roman"/>
          <w:color w:val="auto"/>
          <w:highlight w:val="none"/>
        </w:rPr>
        <w:t>值均符合《工业企业</w:t>
      </w:r>
      <w:r>
        <w:rPr>
          <w:rFonts w:hint="default" w:ascii="Times New Roman" w:hAnsi="Times New Roman" w:cs="Times New Roman"/>
          <w:color w:val="auto"/>
          <w:highlight w:val="none"/>
          <w:lang w:eastAsia="zh-CN"/>
        </w:rPr>
        <w:t>场界</w:t>
      </w:r>
      <w:r>
        <w:rPr>
          <w:rFonts w:hint="default" w:ascii="Times New Roman" w:hAnsi="Times New Roman" w:cs="Times New Roman"/>
          <w:color w:val="auto"/>
          <w:highlight w:val="none"/>
        </w:rPr>
        <w:t>环境噪声排放标准》（GB12348-2008）的2类标准要求。因此，本项目噪声对周围环境</w:t>
      </w:r>
      <w:r>
        <w:rPr>
          <w:rFonts w:hint="default" w:ascii="Times New Roman" w:hAnsi="Times New Roman" w:cs="Times New Roman"/>
          <w:color w:val="auto"/>
          <w:highlight w:val="none"/>
          <w:lang w:eastAsia="zh-CN"/>
        </w:rPr>
        <w:t>影响较少</w:t>
      </w:r>
      <w:r>
        <w:rPr>
          <w:rFonts w:hint="default" w:ascii="Times New Roman" w:hAnsi="Times New Roman" w:cs="Times New Roman"/>
          <w:color w:val="auto"/>
          <w:highlight w:val="none"/>
        </w:rPr>
        <w:t>。</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（4）固体废物</w:t>
      </w:r>
      <w:bookmarkEnd w:id="511"/>
      <w:bookmarkEnd w:id="512"/>
      <w:r>
        <w:rPr>
          <w:rFonts w:hint="default" w:ascii="Times New Roman" w:hAnsi="Times New Roman" w:cs="Times New Roman"/>
          <w:color w:val="auto"/>
          <w:highlight w:val="none"/>
        </w:rPr>
        <w:t>环境影响</w:t>
      </w:r>
    </w:p>
    <w:p>
      <w:pPr>
        <w:pageBreakBefore w:val="0"/>
        <w:wordWrap/>
        <w:bidi w:val="0"/>
        <w:adjustRightInd w:val="0"/>
        <w:ind w:left="0" w:leftChars="0" w:right="0" w:rightChars="0" w:firstLine="480"/>
        <w:rPr>
          <w:rFonts w:hint="default" w:ascii="Times New Roman" w:hAnsi="Times New Roman" w:cs="Times New Roman"/>
          <w:color w:val="auto"/>
          <w:highlight w:val="none"/>
        </w:rPr>
      </w:pPr>
      <w:bookmarkStart w:id="513" w:name="_Toc438639611"/>
      <w:r>
        <w:rPr>
          <w:rFonts w:hint="default" w:ascii="Times New Roman" w:hAnsi="Times New Roman" w:cs="Times New Roman"/>
          <w:color w:val="auto"/>
          <w:highlight w:val="none"/>
        </w:rPr>
        <w:t>生活垃圾由环卫部门统一收集处置。</w:t>
      </w:r>
      <w:r>
        <w:rPr>
          <w:rFonts w:hint="default" w:ascii="Times New Roman" w:hAnsi="Times New Roman" w:cs="Times New Roman"/>
          <w:color w:val="auto"/>
          <w:highlight w:val="none"/>
          <w:lang w:eastAsia="zh-CN"/>
        </w:rPr>
        <w:t>粪污</w:t>
      </w:r>
      <w:r>
        <w:rPr>
          <w:rFonts w:hint="default" w:ascii="Times New Roman" w:hAnsi="Times New Roman" w:cs="Times New Roman"/>
          <w:color w:val="auto"/>
          <w:highlight w:val="none"/>
        </w:rPr>
        <w:t>由清粪车清运至</w:t>
      </w:r>
      <w:r>
        <w:rPr>
          <w:rFonts w:hint="default" w:ascii="Times New Roman" w:hAnsi="Times New Roman" w:cs="Times New Roman"/>
          <w:color w:val="auto"/>
          <w:highlight w:val="none"/>
          <w:lang w:eastAsia="zh-CN"/>
        </w:rPr>
        <w:t>堆粪场</w:t>
      </w:r>
      <w:r>
        <w:rPr>
          <w:rFonts w:hint="default" w:ascii="Times New Roman" w:hAnsi="Times New Roman" w:cs="Times New Roman"/>
          <w:color w:val="auto"/>
          <w:highlight w:val="none"/>
        </w:rPr>
        <w:t>，经堆肥处理后达到《畜禽粪便还田技术规范》（GB/T 25246）中无害化要求后</w:t>
      </w:r>
      <w:r>
        <w:rPr>
          <w:rFonts w:hint="eastAsia" w:cs="Times New Roman"/>
          <w:color w:val="auto"/>
          <w:kern w:val="0"/>
          <w:sz w:val="24"/>
          <w:szCs w:val="24"/>
          <w:highlight w:val="none"/>
          <w:lang w:val="en-US" w:eastAsia="zh-CN" w:bidi="ar"/>
        </w:rPr>
        <w:t>用于垫料及</w:t>
      </w:r>
      <w:r>
        <w:rPr>
          <w:rFonts w:hint="default" w:ascii="Times New Roman" w:hAnsi="Times New Roman" w:cs="Times New Roman"/>
          <w:color w:val="auto"/>
          <w:highlight w:val="none"/>
          <w:lang w:val="en-US" w:eastAsia="zh-CN"/>
        </w:rPr>
        <w:t>还田利用</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布袋除尘收集的粉尘作为饲料用于奶牛饲养。</w:t>
      </w:r>
      <w:r>
        <w:rPr>
          <w:rFonts w:hint="default" w:ascii="Times New Roman" w:hAnsi="Times New Roman" w:cs="Times New Roman"/>
          <w:color w:val="auto"/>
          <w:highlight w:val="none"/>
        </w:rPr>
        <w:t>本项目病死牛尸体由</w:t>
      </w:r>
      <w:r>
        <w:rPr>
          <w:rFonts w:hint="default" w:ascii="Times New Roman" w:hAnsi="Times New Roman" w:eastAsia="宋体" w:cs="Times New Roman"/>
          <w:color w:val="auto"/>
          <w:highlight w:val="none"/>
        </w:rPr>
        <w:t>由</w:t>
      </w:r>
      <w:r>
        <w:rPr>
          <w:rFonts w:hint="default" w:ascii="Times New Roman" w:hAnsi="Times New Roman" w:cs="Times New Roman"/>
          <w:color w:val="auto"/>
          <w:highlight w:val="none"/>
          <w:lang w:val="en-US" w:eastAsia="zh-CN"/>
        </w:rPr>
        <w:t>安全填埋井填埋</w:t>
      </w:r>
      <w:r>
        <w:rPr>
          <w:rFonts w:hint="default" w:ascii="Times New Roman" w:hAnsi="Times New Roman" w:cs="Times New Roman"/>
          <w:color w:val="auto"/>
          <w:highlight w:val="none"/>
        </w:rPr>
        <w:t>。本项目兽用医疗废物，按照《医疗废物集中处置技术规范（试行）》规定，设置医疗废物暂存间，对医疗废弃物进行分类暂存。对于存在传染性的医疗固废，必须按照《医疗废物处理处置污染控制标准》（GB 39707-2020）</w:t>
      </w:r>
      <w:r>
        <w:rPr>
          <w:rFonts w:hint="eastAsia" w:cs="Times New Roman"/>
          <w:color w:val="auto"/>
          <w:highlight w:val="none"/>
          <w:lang w:eastAsia="zh-CN"/>
        </w:rPr>
        <w:t>、</w:t>
      </w:r>
      <w:r>
        <w:rPr>
          <w:rFonts w:hint="default" w:ascii="Times New Roman" w:hAnsi="Times New Roman" w:cs="Times New Roman"/>
          <w:color w:val="auto"/>
          <w:highlight w:val="none"/>
        </w:rPr>
        <w:t>《危险废物收集、贮存、运输技术规范》（GB18597-20</w:t>
      </w:r>
      <w:r>
        <w:rPr>
          <w:rFonts w:hint="default" w:ascii="Times New Roman" w:hAnsi="Times New Roman" w:cs="Times New Roman"/>
          <w:color w:val="auto"/>
          <w:highlight w:val="none"/>
          <w:lang w:val="en-US" w:eastAsia="zh-CN"/>
        </w:rPr>
        <w:t>23</w:t>
      </w:r>
      <w:r>
        <w:rPr>
          <w:rFonts w:hint="default" w:ascii="Times New Roman" w:hAnsi="Times New Roman" w:cs="Times New Roman"/>
          <w:color w:val="auto"/>
          <w:highlight w:val="none"/>
        </w:rPr>
        <w:t>）进行收集、暂存和管理，医疗废物最终交由有资质单位处置。</w:t>
      </w:r>
      <w:bookmarkEnd w:id="497"/>
      <w:bookmarkEnd w:id="498"/>
      <w:bookmarkEnd w:id="499"/>
      <w:bookmarkEnd w:id="500"/>
      <w:bookmarkEnd w:id="501"/>
      <w:bookmarkEnd w:id="502"/>
      <w:bookmarkEnd w:id="503"/>
      <w:bookmarkEnd w:id="504"/>
      <w:bookmarkEnd w:id="505"/>
      <w:bookmarkEnd w:id="506"/>
      <w:bookmarkEnd w:id="513"/>
      <w:bookmarkStart w:id="514" w:name="_Toc9795_WPSOffice_Level3"/>
      <w:bookmarkStart w:id="515" w:name="_Toc521585925"/>
      <w:bookmarkStart w:id="516" w:name="_Toc30627"/>
      <w:bookmarkStart w:id="517" w:name="_Toc25476_WPSOffice_Level3"/>
      <w:bookmarkStart w:id="518" w:name="_Toc25968_WPSOffice_Level3"/>
      <w:bookmarkStart w:id="519" w:name="_Toc25128"/>
    </w:p>
    <w:p>
      <w:pPr>
        <w:pStyle w:val="17"/>
        <w:pageBreakBefore w:val="0"/>
        <w:wordWrap/>
        <w:bidi w:val="0"/>
        <w:adjustRightInd w:val="0"/>
        <w:ind w:left="0" w:leftChars="0" w:right="0" w:rightChars="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cs="Times New Roman"/>
          <w:color w:val="auto"/>
          <w:highlight w:val="none"/>
        </w:rPr>
        <w:t>本</w:t>
      </w:r>
      <w:r>
        <w:rPr>
          <w:rFonts w:hint="default" w:ascii="Times New Roman" w:hAnsi="Times New Roman" w:eastAsia="宋体" w:cs="Times New Roman"/>
          <w:color w:val="auto"/>
          <w:kern w:val="0"/>
          <w:sz w:val="24"/>
          <w:szCs w:val="24"/>
          <w:highlight w:val="none"/>
          <w:lang w:val="en-US" w:eastAsia="zh-CN" w:bidi="ar"/>
        </w:rPr>
        <w:t>项目所有固体废物均得到妥善处置和综合利用，不直接排入外环境，不会对周边境产生不良影响。</w:t>
      </w:r>
    </w:p>
    <w:p>
      <w:pPr>
        <w:pStyle w:val="17"/>
        <w:pageBreakBefore w:val="0"/>
        <w:wordWrap/>
        <w:bidi w:val="0"/>
        <w:adjustRightInd w:val="0"/>
        <w:ind w:left="0" w:leftChars="0" w:right="0" w:rightChars="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（5）土壤环境影响</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在落实本报告书中提出的</w:t>
      </w:r>
      <w:r>
        <w:rPr>
          <w:rFonts w:hint="default" w:ascii="Times New Roman" w:hAnsi="Times New Roman" w:cs="Times New Roman"/>
          <w:color w:val="auto"/>
          <w:highlight w:val="none"/>
          <w:lang w:val="en-US" w:eastAsia="zh-CN"/>
        </w:rPr>
        <w:t>土壤</w:t>
      </w:r>
      <w:r>
        <w:rPr>
          <w:rFonts w:hint="default" w:ascii="Times New Roman" w:hAnsi="Times New Roman" w:cs="Times New Roman"/>
          <w:color w:val="auto"/>
          <w:highlight w:val="none"/>
        </w:rPr>
        <w:t>污染防治措施并加强养殖基地环境管理的前提下，本项目的运营对周围</w:t>
      </w:r>
      <w:r>
        <w:rPr>
          <w:rFonts w:hint="default" w:ascii="Times New Roman" w:hAnsi="Times New Roman" w:cs="Times New Roman"/>
          <w:color w:val="auto"/>
          <w:highlight w:val="none"/>
          <w:lang w:val="en-US" w:eastAsia="zh-CN"/>
        </w:rPr>
        <w:t>土壤</w:t>
      </w:r>
      <w:r>
        <w:rPr>
          <w:rFonts w:hint="default" w:ascii="Times New Roman" w:hAnsi="Times New Roman" w:cs="Times New Roman"/>
          <w:color w:val="auto"/>
          <w:highlight w:val="none"/>
        </w:rPr>
        <w:t>环境影响很小。</w:t>
      </w:r>
    </w:p>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公众参与</w:t>
      </w:r>
    </w:p>
    <w:p>
      <w:pPr>
        <w:pStyle w:val="90"/>
        <w:pageBreakBefore w:val="0"/>
        <w:wordWrap/>
        <w:autoSpaceDE w:val="0"/>
        <w:autoSpaceDN w:val="0"/>
        <w:bidi w:val="0"/>
        <w:adjustRightInd w:val="0"/>
        <w:ind w:left="0" w:leftChars="0" w:right="0" w:rightChars="0"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建设单位按照《建设项目环境影响评价公众参与暂行办法》的要求，于20</w:t>
      </w:r>
      <w:r>
        <w:rPr>
          <w:rFonts w:hint="default" w:ascii="Times New Roman" w:hAnsi="Times New Roman" w:eastAsia="宋体" w:cs="Times New Roman"/>
          <w:color w:val="auto"/>
          <w:highlight w:val="none"/>
          <w:lang w:val="en-US" w:eastAsia="zh-CN"/>
        </w:rPr>
        <w:t>23</w:t>
      </w:r>
      <w:r>
        <w:rPr>
          <w:rFonts w:hint="default" w:ascii="Times New Roman" w:hAnsi="Times New Roman" w:eastAsia="宋体" w:cs="Times New Roman"/>
          <w:color w:val="auto"/>
          <w:highlight w:val="none"/>
        </w:rPr>
        <w:t>年</w:t>
      </w: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月</w:t>
      </w:r>
      <w:r>
        <w:rPr>
          <w:rFonts w:hint="default" w:ascii="Times New Roman" w:hAnsi="Times New Roman" w:eastAsia="宋体" w:cs="Times New Roman"/>
          <w:color w:val="auto"/>
          <w:highlight w:val="none"/>
          <w:lang w:val="en-US" w:eastAsia="zh-CN"/>
        </w:rPr>
        <w:t>6</w:t>
      </w:r>
      <w:r>
        <w:rPr>
          <w:rFonts w:hint="default" w:ascii="Times New Roman" w:hAnsi="Times New Roman" w:eastAsia="宋体" w:cs="Times New Roman"/>
          <w:color w:val="auto"/>
          <w:highlight w:val="none"/>
        </w:rPr>
        <w:t>日在</w:t>
      </w:r>
      <w:r>
        <w:rPr>
          <w:rFonts w:hint="default" w:ascii="Times New Roman" w:hAnsi="Times New Roman" w:eastAsia="宋体" w:cs="Times New Roman"/>
          <w:color w:val="auto"/>
          <w:highlight w:val="none"/>
          <w:lang w:val="en-US" w:eastAsia="zh-CN"/>
        </w:rPr>
        <w:t>新疆维吾尔自治区生态环境保护产业协会</w:t>
      </w:r>
      <w:r>
        <w:rPr>
          <w:rFonts w:hint="default" w:ascii="Times New Roman" w:hAnsi="Times New Roman" w:eastAsia="宋体" w:cs="Times New Roman"/>
          <w:color w:val="auto"/>
          <w:highlight w:val="none"/>
        </w:rPr>
        <w:t>网站第一次网上公示</w:t>
      </w:r>
      <w:r>
        <w:rPr>
          <w:rFonts w:hint="default"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2023年6月7日</w:t>
      </w:r>
      <w:r>
        <w:rPr>
          <w:rFonts w:hint="default" w:ascii="Times New Roman" w:hAnsi="Times New Roman" w:eastAsia="宋体" w:cs="Times New Roman"/>
          <w:color w:val="auto"/>
          <w:highlight w:val="none"/>
        </w:rPr>
        <w:t>在</w:t>
      </w:r>
      <w:r>
        <w:rPr>
          <w:rFonts w:hint="default" w:ascii="Times New Roman" w:hAnsi="Times New Roman" w:eastAsia="宋体" w:cs="Times New Roman"/>
          <w:color w:val="auto"/>
          <w:highlight w:val="none"/>
          <w:lang w:val="en-US" w:eastAsia="zh-CN"/>
        </w:rPr>
        <w:t>新疆维吾尔自治区生态环境保护产业协会</w:t>
      </w:r>
      <w:r>
        <w:rPr>
          <w:rFonts w:hint="default" w:ascii="Times New Roman" w:hAnsi="Times New Roman" w:eastAsia="宋体" w:cs="Times New Roman"/>
          <w:color w:val="auto"/>
          <w:highlight w:val="none"/>
        </w:rPr>
        <w:t>网站第二次网上公示，并在网站上链接了环评报告书进行全本公示</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在第二次网上公示的同时在</w:t>
      </w:r>
      <w:r>
        <w:rPr>
          <w:rFonts w:hint="eastAsia" w:ascii="Times New Roman" w:hAnsi="Times New Roman" w:eastAsia="宋体" w:cs="Times New Roman"/>
          <w:color w:val="auto"/>
          <w:highlight w:val="none"/>
          <w:lang w:val="en-US" w:eastAsia="zh-CN"/>
        </w:rPr>
        <w:t>新疆法制报</w:t>
      </w:r>
      <w:r>
        <w:rPr>
          <w:rFonts w:hint="default" w:ascii="Times New Roman" w:hAnsi="Times New Roman" w:eastAsia="宋体" w:cs="Times New Roman"/>
          <w:color w:val="auto"/>
          <w:highlight w:val="none"/>
        </w:rPr>
        <w:t>对项目环境影响报告书的环境影响评价信息进行了两次</w:t>
      </w:r>
      <w:r>
        <w:rPr>
          <w:rFonts w:hint="default" w:ascii="Times New Roman" w:hAnsi="Times New Roman" w:eastAsia="宋体" w:cs="Times New Roman"/>
          <w:color w:val="auto"/>
          <w:highlight w:val="none"/>
          <w:lang w:val="en-US" w:eastAsia="zh-CN"/>
        </w:rPr>
        <w:t>登报公示</w:t>
      </w:r>
      <w:r>
        <w:rPr>
          <w:rFonts w:hint="default" w:ascii="Times New Roman" w:hAnsi="Times New Roman" w:eastAsia="宋体" w:cs="Times New Roman"/>
          <w:color w:val="auto"/>
          <w:highlight w:val="none"/>
        </w:rPr>
        <w:t>。公众参与期间，未接到公众意见反馈。</w:t>
      </w:r>
    </w:p>
    <w:p>
      <w:pPr>
        <w:pStyle w:val="5"/>
        <w:pageBreakBefore w:val="0"/>
        <w:wordWrap/>
        <w:bidi w:val="0"/>
        <w:adjustRightInd w:val="0"/>
        <w:ind w:left="0" w:leftChars="0" w:right="0" w:rightChars="0" w:firstLine="0" w:firstLineChars="0"/>
        <w:rPr>
          <w:rFonts w:hint="default" w:ascii="Times New Roman" w:hAnsi="Times New Roman" w:cs="Times New Roman"/>
          <w:color w:val="auto"/>
          <w:highlight w:val="none"/>
        </w:rPr>
      </w:pPr>
      <w:bookmarkStart w:id="520" w:name="_Toc27167"/>
      <w:bookmarkStart w:id="521" w:name="_Toc1568"/>
      <w:bookmarkStart w:id="522" w:name="_Toc508818237"/>
      <w:bookmarkStart w:id="523" w:name="_Toc27105"/>
      <w:bookmarkStart w:id="524" w:name="_Toc518898006"/>
      <w:r>
        <w:rPr>
          <w:rFonts w:hint="default" w:ascii="Times New Roman" w:hAnsi="Times New Roman" w:cs="Times New Roman"/>
          <w:color w:val="auto"/>
          <w:highlight w:val="none"/>
          <w:lang w:val="en-US" w:eastAsia="zh-CN"/>
        </w:rPr>
        <w:t>环境保护</w:t>
      </w:r>
      <w:r>
        <w:rPr>
          <w:rFonts w:hint="default" w:ascii="Times New Roman" w:hAnsi="Times New Roman" w:cs="Times New Roman"/>
          <w:color w:val="auto"/>
          <w:highlight w:val="none"/>
        </w:rPr>
        <w:t>措施</w:t>
      </w:r>
      <w:bookmarkEnd w:id="520"/>
      <w:bookmarkEnd w:id="521"/>
      <w:bookmarkEnd w:id="522"/>
      <w:bookmarkEnd w:id="523"/>
      <w:bookmarkEnd w:id="524"/>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（1）大气污染防治措施</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r>
        <w:rPr>
          <w:rFonts w:hint="default" w:ascii="Times New Roman" w:hAnsi="Times New Roman" w:eastAsia="宋体" w:cs="Times New Roman"/>
          <w:color w:val="auto"/>
          <w:highlight w:val="none"/>
          <w:lang w:val="en-US" w:eastAsia="zh-CN"/>
        </w:rPr>
        <w:t>饲料</w:t>
      </w:r>
      <w:r>
        <w:rPr>
          <w:rFonts w:hint="default" w:ascii="Times New Roman" w:hAnsi="Times New Roman" w:cs="Times New Roman"/>
          <w:color w:val="auto"/>
          <w:highlight w:val="none"/>
          <w:lang w:val="en-US" w:eastAsia="zh-CN"/>
        </w:rPr>
        <w:t>加工粉碎废气（上料口及出料口）经集气罩收集后采用布袋除尘处理。</w:t>
      </w:r>
      <w:r>
        <w:rPr>
          <w:rFonts w:hint="default" w:ascii="Times New Roman" w:hAnsi="Times New Roman" w:cs="Times New Roman"/>
          <w:color w:val="auto"/>
          <w:highlight w:val="none"/>
        </w:rPr>
        <w:t>采取科学设计日粮，选择优质的饲料</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加强圈舍内通风、</w:t>
      </w:r>
      <w:r>
        <w:rPr>
          <w:rFonts w:hint="default" w:ascii="Times New Roman" w:hAnsi="Times New Roman" w:cs="Times New Roman"/>
          <w:color w:val="auto"/>
          <w:highlight w:val="none"/>
          <w:lang w:eastAsia="zh-CN"/>
        </w:rPr>
        <w:t>粪污</w:t>
      </w:r>
      <w:r>
        <w:rPr>
          <w:rFonts w:hint="default" w:ascii="Times New Roman" w:hAnsi="Times New Roman" w:cs="Times New Roman"/>
          <w:color w:val="auto"/>
          <w:highlight w:val="none"/>
        </w:rPr>
        <w:t>日产日清；</w:t>
      </w:r>
      <w:r>
        <w:rPr>
          <w:rFonts w:hint="default" w:ascii="Times New Roman" w:hAnsi="Times New Roman" w:cs="Times New Roman"/>
          <w:color w:val="auto"/>
          <w:highlight w:val="none"/>
          <w:lang w:val="en-US" w:eastAsia="zh-CN"/>
        </w:rPr>
        <w:t>采用好氧堆肥方式，粪污</w:t>
      </w:r>
      <w:r>
        <w:rPr>
          <w:rFonts w:hint="eastAsia" w:cs="Times New Roman"/>
          <w:color w:val="auto"/>
          <w:highlight w:val="none"/>
          <w:lang w:val="en-US" w:eastAsia="zh-CN"/>
        </w:rPr>
        <w:t>用于垫料及还田利用</w:t>
      </w:r>
      <w:r>
        <w:rPr>
          <w:rFonts w:hint="default" w:ascii="Times New Roman" w:hAnsi="Times New Roman" w:cs="Times New Roman"/>
          <w:color w:val="auto"/>
          <w:highlight w:val="none"/>
          <w:lang w:val="en-US" w:eastAsia="zh-CN"/>
        </w:rPr>
        <w:t>；养殖区及堆粪场定期</w:t>
      </w:r>
      <w:r>
        <w:rPr>
          <w:rFonts w:hint="default" w:ascii="Times New Roman" w:hAnsi="Times New Roman" w:cs="Times New Roman"/>
          <w:color w:val="auto"/>
          <w:highlight w:val="none"/>
        </w:rPr>
        <w:t>投加或喷洒除臭剂</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运输器具密闭、防泄漏，防止</w:t>
      </w:r>
      <w:r>
        <w:rPr>
          <w:rFonts w:hint="default" w:ascii="Times New Roman" w:hAnsi="Times New Roman" w:cs="Times New Roman"/>
          <w:color w:val="auto"/>
          <w:highlight w:val="none"/>
          <w:lang w:eastAsia="zh-CN"/>
        </w:rPr>
        <w:t>粪污</w:t>
      </w:r>
      <w:r>
        <w:rPr>
          <w:rFonts w:hint="default" w:ascii="Times New Roman" w:hAnsi="Times New Roman" w:cs="Times New Roman"/>
          <w:color w:val="auto"/>
          <w:highlight w:val="none"/>
        </w:rPr>
        <w:t>洒落出去造成污染；采用人工、机械配合喷药的方法预防蚊蝇滋生；加强圈舍的灭鼠工作，预防疾病的传播</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圈舍消毒；</w:t>
      </w:r>
      <w:r>
        <w:rPr>
          <w:rFonts w:hint="default" w:ascii="Times New Roman" w:hAnsi="Times New Roman" w:cs="Times New Roman"/>
          <w:color w:val="auto"/>
          <w:highlight w:val="none"/>
          <w:lang w:val="en-US" w:eastAsia="zh-CN"/>
        </w:rPr>
        <w:t>场区运输道路全硬化、及时清扫、定期洒水抑尘；</w:t>
      </w:r>
      <w:r>
        <w:rPr>
          <w:rFonts w:hint="default" w:ascii="Times New Roman" w:hAnsi="Times New Roman" w:cs="Times New Roman"/>
          <w:color w:val="auto"/>
          <w:highlight w:val="none"/>
        </w:rPr>
        <w:t>强对牛舍的清洁卫生管理和通风措施措施减少污染物的无组织排放。</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（2）废水污染防治措施</w:t>
      </w:r>
    </w:p>
    <w:p>
      <w:pPr>
        <w:pageBreakBefore w:val="0"/>
        <w:wordWrap/>
        <w:bidi w:val="0"/>
        <w:adjustRightInd w:val="0"/>
        <w:spacing w:line="360" w:lineRule="auto"/>
        <w:ind w:left="0" w:leftChars="0" w:right="0" w:rightChars="0" w:firstLine="480" w:firstLineChars="200"/>
        <w:rPr>
          <w:rFonts w:hint="default" w:ascii="Times New Roman" w:hAnsi="Times New Roman" w:cs="Times New Roman"/>
          <w:color w:val="auto"/>
          <w:sz w:val="24"/>
          <w:szCs w:val="22"/>
          <w:highlight w:val="none"/>
        </w:rPr>
      </w:pPr>
      <w:r>
        <w:rPr>
          <w:rFonts w:hint="eastAsia" w:cs="Times New Roman"/>
          <w:color w:val="auto"/>
          <w:kern w:val="0"/>
          <w:sz w:val="24"/>
          <w:szCs w:val="24"/>
          <w:highlight w:val="none"/>
          <w:lang w:val="en-US" w:eastAsia="zh-CN" w:bidi="ar"/>
        </w:rPr>
        <w:t>牛尿进入垫料中，</w:t>
      </w:r>
      <w:r>
        <w:rPr>
          <w:rFonts w:hint="default" w:ascii="Times New Roman" w:hAnsi="Times New Roman" w:eastAsia="宋体" w:cs="Times New Roman"/>
          <w:color w:val="auto"/>
          <w:kern w:val="0"/>
          <w:sz w:val="24"/>
          <w:szCs w:val="24"/>
          <w:highlight w:val="none"/>
          <w:lang w:val="en-US" w:eastAsia="zh-CN" w:bidi="ar"/>
        </w:rPr>
        <w:t>部分自然蒸发，剩余</w:t>
      </w:r>
      <w:r>
        <w:rPr>
          <w:rFonts w:hint="eastAsia" w:cs="Times New Roman"/>
          <w:color w:val="auto"/>
          <w:kern w:val="0"/>
          <w:sz w:val="24"/>
          <w:szCs w:val="24"/>
          <w:highlight w:val="none"/>
          <w:lang w:val="en-US" w:eastAsia="zh-CN" w:bidi="ar"/>
        </w:rPr>
        <w:t>部分与垫料</w:t>
      </w:r>
      <w:r>
        <w:rPr>
          <w:rFonts w:hint="default" w:ascii="Times New Roman" w:hAnsi="Times New Roman" w:eastAsia="宋体" w:cs="Times New Roman"/>
          <w:color w:val="auto"/>
          <w:kern w:val="0"/>
          <w:sz w:val="24"/>
          <w:szCs w:val="24"/>
          <w:highlight w:val="none"/>
          <w:lang w:val="en-US" w:eastAsia="zh-CN" w:bidi="ar"/>
        </w:rPr>
        <w:t>一起进入</w:t>
      </w:r>
      <w:r>
        <w:rPr>
          <w:rFonts w:hint="default" w:ascii="Times New Roman" w:hAnsi="Times New Roman" w:cs="Times New Roman"/>
          <w:color w:val="auto"/>
          <w:kern w:val="0"/>
          <w:sz w:val="24"/>
          <w:szCs w:val="24"/>
          <w:highlight w:val="none"/>
          <w:lang w:val="en-US" w:eastAsia="zh-CN" w:bidi="ar"/>
        </w:rPr>
        <w:t>堆粪场</w:t>
      </w:r>
      <w:r>
        <w:rPr>
          <w:rFonts w:hint="default" w:ascii="Times New Roman" w:hAnsi="Times New Roman" w:eastAsia="宋体" w:cs="Times New Roman"/>
          <w:color w:val="auto"/>
          <w:kern w:val="0"/>
          <w:sz w:val="24"/>
          <w:szCs w:val="24"/>
          <w:highlight w:val="none"/>
          <w:lang w:val="en-US" w:eastAsia="zh-CN" w:bidi="ar"/>
        </w:rPr>
        <w:t>，不外排</w:t>
      </w:r>
      <w:r>
        <w:rPr>
          <w:rFonts w:hint="default" w:ascii="Times New Roman" w:hAnsi="Times New Roman" w:cs="Times New Roman"/>
          <w:color w:val="auto"/>
          <w:sz w:val="24"/>
          <w:szCs w:val="22"/>
          <w:highlight w:val="none"/>
        </w:rPr>
        <w:t>。</w:t>
      </w:r>
      <w:r>
        <w:rPr>
          <w:rFonts w:hint="eastAsia" w:cs="Times New Roman"/>
          <w:color w:val="auto"/>
          <w:sz w:val="24"/>
          <w:szCs w:val="22"/>
          <w:highlight w:val="none"/>
          <w:lang w:eastAsia="zh-CN"/>
        </w:rPr>
        <w:t>挤奶厅设备和地面清洗废水</w:t>
      </w:r>
      <w:r>
        <w:rPr>
          <w:rFonts w:hint="default" w:ascii="Times New Roman" w:hAnsi="Times New Roman" w:cs="Times New Roman"/>
          <w:color w:val="auto"/>
          <w:sz w:val="24"/>
          <w:szCs w:val="22"/>
          <w:highlight w:val="none"/>
          <w:lang w:eastAsia="zh-CN"/>
        </w:rPr>
        <w:t>及</w:t>
      </w:r>
      <w:r>
        <w:rPr>
          <w:rFonts w:hint="default" w:ascii="Times New Roman" w:hAnsi="Times New Roman" w:cs="Times New Roman"/>
          <w:color w:val="auto"/>
          <w:sz w:val="24"/>
          <w:szCs w:val="22"/>
          <w:highlight w:val="none"/>
        </w:rPr>
        <w:t>生活污水排入</w:t>
      </w:r>
      <w:r>
        <w:rPr>
          <w:rFonts w:hint="default" w:ascii="Times New Roman" w:hAnsi="Times New Roman" w:cs="Times New Roman"/>
          <w:color w:val="auto"/>
          <w:sz w:val="24"/>
          <w:szCs w:val="22"/>
          <w:highlight w:val="none"/>
          <w:lang w:eastAsia="zh-CN"/>
        </w:rPr>
        <w:t>集污池</w:t>
      </w:r>
      <w:r>
        <w:rPr>
          <w:rFonts w:hint="default" w:ascii="Times New Roman" w:hAnsi="Times New Roman" w:cs="Times New Roman"/>
          <w:color w:val="auto"/>
          <w:sz w:val="24"/>
          <w:szCs w:val="22"/>
          <w:highlight w:val="none"/>
        </w:rPr>
        <w:t>定期清掏。</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（3）固体废物防治措施</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本项目圈舍</w:t>
      </w:r>
      <w:r>
        <w:rPr>
          <w:rFonts w:hint="default" w:ascii="Times New Roman" w:hAnsi="Times New Roman" w:cs="Times New Roman"/>
          <w:color w:val="auto"/>
          <w:highlight w:val="none"/>
          <w:lang w:eastAsia="zh-CN"/>
        </w:rPr>
        <w:t>粪污</w:t>
      </w:r>
      <w:r>
        <w:rPr>
          <w:rFonts w:hint="default" w:ascii="Times New Roman" w:hAnsi="Times New Roman" w:cs="Times New Roman"/>
          <w:color w:val="auto"/>
          <w:highlight w:val="none"/>
        </w:rPr>
        <w:t>采用干清粪，</w:t>
      </w:r>
      <w:r>
        <w:rPr>
          <w:rFonts w:hint="default" w:ascii="Times New Roman" w:hAnsi="Times New Roman" w:cs="Times New Roman"/>
          <w:color w:val="auto"/>
          <w:highlight w:val="none"/>
          <w:lang w:eastAsia="zh-CN"/>
        </w:rPr>
        <w:t>粪污</w:t>
      </w:r>
      <w:r>
        <w:rPr>
          <w:rFonts w:hint="default" w:ascii="Times New Roman" w:hAnsi="Times New Roman" w:cs="Times New Roman"/>
          <w:color w:val="auto"/>
          <w:highlight w:val="none"/>
        </w:rPr>
        <w:t>经堆肥处理后</w:t>
      </w:r>
      <w:r>
        <w:rPr>
          <w:rFonts w:hint="eastAsia" w:cs="Times New Roman"/>
          <w:color w:val="auto"/>
          <w:kern w:val="0"/>
          <w:sz w:val="24"/>
          <w:szCs w:val="24"/>
          <w:highlight w:val="none"/>
          <w:lang w:val="en-US" w:eastAsia="zh-CN" w:bidi="ar"/>
        </w:rPr>
        <w:t>用于垫料及</w:t>
      </w:r>
      <w:r>
        <w:rPr>
          <w:rFonts w:hint="default" w:ascii="Times New Roman" w:hAnsi="Times New Roman" w:cs="Times New Roman"/>
          <w:color w:val="auto"/>
          <w:highlight w:val="none"/>
          <w:lang w:eastAsia="zh-CN"/>
        </w:rPr>
        <w:t>还田利用</w:t>
      </w:r>
      <w:r>
        <w:rPr>
          <w:rFonts w:hint="default" w:ascii="Times New Roman" w:hAnsi="Times New Roman" w:cs="Times New Roman"/>
          <w:color w:val="auto"/>
          <w:highlight w:val="none"/>
        </w:rPr>
        <w:t>。</w:t>
      </w:r>
    </w:p>
    <w:p>
      <w:pPr>
        <w:pageBreakBefore w:val="0"/>
        <w:wordWrap/>
        <w:bidi w:val="0"/>
        <w:adjustRightInd w:val="0"/>
        <w:ind w:left="0" w:leftChars="0" w:right="0" w:rightChars="0" w:firstLine="480"/>
        <w:rPr>
          <w:rFonts w:hint="default" w:ascii="Times New Roman" w:hAnsi="Times New Roman" w:cs="Times New Roman"/>
          <w:color w:val="auto"/>
          <w:spacing w:val="-6"/>
          <w:sz w:val="24"/>
          <w:highlight w:val="none"/>
        </w:rPr>
      </w:pPr>
      <w:r>
        <w:rPr>
          <w:rFonts w:hint="default" w:ascii="Times New Roman" w:hAnsi="Times New Roman" w:cs="Times New Roman"/>
          <w:color w:val="auto"/>
          <w:spacing w:val="-6"/>
          <w:sz w:val="24"/>
          <w:highlight w:val="none"/>
        </w:rPr>
        <w:t>本项目病死牛尸体</w:t>
      </w:r>
      <w:r>
        <w:rPr>
          <w:rFonts w:hint="default" w:ascii="Times New Roman" w:hAnsi="Times New Roman" w:eastAsia="宋体" w:cs="Times New Roman"/>
          <w:color w:val="auto"/>
          <w:highlight w:val="none"/>
        </w:rPr>
        <w:t>由</w:t>
      </w:r>
      <w:r>
        <w:rPr>
          <w:rFonts w:hint="default" w:ascii="Times New Roman" w:hAnsi="Times New Roman" w:cs="Times New Roman"/>
          <w:color w:val="auto"/>
          <w:highlight w:val="none"/>
          <w:lang w:val="en-US" w:eastAsia="zh-CN"/>
        </w:rPr>
        <w:t>安全填埋井填埋</w:t>
      </w:r>
      <w:r>
        <w:rPr>
          <w:rFonts w:hint="default" w:ascii="Times New Roman" w:hAnsi="Times New Roman" w:cs="Times New Roman"/>
          <w:color w:val="auto"/>
          <w:spacing w:val="-6"/>
          <w:sz w:val="24"/>
          <w:highlight w:val="none"/>
        </w:rPr>
        <w:t>。</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医疗废物按照《医疗废物集中处置技术规范（试行）》规定，设置医疗废物暂存间，对医疗废弃物进行分类暂存，按期交由有处置资质的单位进行无害化处理；对于存在传染性的医疗固废，必须按照《医疗废物处理处置污染控制标准》（GB 39707-2020）</w:t>
      </w:r>
      <w:r>
        <w:rPr>
          <w:rFonts w:hint="eastAsia" w:cs="Times New Roman"/>
          <w:color w:val="auto"/>
          <w:highlight w:val="none"/>
          <w:lang w:eastAsia="zh-CN"/>
        </w:rPr>
        <w:t>、</w:t>
      </w:r>
      <w:r>
        <w:rPr>
          <w:rFonts w:hint="default" w:ascii="Times New Roman" w:hAnsi="Times New Roman" w:cs="Times New Roman"/>
          <w:color w:val="auto"/>
          <w:highlight w:val="none"/>
        </w:rPr>
        <w:t>《危险废物收集、贮存、运输技术规范》（GB18597-20</w:t>
      </w:r>
      <w:r>
        <w:rPr>
          <w:rFonts w:hint="default" w:ascii="Times New Roman" w:hAnsi="Times New Roman" w:cs="Times New Roman"/>
          <w:color w:val="auto"/>
          <w:highlight w:val="none"/>
          <w:lang w:val="en-US" w:eastAsia="zh-CN"/>
        </w:rPr>
        <w:t>23</w:t>
      </w:r>
      <w:r>
        <w:rPr>
          <w:rFonts w:hint="default" w:ascii="Times New Roman" w:hAnsi="Times New Roman" w:cs="Times New Roman"/>
          <w:color w:val="auto"/>
          <w:highlight w:val="none"/>
        </w:rPr>
        <w:t>）进行收集、储存和管理，最终交由有资质单位处置。</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（4）噪声污染防治措施</w:t>
      </w:r>
    </w:p>
    <w:p>
      <w:pPr>
        <w:pageBreakBefore w:val="0"/>
        <w:wordWrap/>
        <w:bidi w:val="0"/>
        <w:adjustRightInd w:val="0"/>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优先选用低噪声设备，减振隔声措施。</w:t>
      </w:r>
    </w:p>
    <w:p>
      <w:pPr>
        <w:pStyle w:val="17"/>
        <w:pageBreakBefore w:val="0"/>
        <w:wordWrap/>
        <w:bidi w:val="0"/>
        <w:adjustRightInd w:val="0"/>
        <w:ind w:left="0" w:leftChars="0" w:right="0" w:rightChars="0"/>
        <w:rPr>
          <w:rFonts w:hint="default" w:ascii="Times New Roman" w:hAnsi="Times New Roman" w:eastAsia="宋体" w:cs="Times New Roman"/>
          <w:color w:val="auto"/>
          <w:kern w:val="0"/>
          <w:sz w:val="24"/>
          <w:szCs w:val="24"/>
          <w:highlight w:val="none"/>
          <w:lang w:val="en-US" w:eastAsia="zh-CN" w:bidi="ar"/>
        </w:rPr>
      </w:pPr>
      <w:bookmarkStart w:id="525" w:name="_Toc27281"/>
      <w:r>
        <w:rPr>
          <w:rFonts w:hint="default" w:ascii="Times New Roman" w:hAnsi="Times New Roman" w:eastAsia="宋体" w:cs="Times New Roman"/>
          <w:color w:val="auto"/>
          <w:kern w:val="0"/>
          <w:sz w:val="24"/>
          <w:szCs w:val="24"/>
          <w:highlight w:val="none"/>
          <w:lang w:val="en-US" w:eastAsia="zh-CN" w:bidi="ar"/>
        </w:rPr>
        <w:t>（5）地下水及土壤</w:t>
      </w:r>
      <w:r>
        <w:rPr>
          <w:rFonts w:hint="default" w:ascii="Times New Roman" w:hAnsi="Times New Roman" w:cs="Times New Roman"/>
          <w:color w:val="auto"/>
          <w:highlight w:val="none"/>
        </w:rPr>
        <w:t>污染防治措施</w:t>
      </w:r>
    </w:p>
    <w:p>
      <w:pPr>
        <w:pageBreakBefore w:val="0"/>
        <w:wordWrap/>
        <w:bidi w:val="0"/>
        <w:adjustRightInd w:val="0"/>
        <w:ind w:left="0" w:leftChars="0" w:right="0" w:rightChars="0" w:firstLine="480"/>
        <w:rPr>
          <w:rFonts w:hint="default" w:ascii="Times New Roman" w:hAnsi="Times New Roman" w:cs="Times New Roman"/>
          <w:color w:val="auto"/>
          <w:spacing w:val="-6"/>
          <w:sz w:val="24"/>
          <w:highlight w:val="none"/>
        </w:rPr>
      </w:pPr>
      <w:r>
        <w:rPr>
          <w:rFonts w:hint="default" w:ascii="Times New Roman" w:hAnsi="Times New Roman" w:cs="Times New Roman"/>
          <w:color w:val="auto"/>
          <w:spacing w:val="-6"/>
          <w:sz w:val="24"/>
          <w:highlight w:val="none"/>
        </w:rPr>
        <w:t>对</w:t>
      </w:r>
      <w:r>
        <w:rPr>
          <w:rFonts w:hint="default" w:ascii="Times New Roman" w:hAnsi="Times New Roman" w:cs="Times New Roman"/>
          <w:color w:val="auto"/>
          <w:spacing w:val="-6"/>
          <w:sz w:val="24"/>
          <w:highlight w:val="none"/>
          <w:lang w:eastAsia="zh-CN"/>
        </w:rPr>
        <w:t>堆粪场</w:t>
      </w:r>
      <w:r>
        <w:rPr>
          <w:rFonts w:hint="default" w:ascii="Times New Roman" w:hAnsi="Times New Roman" w:cs="Times New Roman"/>
          <w:color w:val="auto"/>
          <w:spacing w:val="-6"/>
          <w:sz w:val="24"/>
          <w:highlight w:val="none"/>
        </w:rPr>
        <w:t>、医疗废物暂存间</w:t>
      </w:r>
      <w:r>
        <w:rPr>
          <w:rFonts w:hint="default" w:ascii="Times New Roman" w:hAnsi="Times New Roman" w:cs="Times New Roman"/>
          <w:color w:val="auto"/>
          <w:spacing w:val="-6"/>
          <w:sz w:val="24"/>
          <w:highlight w:val="none"/>
          <w:lang w:eastAsia="zh-CN"/>
        </w:rPr>
        <w:t>、</w:t>
      </w:r>
      <w:r>
        <w:rPr>
          <w:rFonts w:hint="default" w:ascii="Times New Roman" w:hAnsi="Times New Roman" w:cs="Times New Roman"/>
          <w:color w:val="auto"/>
          <w:spacing w:val="-6"/>
          <w:sz w:val="24"/>
          <w:highlight w:val="none"/>
          <w:lang w:val="en-US" w:eastAsia="zh-CN"/>
        </w:rPr>
        <w:t>青贮窖</w:t>
      </w:r>
      <w:r>
        <w:rPr>
          <w:rFonts w:hint="default" w:ascii="Times New Roman" w:hAnsi="Times New Roman" w:cs="Times New Roman"/>
          <w:color w:val="auto"/>
          <w:spacing w:val="-6"/>
          <w:sz w:val="24"/>
          <w:highlight w:val="none"/>
        </w:rPr>
        <w:t>、</w:t>
      </w:r>
      <w:r>
        <w:rPr>
          <w:rFonts w:hint="default" w:ascii="Times New Roman" w:hAnsi="Times New Roman" w:cs="Times New Roman"/>
          <w:color w:val="auto"/>
          <w:spacing w:val="-6"/>
          <w:sz w:val="24"/>
          <w:highlight w:val="none"/>
          <w:lang w:val="en-US" w:eastAsia="zh-CN"/>
        </w:rPr>
        <w:t>牛舍</w:t>
      </w:r>
      <w:r>
        <w:rPr>
          <w:rFonts w:hint="default" w:ascii="Times New Roman" w:hAnsi="Times New Roman" w:cs="Times New Roman"/>
          <w:color w:val="auto"/>
          <w:spacing w:val="-6"/>
          <w:sz w:val="24"/>
          <w:highlight w:val="none"/>
        </w:rPr>
        <w:t>等采取</w:t>
      </w:r>
      <w:r>
        <w:rPr>
          <w:rFonts w:hint="default" w:ascii="Times New Roman" w:hAnsi="Times New Roman" w:cs="Times New Roman"/>
          <w:color w:val="auto"/>
          <w:spacing w:val="-6"/>
          <w:sz w:val="24"/>
          <w:highlight w:val="none"/>
          <w:lang w:val="en-US" w:eastAsia="zh-CN"/>
        </w:rPr>
        <w:t>分区</w:t>
      </w:r>
      <w:r>
        <w:rPr>
          <w:rFonts w:hint="default" w:ascii="Times New Roman" w:hAnsi="Times New Roman" w:cs="Times New Roman"/>
          <w:color w:val="auto"/>
          <w:spacing w:val="-6"/>
          <w:sz w:val="24"/>
          <w:highlight w:val="none"/>
        </w:rPr>
        <w:t>防渗措施。</w:t>
      </w:r>
    </w:p>
    <w:bookmarkEnd w:id="514"/>
    <w:bookmarkEnd w:id="515"/>
    <w:bookmarkEnd w:id="516"/>
    <w:bookmarkEnd w:id="517"/>
    <w:bookmarkEnd w:id="518"/>
    <w:bookmarkEnd w:id="519"/>
    <w:bookmarkEnd w:id="525"/>
    <w:p>
      <w:pPr>
        <w:pStyle w:val="5"/>
        <w:pageBreakBefore w:val="0"/>
        <w:wordWrap/>
        <w:bidi w:val="0"/>
        <w:adjustRightInd w:val="0"/>
        <w:ind w:left="0" w:leftChars="0" w:right="0" w:rightChars="0" w:firstLine="0" w:firstLineChars="0"/>
        <w:rPr>
          <w:rFonts w:hint="default" w:ascii="Times New Roman" w:hAnsi="Times New Roman" w:eastAsia="宋体" w:cs="Times New Roman"/>
          <w:color w:val="auto"/>
          <w:highlight w:val="none"/>
          <w:lang w:val="en-US" w:eastAsia="zh-CN"/>
        </w:rPr>
      </w:pPr>
      <w:bookmarkStart w:id="526" w:name="_Toc31485"/>
      <w:bookmarkStart w:id="527" w:name="_Toc22782"/>
      <w:bookmarkStart w:id="528" w:name="_Toc11404_WPSOffice_Level3"/>
      <w:bookmarkStart w:id="529" w:name="_Toc521585926"/>
      <w:bookmarkStart w:id="530" w:name="_Toc32333_WPSOffice_Level3"/>
      <w:bookmarkStart w:id="531" w:name="_Toc27177_WPSOffice_Level3"/>
      <w:r>
        <w:rPr>
          <w:rFonts w:hint="default" w:ascii="Times New Roman" w:hAnsi="Times New Roman" w:cs="Times New Roman"/>
          <w:color w:val="auto"/>
          <w:highlight w:val="none"/>
          <w:lang w:val="en-US" w:eastAsia="zh-CN"/>
        </w:rPr>
        <w:t>环境影响经济损益分析</w:t>
      </w:r>
    </w:p>
    <w:p>
      <w:pPr>
        <w:pStyle w:val="90"/>
        <w:pageBreakBefore w:val="0"/>
        <w:wordWrap/>
        <w:autoSpaceDE w:val="0"/>
        <w:autoSpaceDN w:val="0"/>
        <w:bidi w:val="0"/>
        <w:adjustRightInd w:val="0"/>
        <w:ind w:left="0" w:leftChars="0" w:right="0" w:rightChars="0" w:firstLine="480" w:firstLineChars="200"/>
        <w:jc w:val="left"/>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本项目对废气、</w:t>
      </w:r>
      <w:r>
        <w:rPr>
          <w:rFonts w:hint="default" w:ascii="Times New Roman" w:hAnsi="Times New Roman" w:cs="Times New Roman"/>
          <w:color w:val="auto"/>
          <w:highlight w:val="none"/>
          <w:lang w:val="en-US" w:eastAsia="zh-CN"/>
        </w:rPr>
        <w:t>废水、</w:t>
      </w:r>
      <w:r>
        <w:rPr>
          <w:rFonts w:hint="default" w:ascii="Times New Roman" w:hAnsi="Times New Roman" w:cs="Times New Roman"/>
          <w:color w:val="auto"/>
          <w:highlight w:val="none"/>
        </w:rPr>
        <w:t>噪声和</w:t>
      </w:r>
      <w:r>
        <w:rPr>
          <w:rFonts w:hint="default" w:ascii="Times New Roman" w:hAnsi="Times New Roman" w:cs="Times New Roman"/>
          <w:color w:val="auto"/>
          <w:highlight w:val="none"/>
          <w:lang w:val="en-US" w:eastAsia="zh-CN"/>
        </w:rPr>
        <w:t>固体废物</w:t>
      </w:r>
      <w:r>
        <w:rPr>
          <w:rFonts w:hint="default" w:ascii="Times New Roman" w:hAnsi="Times New Roman" w:cs="Times New Roman"/>
          <w:color w:val="auto"/>
          <w:highlight w:val="none"/>
        </w:rPr>
        <w:t>均采取了有效的治理及处置措施，从而使污染得到了有效的控制，不仅减少了污染物的排放，也减轻了对区域环境的影响。通过预测结果也可以看出，项目投产后，污染物的排放对环境的不利影响较小。从环境经济角度来分析，本项目建设是可行的</w:t>
      </w:r>
      <w:r>
        <w:rPr>
          <w:rFonts w:hint="default" w:ascii="Times New Roman" w:hAnsi="Times New Roman" w:cs="Times New Roman"/>
          <w:color w:val="auto"/>
          <w:highlight w:val="none"/>
          <w:lang w:eastAsia="zh-CN"/>
        </w:rPr>
        <w:t>。</w:t>
      </w:r>
    </w:p>
    <w:p>
      <w:pPr>
        <w:pStyle w:val="5"/>
        <w:pageBreakBefore w:val="0"/>
        <w:wordWrap/>
        <w:bidi w:val="0"/>
        <w:adjustRightInd w:val="0"/>
        <w:ind w:left="0" w:leftChars="0" w:right="0" w:rightChars="0" w:firstLine="0" w:firstLineChars="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环境管理与监测计划</w:t>
      </w:r>
    </w:p>
    <w:p>
      <w:pPr>
        <w:pStyle w:val="90"/>
        <w:pageBreakBefore w:val="0"/>
        <w:wordWrap/>
        <w:autoSpaceDE w:val="0"/>
        <w:autoSpaceDN w:val="0"/>
        <w:bidi w:val="0"/>
        <w:adjustRightInd w:val="0"/>
        <w:ind w:left="0" w:leftChars="0" w:right="0" w:rightChars="0" w:firstLine="480" w:firstLineChars="20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实施后，企业需定期进行例行监测，通过建立环境管理体系，规范企业管理、落实环境管理职责，确保各项环保设施的正常运转；通过定期对环保设施及废气、噪声等污染源情况进行监测，做到达标排放，同时对废气、废水、噪声防治设施进行监督检查，保证正常运行。</w:t>
      </w:r>
    </w:p>
    <w:p>
      <w:pPr>
        <w:pStyle w:val="90"/>
        <w:pageBreakBefore w:val="0"/>
        <w:wordWrap/>
        <w:autoSpaceDE w:val="0"/>
        <w:autoSpaceDN w:val="0"/>
        <w:bidi w:val="0"/>
        <w:adjustRightInd w:val="0"/>
        <w:ind w:left="0" w:leftChars="0" w:right="0" w:rightChars="0" w:firstLine="480" w:firstLineChars="20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此外，本项目建立地下水环境跟踪监测体系，根据监测要求，建设单位需定期进行地下水环境影响跟踪监测，及时掌控项目建设对地下水的影响。</w:t>
      </w:r>
    </w:p>
    <w:bookmarkEnd w:id="526"/>
    <w:bookmarkEnd w:id="527"/>
    <w:bookmarkEnd w:id="528"/>
    <w:bookmarkEnd w:id="529"/>
    <w:bookmarkEnd w:id="530"/>
    <w:bookmarkEnd w:id="531"/>
    <w:p>
      <w:pPr>
        <w:pStyle w:val="5"/>
        <w:pageBreakBefore w:val="0"/>
        <w:wordWrap/>
        <w:bidi w:val="0"/>
        <w:adjustRightInd w:val="0"/>
        <w:ind w:left="0" w:leftChars="0" w:right="0" w:rightChars="0" w:firstLine="0" w:firstLineChars="0"/>
        <w:jc w:val="left"/>
        <w:rPr>
          <w:rFonts w:hint="default" w:ascii="Times New Roman" w:hAnsi="Times New Roman" w:cs="Times New Roman"/>
          <w:color w:val="auto"/>
          <w:highlight w:val="none"/>
        </w:rPr>
      </w:pPr>
      <w:bookmarkStart w:id="532" w:name="_Toc19552"/>
      <w:bookmarkStart w:id="533" w:name="_Toc11512_WPSOffice_Level3"/>
      <w:bookmarkStart w:id="534" w:name="_Toc21890"/>
      <w:bookmarkStart w:id="535" w:name="_Toc17168_WPSOffice_Level3"/>
      <w:bookmarkStart w:id="536" w:name="_Toc6655"/>
      <w:bookmarkStart w:id="537" w:name="_Toc17434_WPSOffice_Level3"/>
      <w:bookmarkStart w:id="538" w:name="_Toc26649"/>
      <w:bookmarkStart w:id="539" w:name="_Toc521585927"/>
      <w:r>
        <w:rPr>
          <w:rFonts w:hint="default" w:ascii="Times New Roman" w:hAnsi="Times New Roman" w:cs="Times New Roman"/>
          <w:color w:val="auto"/>
          <w:highlight w:val="none"/>
        </w:rPr>
        <w:t>环境风险</w:t>
      </w:r>
      <w:bookmarkEnd w:id="532"/>
      <w:bookmarkEnd w:id="533"/>
      <w:bookmarkEnd w:id="534"/>
      <w:bookmarkEnd w:id="535"/>
      <w:bookmarkEnd w:id="536"/>
      <w:bookmarkEnd w:id="537"/>
      <w:bookmarkEnd w:id="538"/>
      <w:bookmarkEnd w:id="539"/>
    </w:p>
    <w:p>
      <w:pPr>
        <w:pageBreakBefore w:val="0"/>
        <w:wordWrap/>
        <w:bidi w:val="0"/>
        <w:adjustRightInd w:val="0"/>
        <w:ind w:left="0" w:leftChars="0" w:right="0" w:rightChars="0" w:firstLine="480"/>
        <w:jc w:val="left"/>
        <w:rPr>
          <w:rFonts w:hint="default" w:ascii="Times New Roman" w:hAnsi="Times New Roman" w:cs="Times New Roman"/>
          <w:color w:val="auto"/>
          <w:highlight w:val="none"/>
        </w:rPr>
      </w:pPr>
      <w:bookmarkStart w:id="540" w:name="_Toc22920_WPSOffice_Level3"/>
      <w:bookmarkStart w:id="541" w:name="_Toc8211"/>
      <w:bookmarkStart w:id="542" w:name="_Toc21963_WPSOffice_Level3"/>
      <w:bookmarkStart w:id="543" w:name="_Toc521585928"/>
      <w:bookmarkStart w:id="544" w:name="_Toc15485_WPSOffice_Level3"/>
      <w:bookmarkStart w:id="545" w:name="_Toc16481"/>
      <w:bookmarkStart w:id="546" w:name="_Toc4623"/>
      <w:r>
        <w:rPr>
          <w:rFonts w:hint="default" w:ascii="Times New Roman" w:hAnsi="Times New Roman" w:cs="Times New Roman"/>
          <w:color w:val="auto"/>
          <w:highlight w:val="none"/>
        </w:rPr>
        <w:t>本项目在工程设计上对场区的风险防范考虑较周全，具有较好的针对性和可操作性，只要在建设施工和运营过程中切实落实和严格执行各项风险防范措施，加强工作人员培训提高操作人员的素质，增加风险应急处理能力，能够将工程的环境风险减低到最低程度。</w:t>
      </w:r>
    </w:p>
    <w:p>
      <w:pPr>
        <w:pStyle w:val="5"/>
        <w:pageBreakBefore w:val="0"/>
        <w:wordWrap/>
        <w:bidi w:val="0"/>
        <w:adjustRightInd w:val="0"/>
        <w:ind w:left="0" w:leftChars="0" w:right="0" w:rightChars="0" w:firstLine="0" w:firstLineChars="0"/>
        <w:jc w:val="left"/>
        <w:rPr>
          <w:rFonts w:hint="default" w:ascii="Times New Roman" w:hAnsi="Times New Roman" w:cs="Times New Roman"/>
          <w:color w:val="auto"/>
          <w:highlight w:val="none"/>
        </w:rPr>
      </w:pPr>
      <w:bookmarkStart w:id="547" w:name="_Toc27301"/>
      <w:r>
        <w:rPr>
          <w:rFonts w:hint="default" w:ascii="Times New Roman" w:hAnsi="Times New Roman" w:cs="Times New Roman"/>
          <w:color w:val="auto"/>
          <w:highlight w:val="none"/>
        </w:rPr>
        <w:t>结论</w:t>
      </w:r>
      <w:bookmarkEnd w:id="540"/>
      <w:bookmarkEnd w:id="541"/>
      <w:bookmarkEnd w:id="542"/>
      <w:bookmarkEnd w:id="543"/>
      <w:bookmarkEnd w:id="544"/>
      <w:bookmarkEnd w:id="545"/>
      <w:bookmarkEnd w:id="546"/>
      <w:bookmarkEnd w:id="547"/>
    </w:p>
    <w:p>
      <w:pPr>
        <w:pageBreakBefore w:val="0"/>
        <w:wordWrap/>
        <w:bidi w:val="0"/>
        <w:adjustRightInd w:val="0"/>
        <w:ind w:left="0" w:leftChars="0" w:right="0" w:rightChars="0"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项目的建设符合当前国家产业政策，符合土地利用规划，选址可行；工艺合理，工程的建设符合有关规定和要求；在采取相应的污染防治措施以及充分落实本次环评提出的各项治理措施后，可最大限度的减少污染物排放，避免对周围环境产生较大的不利影响。本项目具有明显的社会、经济效益。评价认为，从满足当地环境质量目标要求的角度分析，该项目的实施是可行的。</w:t>
      </w:r>
    </w:p>
    <w:p>
      <w:pPr>
        <w:pStyle w:val="4"/>
        <w:pageBreakBefore w:val="0"/>
        <w:wordWrap/>
        <w:bidi w:val="0"/>
        <w:adjustRightInd w:val="0"/>
        <w:ind w:left="0" w:leftChars="0" w:right="0" w:rightChars="0" w:firstLine="0" w:firstLineChars="0"/>
        <w:jc w:val="left"/>
        <w:rPr>
          <w:rFonts w:hint="default" w:ascii="Times New Roman" w:hAnsi="Times New Roman" w:cs="Times New Roman"/>
          <w:color w:val="auto"/>
          <w:highlight w:val="none"/>
        </w:rPr>
      </w:pPr>
      <w:bookmarkStart w:id="548" w:name="_Toc521585929"/>
      <w:bookmarkStart w:id="549" w:name="_Toc32467"/>
      <w:bookmarkStart w:id="550" w:name="_Toc7559"/>
      <w:bookmarkStart w:id="551" w:name="_Toc27728"/>
      <w:bookmarkStart w:id="552" w:name="_Toc21574"/>
      <w:bookmarkStart w:id="553" w:name="_Toc23463"/>
      <w:bookmarkStart w:id="554" w:name="_Toc17778"/>
      <w:bookmarkStart w:id="555" w:name="_Toc18660"/>
      <w:bookmarkStart w:id="556" w:name="_Toc22296"/>
      <w:bookmarkStart w:id="557" w:name="_Toc15239_WPSOffice_Level2"/>
      <w:r>
        <w:rPr>
          <w:rFonts w:hint="default" w:ascii="Times New Roman" w:hAnsi="Times New Roman" w:cs="Times New Roman"/>
          <w:color w:val="auto"/>
          <w:highlight w:val="none"/>
        </w:rPr>
        <w:t>建议</w:t>
      </w:r>
      <w:bookmarkEnd w:id="548"/>
      <w:bookmarkEnd w:id="549"/>
      <w:bookmarkEnd w:id="550"/>
      <w:bookmarkEnd w:id="551"/>
      <w:bookmarkEnd w:id="552"/>
      <w:bookmarkEnd w:id="553"/>
      <w:bookmarkEnd w:id="554"/>
      <w:bookmarkEnd w:id="555"/>
      <w:bookmarkEnd w:id="556"/>
      <w:bookmarkEnd w:id="557"/>
    </w:p>
    <w:bookmarkEnd w:id="492"/>
    <w:bookmarkEnd w:id="493"/>
    <w:bookmarkEnd w:id="494"/>
    <w:p>
      <w:pPr>
        <w:pageBreakBefore w:val="0"/>
        <w:wordWrap/>
        <w:bidi w:val="0"/>
        <w:adjustRightInd w:val="0"/>
        <w:ind w:left="0" w:leftChars="0" w:right="0" w:rightChars="0" w:firstLine="48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为确保项目建设及运行过程中对周围环境的污染影响最小化，提出如下建议。</w:t>
      </w:r>
    </w:p>
    <w:p>
      <w:pPr>
        <w:pageBreakBefore w:val="0"/>
        <w:wordWrap/>
        <w:bidi w:val="0"/>
        <w:adjustRightInd w:val="0"/>
        <w:ind w:left="0" w:leftChars="0" w:right="0" w:rightChars="0" w:firstLine="48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（1）应落实各项环境污染治理措施</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保证各项环保措施的有效实施</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严格执行</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三同时</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制度</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落实项目审批和验收</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确保</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三废</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污染物减量化、无害化、资源化和达标排放以及养殖场</w:t>
      </w:r>
      <w:r>
        <w:rPr>
          <w:rFonts w:hint="default" w:ascii="Times New Roman" w:hAnsi="Times New Roman" w:cs="Times New Roman"/>
          <w:color w:val="auto"/>
          <w:highlight w:val="none"/>
          <w:lang w:eastAsia="zh-CN"/>
        </w:rPr>
        <w:t>场界</w:t>
      </w:r>
      <w:r>
        <w:rPr>
          <w:rFonts w:hint="default" w:ascii="Times New Roman" w:hAnsi="Times New Roman" w:eastAsia="宋体" w:cs="Times New Roman"/>
          <w:color w:val="auto"/>
          <w:highlight w:val="none"/>
        </w:rPr>
        <w:t>噪声达标</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场区内生态环境保护</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实现养殖场生态化运行与可持续发展。</w:t>
      </w:r>
    </w:p>
    <w:p>
      <w:pPr>
        <w:pageBreakBefore w:val="0"/>
        <w:wordWrap/>
        <w:bidi w:val="0"/>
        <w:adjustRightInd w:val="0"/>
        <w:ind w:left="0" w:leftChars="0" w:right="0" w:rightChars="0" w:firstLine="480"/>
        <w:jc w:val="both"/>
        <w:rPr>
          <w:rFonts w:hint="default" w:ascii="Times New Roman" w:hAnsi="Times New Roman" w:eastAsia="宋体" w:cs="Times New Roman"/>
          <w:color w:val="auto"/>
          <w:highlight w:val="none"/>
        </w:rPr>
      </w:pPr>
      <w:bookmarkStart w:id="558" w:name="bookmark868"/>
      <w:bookmarkEnd w:id="558"/>
      <w:r>
        <w:rPr>
          <w:rFonts w:hint="default" w:ascii="Times New Roman" w:hAnsi="Times New Roman" w:eastAsia="宋体" w:cs="Times New Roman"/>
          <w:color w:val="auto"/>
          <w:highlight w:val="none"/>
        </w:rPr>
        <w:t>（2）</w:t>
      </w:r>
      <w:bookmarkStart w:id="559" w:name="bookmark869"/>
      <w:bookmarkEnd w:id="559"/>
      <w:r>
        <w:rPr>
          <w:rFonts w:hint="default" w:ascii="Times New Roman" w:hAnsi="Times New Roman" w:eastAsia="宋体" w:cs="Times New Roman"/>
          <w:color w:val="auto"/>
          <w:highlight w:val="none"/>
        </w:rPr>
        <w:t>加强生产管理和日常維护工作</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保证项目的安全运行</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提高清洁生产的水平</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不断改进各种节能、节水措施。</w:t>
      </w:r>
    </w:p>
    <w:p>
      <w:pPr>
        <w:pageBreakBefore w:val="0"/>
        <w:wordWrap/>
        <w:bidi w:val="0"/>
        <w:adjustRightInd w:val="0"/>
        <w:ind w:left="0" w:leftChars="0" w:right="0" w:rightChars="0" w:firstLine="48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w:t>
      </w:r>
      <w:r>
        <w:rPr>
          <w:rFonts w:hint="default" w:ascii="Times New Roman" w:hAnsi="Times New Roman" w:eastAsia="宋体" w:cs="Times New Roman"/>
          <w:color w:val="auto"/>
          <w:spacing w:val="-6"/>
          <w:sz w:val="24"/>
          <w:highlight w:val="none"/>
        </w:rPr>
        <w:t>落实固体废物的分类放置</w:t>
      </w:r>
      <w:r>
        <w:rPr>
          <w:rFonts w:hint="default" w:ascii="Times New Roman" w:hAnsi="Times New Roman" w:eastAsia="宋体" w:cs="Times New Roman"/>
          <w:color w:val="auto"/>
          <w:spacing w:val="-6"/>
          <w:sz w:val="24"/>
          <w:highlight w:val="none"/>
          <w:lang w:eastAsia="zh-CN"/>
        </w:rPr>
        <w:t>、</w:t>
      </w:r>
      <w:r>
        <w:rPr>
          <w:rFonts w:hint="default" w:ascii="Times New Roman" w:hAnsi="Times New Roman" w:eastAsia="宋体" w:cs="Times New Roman"/>
          <w:color w:val="auto"/>
          <w:spacing w:val="-6"/>
          <w:sz w:val="24"/>
          <w:highlight w:val="none"/>
        </w:rPr>
        <w:t>处理和及时清运</w:t>
      </w:r>
      <w:r>
        <w:rPr>
          <w:rFonts w:hint="default" w:ascii="Times New Roman" w:hAnsi="Times New Roman" w:eastAsia="宋体" w:cs="Times New Roman"/>
          <w:color w:val="auto"/>
          <w:spacing w:val="-6"/>
          <w:sz w:val="24"/>
          <w:highlight w:val="none"/>
          <w:lang w:eastAsia="zh-CN"/>
        </w:rPr>
        <w:t>，</w:t>
      </w:r>
      <w:r>
        <w:rPr>
          <w:rFonts w:hint="default" w:ascii="Times New Roman" w:hAnsi="Times New Roman" w:eastAsia="宋体" w:cs="Times New Roman"/>
          <w:color w:val="auto"/>
          <w:spacing w:val="-6"/>
          <w:sz w:val="24"/>
          <w:highlight w:val="none"/>
        </w:rPr>
        <w:t>达到相应的卫生和环保要求。</w:t>
      </w:r>
    </w:p>
    <w:p>
      <w:pPr>
        <w:pageBreakBefore w:val="0"/>
        <w:wordWrap/>
        <w:bidi w:val="0"/>
        <w:adjustRightInd w:val="0"/>
        <w:ind w:left="0" w:leftChars="0" w:right="0" w:rightChars="0" w:firstLine="480"/>
        <w:jc w:val="both"/>
        <w:rPr>
          <w:rFonts w:hint="default" w:ascii="Times New Roman" w:hAnsi="Times New Roman" w:eastAsia="宋体" w:cs="Times New Roman"/>
          <w:color w:val="auto"/>
          <w:highlight w:val="none"/>
        </w:rPr>
      </w:pPr>
      <w:bookmarkStart w:id="560" w:name="bookmark871"/>
      <w:bookmarkEnd w:id="560"/>
      <w:r>
        <w:rPr>
          <w:rFonts w:hint="default" w:ascii="Times New Roman" w:hAnsi="Times New Roman" w:eastAsia="宋体" w:cs="Times New Roman"/>
          <w:color w:val="auto"/>
          <w:highlight w:val="none"/>
        </w:rPr>
        <w:t>（4）加强卫生管理</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防止疫病传播与扩散</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定期对场区进行消毒</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防止蝇</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蛆滋生</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防止病原体的传播与扩散</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场区应合理布局</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实现安全生产和无害化管理。</w:t>
      </w:r>
      <w:bookmarkStart w:id="561" w:name="bookmark872"/>
      <w:bookmarkEnd w:id="561"/>
    </w:p>
    <w:sectPr>
      <w:headerReference r:id="rId16" w:type="default"/>
      <w:pgSz w:w="11906" w:h="16838"/>
      <w:pgMar w:top="1440" w:right="1531"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Arial Black">
    <w:panose1 w:val="020B0A04020102020204"/>
    <w:charset w:val="00"/>
    <w:family w:val="swiss"/>
    <w:pitch w:val="default"/>
    <w:sig w:usb0="A00002AF" w:usb1="400078FB" w:usb2="00000000" w:usb3="00000000" w:csb0="6000009F" w:csb1="DFD70000"/>
  </w:font>
  <w:font w:name="楷体_GB2312">
    <w:altName w:val="楷体"/>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auto"/>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Helvetica">
    <w:altName w:val="Arial"/>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jc w:val="center"/>
      <w:rPr>
        <w:rStyle w:val="43"/>
      </w:rP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jc w:val="center"/>
      <w:rPr>
        <w:rStyle w:val="43"/>
      </w:rPr>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1"/>
      <w:rPr>
        <w:b/>
        <w:bCs/>
        <w:kern w:val="0"/>
        <w:szCs w:val="21"/>
      </w:rPr>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bidi w:val="0"/>
    </w:pPr>
    <w:r>
      <w:rPr>
        <w:rFonts w:hint="default"/>
        <w:lang w:val="zh-CN" w:eastAsia="zh-CN"/>
      </w:rPr>
      <w:t>塔城奶牛现代化养殖基地建设项目环境影响报告书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360"/>
    </w:pPr>
    <w:r>
      <w:rPr>
        <w:rFonts w:hint="eastAsia" w:ascii="Tahoma" w:hAnsi="Tahoma" w:cs="Tahoma"/>
        <w:lang w:eastAsia="zh-CN"/>
      </w:rPr>
      <w:t>塔城奶牛现代化养殖基地建设项目</w:t>
    </w:r>
    <w:r>
      <w:rPr>
        <w:rFonts w:hint="eastAsia"/>
      </w:rPr>
      <w:t>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360"/>
    </w:pPr>
    <w:r>
      <w:rPr>
        <w:rFonts w:hint="eastAsia"/>
      </w:rPr>
      <w:t xml:space="preserve">  </w:t>
    </w:r>
    <w:r>
      <w:rPr>
        <w:rFonts w:hint="eastAsia" w:ascii="Tahoma" w:hAnsi="Tahoma" w:cs="Tahoma"/>
        <w:lang w:eastAsia="zh-CN"/>
      </w:rPr>
      <w:t>塔城奶牛现代化养殖基地建设项目</w:t>
    </w:r>
    <w:r>
      <w:rPr>
        <w:rFonts w:hint="eastAsia"/>
      </w:rPr>
      <w:t>环境影响报告书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360"/>
    </w:pPr>
    <w:r>
      <w:rPr>
        <w:rFonts w:hint="eastAsia"/>
      </w:rPr>
      <w:t xml:space="preserve">  </w:t>
    </w:r>
    <w:r>
      <w:rPr>
        <w:rFonts w:hint="eastAsia" w:ascii="Tahoma" w:hAnsi="Tahoma" w:cs="Tahoma"/>
        <w:lang w:eastAsia="zh-CN"/>
      </w:rPr>
      <w:t>塔城奶牛现代化养殖基地建设项目</w:t>
    </w:r>
    <w:r>
      <w:rPr>
        <w:rFonts w:hint="eastAsia"/>
      </w:rPr>
      <w:t>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360"/>
    </w:pPr>
    <w:r>
      <w:rPr>
        <w:rFonts w:hint="eastAsia" w:ascii="Tahoma" w:hAnsi="Tahoma" w:cs="Tahoma"/>
        <w:lang w:eastAsia="zh-CN"/>
      </w:rPr>
      <w:t>塔城奶牛现代化养殖基地建设项目</w:t>
    </w:r>
    <w:r>
      <w:rPr>
        <w:rFonts w:hint="eastAsia"/>
      </w:rPr>
      <w:t>环境影响报告书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360"/>
    </w:pPr>
    <w:r>
      <w:rPr>
        <w:rFonts w:hint="eastAsia" w:ascii="Tahoma" w:hAnsi="Tahoma" w:cs="Tahoma"/>
        <w:lang w:eastAsia="zh-CN"/>
      </w:rPr>
      <w:t>塔城奶牛现代化养殖基地建设项目</w:t>
    </w:r>
    <w:r>
      <w:rPr>
        <w:rFonts w:hint="eastAsia"/>
      </w:rPr>
      <w:t>环境影响报告书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360"/>
    </w:pPr>
    <w:r>
      <w:rPr>
        <w:rFonts w:hint="eastAsia" w:ascii="Tahoma" w:hAnsi="Tahoma" w:cs="Tahoma"/>
        <w:lang w:eastAsia="zh-CN"/>
      </w:rPr>
      <w:t>塔城奶牛现代化养殖基地建设项目</w:t>
    </w:r>
    <w:r>
      <w:rPr>
        <w:rFonts w:hint="eastAsia"/>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AF6FBC"/>
    <w:multiLevelType w:val="singleLevel"/>
    <w:tmpl w:val="82AF6FBC"/>
    <w:lvl w:ilvl="0" w:tentative="0">
      <w:start w:val="1"/>
      <w:numFmt w:val="decimal"/>
      <w:suff w:val="nothing"/>
      <w:lvlText w:val="（%1）"/>
      <w:lvlJc w:val="left"/>
    </w:lvl>
  </w:abstractNum>
  <w:abstractNum w:abstractNumId="1">
    <w:nsid w:val="87032336"/>
    <w:multiLevelType w:val="singleLevel"/>
    <w:tmpl w:val="87032336"/>
    <w:lvl w:ilvl="0" w:tentative="0">
      <w:start w:val="1"/>
      <w:numFmt w:val="decimal"/>
      <w:suff w:val="nothing"/>
      <w:lvlText w:val="（%1）"/>
      <w:lvlJc w:val="left"/>
    </w:lvl>
  </w:abstractNum>
  <w:abstractNum w:abstractNumId="2">
    <w:nsid w:val="87D8B2D6"/>
    <w:multiLevelType w:val="singleLevel"/>
    <w:tmpl w:val="87D8B2D6"/>
    <w:lvl w:ilvl="0" w:tentative="0">
      <w:start w:val="1"/>
      <w:numFmt w:val="decimal"/>
      <w:suff w:val="nothing"/>
      <w:lvlText w:val="（%1）"/>
      <w:lvlJc w:val="left"/>
    </w:lvl>
  </w:abstractNum>
  <w:abstractNum w:abstractNumId="3">
    <w:nsid w:val="92E600E1"/>
    <w:multiLevelType w:val="singleLevel"/>
    <w:tmpl w:val="92E600E1"/>
    <w:lvl w:ilvl="0" w:tentative="0">
      <w:start w:val="1"/>
      <w:numFmt w:val="decimal"/>
      <w:suff w:val="nothing"/>
      <w:lvlText w:val="（%1）"/>
      <w:lvlJc w:val="left"/>
    </w:lvl>
  </w:abstractNum>
  <w:abstractNum w:abstractNumId="4">
    <w:nsid w:val="956712FC"/>
    <w:multiLevelType w:val="multilevel"/>
    <w:tmpl w:val="956712FC"/>
    <w:lvl w:ilvl="0" w:tentative="0">
      <w:start w:val="1"/>
      <w:numFmt w:val="decimal"/>
      <w:pStyle w:val="3"/>
      <w:lvlText w:val="%1."/>
      <w:lvlJc w:val="left"/>
      <w:pPr>
        <w:ind w:left="432" w:hanging="432"/>
      </w:pPr>
      <w:rPr>
        <w:rFonts w:hint="default"/>
      </w:rPr>
    </w:lvl>
    <w:lvl w:ilvl="1" w:tentative="0">
      <w:start w:val="1"/>
      <w:numFmt w:val="decimal"/>
      <w:pStyle w:val="4"/>
      <w:lvlText w:val="%1.%2."/>
      <w:lvlJc w:val="left"/>
      <w:pPr>
        <w:tabs>
          <w:tab w:val="left" w:pos="0"/>
        </w:tabs>
        <w:ind w:left="0" w:firstLine="0"/>
      </w:pPr>
      <w:rPr>
        <w:rFonts w:hint="default"/>
        <w:sz w:val="32"/>
        <w:szCs w:val="32"/>
      </w:rPr>
    </w:lvl>
    <w:lvl w:ilvl="2" w:tentative="0">
      <w:start w:val="1"/>
      <w:numFmt w:val="decimal"/>
      <w:pStyle w:val="5"/>
      <w:lvlText w:val="%1.%2.%3."/>
      <w:lvlJc w:val="left"/>
      <w:pPr>
        <w:ind w:left="0" w:firstLine="0"/>
      </w:pPr>
      <w:rPr>
        <w:rFonts w:hint="default"/>
        <w:sz w:val="30"/>
        <w:szCs w:val="30"/>
      </w:rPr>
    </w:lvl>
    <w:lvl w:ilvl="3" w:tentative="0">
      <w:start w:val="1"/>
      <w:numFmt w:val="decimal"/>
      <w:pStyle w:val="6"/>
      <w:suff w:val="nothing"/>
      <w:lvlText w:val="%1.%2.%3.%4."/>
      <w:lvlJc w:val="left"/>
      <w:pPr>
        <w:ind w:left="0" w:firstLine="0"/>
      </w:pPr>
      <w:rPr>
        <w:rFonts w:hint="default"/>
        <w:sz w:val="28"/>
        <w:szCs w:val="28"/>
      </w:rPr>
    </w:lvl>
    <w:lvl w:ilvl="4" w:tentative="0">
      <w:start w:val="1"/>
      <w:numFmt w:val="decimal"/>
      <w:pStyle w:val="7"/>
      <w:lvlText w:val="%1.%2.%3.%4.%5."/>
      <w:lvlJc w:val="left"/>
      <w:pPr>
        <w:ind w:left="1008" w:hanging="1008"/>
      </w:pPr>
      <w:rPr>
        <w:rFonts w:hint="default"/>
      </w:rPr>
    </w:lvl>
    <w:lvl w:ilvl="5" w:tentative="0">
      <w:start w:val="1"/>
      <w:numFmt w:val="decimal"/>
      <w:pStyle w:val="8"/>
      <w:lvlText w:val="%1.%2.%3.%4.%5.%6."/>
      <w:lvlJc w:val="left"/>
      <w:pPr>
        <w:ind w:left="1151" w:hanging="1151"/>
      </w:pPr>
      <w:rPr>
        <w:rFonts w:hint="default"/>
      </w:rPr>
    </w:lvl>
    <w:lvl w:ilvl="6" w:tentative="0">
      <w:start w:val="1"/>
      <w:numFmt w:val="decimal"/>
      <w:pStyle w:val="9"/>
      <w:lvlText w:val="%1.%2.%3.%4.%5.%6.%7."/>
      <w:lvlJc w:val="left"/>
      <w:pPr>
        <w:ind w:left="1296" w:hanging="1296"/>
      </w:pPr>
      <w:rPr>
        <w:rFonts w:hint="default"/>
      </w:rPr>
    </w:lvl>
    <w:lvl w:ilvl="7" w:tentative="0">
      <w:start w:val="1"/>
      <w:numFmt w:val="decimal"/>
      <w:pStyle w:val="10"/>
      <w:lvlText w:val="%1.%2.%3.%4.%5.%6.%7.%8."/>
      <w:lvlJc w:val="left"/>
      <w:pPr>
        <w:ind w:left="1440" w:hanging="1440"/>
      </w:pPr>
      <w:rPr>
        <w:rFonts w:hint="default"/>
      </w:rPr>
    </w:lvl>
    <w:lvl w:ilvl="8" w:tentative="0">
      <w:start w:val="1"/>
      <w:numFmt w:val="decimal"/>
      <w:pStyle w:val="11"/>
      <w:lvlText w:val="%1.%2.%3.%4.%5.%6.%7.%8.%9."/>
      <w:lvlJc w:val="left"/>
      <w:pPr>
        <w:ind w:left="1583" w:hanging="1583"/>
      </w:pPr>
      <w:rPr>
        <w:rFonts w:hint="default"/>
      </w:rPr>
    </w:lvl>
  </w:abstractNum>
  <w:abstractNum w:abstractNumId="5">
    <w:nsid w:val="AD0D20BF"/>
    <w:multiLevelType w:val="singleLevel"/>
    <w:tmpl w:val="AD0D20BF"/>
    <w:lvl w:ilvl="0" w:tentative="0">
      <w:start w:val="1"/>
      <w:numFmt w:val="decimalEnclosedCircleChinese"/>
      <w:suff w:val="nothing"/>
      <w:lvlText w:val="%1　"/>
      <w:lvlJc w:val="left"/>
      <w:pPr>
        <w:ind w:left="0" w:firstLine="400"/>
      </w:pPr>
      <w:rPr>
        <w:rFonts w:hint="eastAsia"/>
      </w:rPr>
    </w:lvl>
  </w:abstractNum>
  <w:abstractNum w:abstractNumId="6">
    <w:nsid w:val="ADE2E1FB"/>
    <w:multiLevelType w:val="singleLevel"/>
    <w:tmpl w:val="ADE2E1FB"/>
    <w:lvl w:ilvl="0" w:tentative="0">
      <w:start w:val="1"/>
      <w:numFmt w:val="decimal"/>
      <w:lvlText w:val="(%1)"/>
      <w:lvlJc w:val="left"/>
      <w:pPr>
        <w:tabs>
          <w:tab w:val="left" w:pos="420"/>
        </w:tabs>
        <w:ind w:left="0" w:firstLine="40"/>
      </w:pPr>
      <w:rPr>
        <w:rFonts w:hint="default"/>
        <w:sz w:val="24"/>
        <w:szCs w:val="24"/>
      </w:rPr>
    </w:lvl>
  </w:abstractNum>
  <w:abstractNum w:abstractNumId="7">
    <w:nsid w:val="B8D8DEC8"/>
    <w:multiLevelType w:val="singleLevel"/>
    <w:tmpl w:val="B8D8DEC8"/>
    <w:lvl w:ilvl="0" w:tentative="0">
      <w:start w:val="1"/>
      <w:numFmt w:val="decimal"/>
      <w:lvlText w:val="(%1)"/>
      <w:lvlJc w:val="left"/>
      <w:pPr>
        <w:tabs>
          <w:tab w:val="left" w:pos="420"/>
        </w:tabs>
        <w:ind w:left="0" w:leftChars="0" w:firstLine="40" w:firstLineChars="0"/>
      </w:pPr>
      <w:rPr>
        <w:rFonts w:hint="default"/>
      </w:rPr>
    </w:lvl>
  </w:abstractNum>
  <w:abstractNum w:abstractNumId="8">
    <w:nsid w:val="C340161D"/>
    <w:multiLevelType w:val="singleLevel"/>
    <w:tmpl w:val="C340161D"/>
    <w:lvl w:ilvl="0" w:tentative="0">
      <w:start w:val="1"/>
      <w:numFmt w:val="decimal"/>
      <w:lvlText w:val="(%1)"/>
      <w:lvlJc w:val="left"/>
      <w:pPr>
        <w:tabs>
          <w:tab w:val="left" w:pos="420"/>
        </w:tabs>
        <w:ind w:left="0" w:leftChars="0" w:firstLine="40" w:firstLineChars="0"/>
      </w:pPr>
      <w:rPr>
        <w:rFonts w:hint="default"/>
      </w:rPr>
    </w:lvl>
  </w:abstractNum>
  <w:abstractNum w:abstractNumId="9">
    <w:nsid w:val="D65ABF3A"/>
    <w:multiLevelType w:val="singleLevel"/>
    <w:tmpl w:val="D65ABF3A"/>
    <w:lvl w:ilvl="0" w:tentative="0">
      <w:start w:val="1"/>
      <w:numFmt w:val="bullet"/>
      <w:pStyle w:val="22"/>
      <w:lvlText w:val=""/>
      <w:lvlJc w:val="left"/>
      <w:pPr>
        <w:tabs>
          <w:tab w:val="left" w:pos="2040"/>
        </w:tabs>
        <w:ind w:left="2040" w:hanging="360"/>
      </w:pPr>
      <w:rPr>
        <w:rFonts w:hint="default" w:ascii="Wingdings" w:hAnsi="Wingdings"/>
      </w:rPr>
    </w:lvl>
  </w:abstractNum>
  <w:abstractNum w:abstractNumId="10">
    <w:nsid w:val="E6C8BE36"/>
    <w:multiLevelType w:val="singleLevel"/>
    <w:tmpl w:val="E6C8BE36"/>
    <w:lvl w:ilvl="0" w:tentative="0">
      <w:start w:val="10"/>
      <w:numFmt w:val="decimalEnclosedCircleChinese"/>
      <w:suff w:val="nothing"/>
      <w:lvlText w:val="%1"/>
      <w:lvlJc w:val="left"/>
      <w:pPr>
        <w:tabs>
          <w:tab w:val="left" w:pos="0"/>
        </w:tabs>
        <w:ind w:left="0" w:firstLine="403"/>
      </w:pPr>
      <w:rPr>
        <w:rFonts w:hint="eastAsia" w:ascii="Times New Roman" w:hAnsi="Times New Roman" w:eastAsia="Times New Roman" w:cs="Times New Roman"/>
        <w:sz w:val="24"/>
        <w:szCs w:val="24"/>
      </w:rPr>
    </w:lvl>
  </w:abstractNum>
  <w:abstractNum w:abstractNumId="11">
    <w:nsid w:val="11312615"/>
    <w:multiLevelType w:val="singleLevel"/>
    <w:tmpl w:val="11312615"/>
    <w:lvl w:ilvl="0" w:tentative="0">
      <w:start w:val="1"/>
      <w:numFmt w:val="decimal"/>
      <w:suff w:val="nothing"/>
      <w:lvlText w:val="（%1）"/>
      <w:lvlJc w:val="left"/>
    </w:lvl>
  </w:abstractNum>
  <w:abstractNum w:abstractNumId="12">
    <w:nsid w:val="18012905"/>
    <w:multiLevelType w:val="singleLevel"/>
    <w:tmpl w:val="18012905"/>
    <w:lvl w:ilvl="0" w:tentative="0">
      <w:start w:val="1"/>
      <w:numFmt w:val="decimal"/>
      <w:suff w:val="nothing"/>
      <w:lvlText w:val="（%1）"/>
      <w:lvlJc w:val="left"/>
    </w:lvl>
  </w:abstractNum>
  <w:abstractNum w:abstractNumId="13">
    <w:nsid w:val="189B99E8"/>
    <w:multiLevelType w:val="singleLevel"/>
    <w:tmpl w:val="189B99E8"/>
    <w:lvl w:ilvl="0" w:tentative="0">
      <w:start w:val="1"/>
      <w:numFmt w:val="decimalEnclosedCircleChinese"/>
      <w:suff w:val="nothing"/>
      <w:lvlText w:val="%1　"/>
      <w:lvlJc w:val="left"/>
      <w:pPr>
        <w:ind w:left="0" w:firstLine="400"/>
      </w:pPr>
      <w:rPr>
        <w:rFonts w:hint="eastAsia"/>
      </w:rPr>
    </w:lvl>
  </w:abstractNum>
  <w:abstractNum w:abstractNumId="14">
    <w:nsid w:val="38B53AFB"/>
    <w:multiLevelType w:val="singleLevel"/>
    <w:tmpl w:val="38B53AFB"/>
    <w:lvl w:ilvl="0" w:tentative="0">
      <w:start w:val="5"/>
      <w:numFmt w:val="decimal"/>
      <w:suff w:val="nothing"/>
      <w:lvlText w:val="（%1）"/>
      <w:lvlJc w:val="left"/>
    </w:lvl>
  </w:abstractNum>
  <w:abstractNum w:abstractNumId="15">
    <w:nsid w:val="39701EDA"/>
    <w:multiLevelType w:val="singleLevel"/>
    <w:tmpl w:val="39701EDA"/>
    <w:lvl w:ilvl="0" w:tentative="0">
      <w:start w:val="1"/>
      <w:numFmt w:val="decimal"/>
      <w:lvlText w:val="(%1)"/>
      <w:lvlJc w:val="left"/>
      <w:pPr>
        <w:ind w:left="425" w:hanging="425"/>
      </w:pPr>
      <w:rPr>
        <w:rFonts w:hint="default"/>
      </w:rPr>
    </w:lvl>
  </w:abstractNum>
  <w:abstractNum w:abstractNumId="16">
    <w:nsid w:val="3AADCFED"/>
    <w:multiLevelType w:val="singleLevel"/>
    <w:tmpl w:val="3AADCFED"/>
    <w:lvl w:ilvl="0" w:tentative="0">
      <w:start w:val="1"/>
      <w:numFmt w:val="decimal"/>
      <w:lvlText w:val="(%1)"/>
      <w:lvlJc w:val="left"/>
      <w:pPr>
        <w:tabs>
          <w:tab w:val="left" w:pos="420"/>
        </w:tabs>
        <w:ind w:left="0" w:leftChars="0" w:firstLine="40" w:firstLineChars="0"/>
      </w:pPr>
      <w:rPr>
        <w:rFonts w:hint="default"/>
        <w:sz w:val="24"/>
        <w:szCs w:val="24"/>
      </w:rPr>
    </w:lvl>
  </w:abstractNum>
  <w:abstractNum w:abstractNumId="17">
    <w:nsid w:val="4D9B69FD"/>
    <w:multiLevelType w:val="multilevel"/>
    <w:tmpl w:val="4D9B69FD"/>
    <w:lvl w:ilvl="0" w:tentative="0">
      <w:start w:val="1"/>
      <w:numFmt w:val="decimal"/>
      <w:lvlText w:val="%1"/>
      <w:lvlJc w:val="left"/>
      <w:pPr>
        <w:tabs>
          <w:tab w:val="left" w:pos="432"/>
        </w:tabs>
        <w:ind w:left="432" w:hanging="432"/>
      </w:pPr>
      <w:rPr>
        <w:rFonts w:hint="eastAsia"/>
      </w:rPr>
    </w:lvl>
    <w:lvl w:ilvl="1" w:tentative="0">
      <w:start w:val="1"/>
      <w:numFmt w:val="decimal"/>
      <w:pStyle w:val="69"/>
      <w:lvlText w:val="%1.%2"/>
      <w:lvlJc w:val="left"/>
      <w:pPr>
        <w:tabs>
          <w:tab w:val="left" w:pos="576"/>
        </w:tabs>
        <w:ind w:left="576" w:hanging="576"/>
      </w:pPr>
      <w:rPr>
        <w:rFonts w:hint="eastAsia"/>
      </w:rPr>
    </w:lvl>
    <w:lvl w:ilvl="2" w:tentative="0">
      <w:start w:val="1"/>
      <w:numFmt w:val="decimal"/>
      <w:lvlText w:val="1.1.%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8">
    <w:nsid w:val="5FC9D65E"/>
    <w:multiLevelType w:val="singleLevel"/>
    <w:tmpl w:val="5FC9D65E"/>
    <w:lvl w:ilvl="0" w:tentative="0">
      <w:start w:val="4"/>
      <w:numFmt w:val="chineseCounting"/>
      <w:suff w:val="nothing"/>
      <w:lvlText w:val="%1、"/>
      <w:lvlJc w:val="left"/>
      <w:rPr>
        <w:rFonts w:hint="eastAsia"/>
      </w:rPr>
    </w:lvl>
  </w:abstractNum>
  <w:abstractNum w:abstractNumId="19">
    <w:nsid w:val="674EB784"/>
    <w:multiLevelType w:val="singleLevel"/>
    <w:tmpl w:val="674EB784"/>
    <w:lvl w:ilvl="0" w:tentative="0">
      <w:start w:val="1"/>
      <w:numFmt w:val="decimal"/>
      <w:lvlText w:val="(%1)"/>
      <w:lvlJc w:val="left"/>
      <w:pPr>
        <w:tabs>
          <w:tab w:val="left" w:pos="397"/>
        </w:tabs>
        <w:ind w:left="454" w:leftChars="0" w:hanging="454" w:firstLineChars="0"/>
      </w:pPr>
      <w:rPr>
        <w:rFonts w:hint="default"/>
        <w:sz w:val="24"/>
      </w:rPr>
    </w:lvl>
  </w:abstractNum>
  <w:abstractNum w:abstractNumId="20">
    <w:nsid w:val="6AFB6F22"/>
    <w:multiLevelType w:val="singleLevel"/>
    <w:tmpl w:val="6AFB6F22"/>
    <w:lvl w:ilvl="0" w:tentative="0">
      <w:start w:val="1"/>
      <w:numFmt w:val="lowerLetter"/>
      <w:suff w:val="nothing"/>
      <w:lvlText w:val="%1）"/>
      <w:lvlJc w:val="left"/>
    </w:lvl>
  </w:abstractNum>
  <w:abstractNum w:abstractNumId="21">
    <w:nsid w:val="6E48A8F2"/>
    <w:multiLevelType w:val="singleLevel"/>
    <w:tmpl w:val="6E48A8F2"/>
    <w:lvl w:ilvl="0" w:tentative="0">
      <w:start w:val="6"/>
      <w:numFmt w:val="decimal"/>
      <w:lvlText w:val="%1."/>
      <w:lvlJc w:val="left"/>
      <w:pPr>
        <w:tabs>
          <w:tab w:val="left" w:pos="312"/>
        </w:tabs>
      </w:pPr>
    </w:lvl>
  </w:abstractNum>
  <w:num w:numId="1">
    <w:abstractNumId w:val="4"/>
  </w:num>
  <w:num w:numId="2">
    <w:abstractNumId w:val="9"/>
  </w:num>
  <w:num w:numId="3">
    <w:abstractNumId w:val="17"/>
  </w:num>
  <w:num w:numId="4">
    <w:abstractNumId w:val="18"/>
  </w:num>
  <w:num w:numId="5">
    <w:abstractNumId w:val="3"/>
  </w:num>
  <w:num w:numId="6">
    <w:abstractNumId w:val="7"/>
  </w:num>
  <w:num w:numId="7">
    <w:abstractNumId w:val="6"/>
  </w:num>
  <w:num w:numId="8">
    <w:abstractNumId w:val="16"/>
  </w:num>
  <w:num w:numId="9">
    <w:abstractNumId w:val="8"/>
  </w:num>
  <w:num w:numId="10">
    <w:abstractNumId w:val="0"/>
  </w:num>
  <w:num w:numId="11">
    <w:abstractNumId w:val="1"/>
  </w:num>
  <w:num w:numId="12">
    <w:abstractNumId w:val="13"/>
  </w:num>
  <w:num w:numId="13">
    <w:abstractNumId w:val="11"/>
  </w:num>
  <w:num w:numId="14">
    <w:abstractNumId w:val="10"/>
  </w:num>
  <w:num w:numId="15">
    <w:abstractNumId w:val="2"/>
  </w:num>
  <w:num w:numId="16">
    <w:abstractNumId w:val="14"/>
  </w:num>
  <w:num w:numId="17">
    <w:abstractNumId w:val="12"/>
  </w:num>
  <w:num w:numId="18">
    <w:abstractNumId w:val="5"/>
  </w:num>
  <w:num w:numId="19">
    <w:abstractNumId w:val="19"/>
  </w:num>
  <w:num w:numId="20">
    <w:abstractNumId w:val="20"/>
  </w:num>
  <w:num w:numId="21">
    <w:abstractNumId w:val="21"/>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djMGY4NGZjOTE4ZjQxYjYwODE2MmQ1YWQxNWU1MjUifQ=="/>
    <w:docVar w:name="KSO_WPS_MARK_KEY" w:val="7872d87f-4ad4-4b73-9335-f5e687825240"/>
  </w:docVars>
  <w:rsids>
    <w:rsidRoot w:val="00E600DA"/>
    <w:rsid w:val="000106AD"/>
    <w:rsid w:val="000237D9"/>
    <w:rsid w:val="000271B3"/>
    <w:rsid w:val="000344D5"/>
    <w:rsid w:val="00042182"/>
    <w:rsid w:val="00047669"/>
    <w:rsid w:val="00055066"/>
    <w:rsid w:val="00064042"/>
    <w:rsid w:val="000859D8"/>
    <w:rsid w:val="0008721B"/>
    <w:rsid w:val="000D2D6C"/>
    <w:rsid w:val="000E2622"/>
    <w:rsid w:val="000F37AF"/>
    <w:rsid w:val="000F554B"/>
    <w:rsid w:val="00103CC5"/>
    <w:rsid w:val="00117E29"/>
    <w:rsid w:val="0012112D"/>
    <w:rsid w:val="00152A08"/>
    <w:rsid w:val="00154A13"/>
    <w:rsid w:val="00155D16"/>
    <w:rsid w:val="00157640"/>
    <w:rsid w:val="0016769C"/>
    <w:rsid w:val="00174521"/>
    <w:rsid w:val="00186354"/>
    <w:rsid w:val="001A263B"/>
    <w:rsid w:val="001E525C"/>
    <w:rsid w:val="00207157"/>
    <w:rsid w:val="00276BFA"/>
    <w:rsid w:val="0028037C"/>
    <w:rsid w:val="0029255D"/>
    <w:rsid w:val="00292986"/>
    <w:rsid w:val="002B1DDF"/>
    <w:rsid w:val="002B20B9"/>
    <w:rsid w:val="002B2BDD"/>
    <w:rsid w:val="002C238A"/>
    <w:rsid w:val="002C537C"/>
    <w:rsid w:val="002D0132"/>
    <w:rsid w:val="002E28A2"/>
    <w:rsid w:val="002F5C58"/>
    <w:rsid w:val="003044B8"/>
    <w:rsid w:val="00316BCA"/>
    <w:rsid w:val="00320522"/>
    <w:rsid w:val="003216A1"/>
    <w:rsid w:val="003275B0"/>
    <w:rsid w:val="00345A78"/>
    <w:rsid w:val="00352BC4"/>
    <w:rsid w:val="00363B26"/>
    <w:rsid w:val="00371D4F"/>
    <w:rsid w:val="00385FCE"/>
    <w:rsid w:val="003941B1"/>
    <w:rsid w:val="00396DD3"/>
    <w:rsid w:val="003C1AC1"/>
    <w:rsid w:val="003C1B37"/>
    <w:rsid w:val="003C2B69"/>
    <w:rsid w:val="003D5C98"/>
    <w:rsid w:val="003E1D51"/>
    <w:rsid w:val="003F0CF9"/>
    <w:rsid w:val="003F4564"/>
    <w:rsid w:val="003F5959"/>
    <w:rsid w:val="004023E7"/>
    <w:rsid w:val="004104D9"/>
    <w:rsid w:val="00412809"/>
    <w:rsid w:val="00432307"/>
    <w:rsid w:val="00432C17"/>
    <w:rsid w:val="00466F4D"/>
    <w:rsid w:val="004A06E3"/>
    <w:rsid w:val="004A4A61"/>
    <w:rsid w:val="004B2DC6"/>
    <w:rsid w:val="004C0369"/>
    <w:rsid w:val="004C0D88"/>
    <w:rsid w:val="004C402A"/>
    <w:rsid w:val="004E20B6"/>
    <w:rsid w:val="004E43C2"/>
    <w:rsid w:val="004F24D3"/>
    <w:rsid w:val="00554DB7"/>
    <w:rsid w:val="005561AF"/>
    <w:rsid w:val="0058399D"/>
    <w:rsid w:val="00597B72"/>
    <w:rsid w:val="005A3A90"/>
    <w:rsid w:val="005B3305"/>
    <w:rsid w:val="005C7FDD"/>
    <w:rsid w:val="005D4E1B"/>
    <w:rsid w:val="005F4E99"/>
    <w:rsid w:val="006045B2"/>
    <w:rsid w:val="00612E60"/>
    <w:rsid w:val="00636B51"/>
    <w:rsid w:val="00673F78"/>
    <w:rsid w:val="00677B26"/>
    <w:rsid w:val="00681EDA"/>
    <w:rsid w:val="00695FF9"/>
    <w:rsid w:val="00696316"/>
    <w:rsid w:val="006C0788"/>
    <w:rsid w:val="006C157B"/>
    <w:rsid w:val="006C4B1E"/>
    <w:rsid w:val="006C5124"/>
    <w:rsid w:val="00702DAC"/>
    <w:rsid w:val="00703D63"/>
    <w:rsid w:val="007201EF"/>
    <w:rsid w:val="00746E9C"/>
    <w:rsid w:val="0075112D"/>
    <w:rsid w:val="007547B2"/>
    <w:rsid w:val="00762133"/>
    <w:rsid w:val="007E58DD"/>
    <w:rsid w:val="007F5108"/>
    <w:rsid w:val="00886D8E"/>
    <w:rsid w:val="00887815"/>
    <w:rsid w:val="008A4167"/>
    <w:rsid w:val="008B1F4D"/>
    <w:rsid w:val="008B4B93"/>
    <w:rsid w:val="008B5C97"/>
    <w:rsid w:val="008E7A60"/>
    <w:rsid w:val="00901A80"/>
    <w:rsid w:val="00907190"/>
    <w:rsid w:val="0091237D"/>
    <w:rsid w:val="00936396"/>
    <w:rsid w:val="009444C8"/>
    <w:rsid w:val="00955D2A"/>
    <w:rsid w:val="00962314"/>
    <w:rsid w:val="00965D74"/>
    <w:rsid w:val="00966DB2"/>
    <w:rsid w:val="00973E85"/>
    <w:rsid w:val="0097441A"/>
    <w:rsid w:val="009862D6"/>
    <w:rsid w:val="00992D41"/>
    <w:rsid w:val="009A3C6B"/>
    <w:rsid w:val="009A41C5"/>
    <w:rsid w:val="009B54C7"/>
    <w:rsid w:val="009C3E11"/>
    <w:rsid w:val="009F5DAD"/>
    <w:rsid w:val="00A032C1"/>
    <w:rsid w:val="00A416E7"/>
    <w:rsid w:val="00A55147"/>
    <w:rsid w:val="00A61C31"/>
    <w:rsid w:val="00A655DF"/>
    <w:rsid w:val="00A85781"/>
    <w:rsid w:val="00AA3826"/>
    <w:rsid w:val="00AA6200"/>
    <w:rsid w:val="00AA6B44"/>
    <w:rsid w:val="00AB72B4"/>
    <w:rsid w:val="00AC3D07"/>
    <w:rsid w:val="00AC6044"/>
    <w:rsid w:val="00AE6138"/>
    <w:rsid w:val="00AE7C26"/>
    <w:rsid w:val="00B14BDC"/>
    <w:rsid w:val="00B364A4"/>
    <w:rsid w:val="00B37301"/>
    <w:rsid w:val="00B460FB"/>
    <w:rsid w:val="00B75FFC"/>
    <w:rsid w:val="00B8334B"/>
    <w:rsid w:val="00B94888"/>
    <w:rsid w:val="00BB1E64"/>
    <w:rsid w:val="00BC5C90"/>
    <w:rsid w:val="00BD51C7"/>
    <w:rsid w:val="00C04FD0"/>
    <w:rsid w:val="00C0639A"/>
    <w:rsid w:val="00C06D57"/>
    <w:rsid w:val="00C06EA7"/>
    <w:rsid w:val="00C079BB"/>
    <w:rsid w:val="00C22025"/>
    <w:rsid w:val="00C42235"/>
    <w:rsid w:val="00C5380B"/>
    <w:rsid w:val="00C656D3"/>
    <w:rsid w:val="00C744C7"/>
    <w:rsid w:val="00C762A5"/>
    <w:rsid w:val="00C84BBC"/>
    <w:rsid w:val="00C86CE7"/>
    <w:rsid w:val="00CA00C3"/>
    <w:rsid w:val="00CA31D1"/>
    <w:rsid w:val="00CB31A7"/>
    <w:rsid w:val="00CC4DB4"/>
    <w:rsid w:val="00CC6B1C"/>
    <w:rsid w:val="00CE06A2"/>
    <w:rsid w:val="00CE292C"/>
    <w:rsid w:val="00CE49FD"/>
    <w:rsid w:val="00CE7851"/>
    <w:rsid w:val="00D03275"/>
    <w:rsid w:val="00D04F9F"/>
    <w:rsid w:val="00D1604D"/>
    <w:rsid w:val="00D16CEC"/>
    <w:rsid w:val="00D2149E"/>
    <w:rsid w:val="00D27279"/>
    <w:rsid w:val="00D41C1C"/>
    <w:rsid w:val="00D52664"/>
    <w:rsid w:val="00D56E63"/>
    <w:rsid w:val="00D843B8"/>
    <w:rsid w:val="00D90DC5"/>
    <w:rsid w:val="00DA6A3B"/>
    <w:rsid w:val="00DA6EF5"/>
    <w:rsid w:val="00DB18D2"/>
    <w:rsid w:val="00DC3359"/>
    <w:rsid w:val="00DC47CC"/>
    <w:rsid w:val="00DD7B38"/>
    <w:rsid w:val="00E161F8"/>
    <w:rsid w:val="00E31CD2"/>
    <w:rsid w:val="00E41D09"/>
    <w:rsid w:val="00E52F76"/>
    <w:rsid w:val="00E600DA"/>
    <w:rsid w:val="00E64A2D"/>
    <w:rsid w:val="00E816BD"/>
    <w:rsid w:val="00E906C5"/>
    <w:rsid w:val="00E935B6"/>
    <w:rsid w:val="00EA5156"/>
    <w:rsid w:val="00EA7818"/>
    <w:rsid w:val="00EB60B2"/>
    <w:rsid w:val="00ED195E"/>
    <w:rsid w:val="00ED623C"/>
    <w:rsid w:val="00EE6028"/>
    <w:rsid w:val="00EF4BA6"/>
    <w:rsid w:val="00F118A9"/>
    <w:rsid w:val="00F1306D"/>
    <w:rsid w:val="00F3016A"/>
    <w:rsid w:val="00F31AD2"/>
    <w:rsid w:val="00F32917"/>
    <w:rsid w:val="00F500AE"/>
    <w:rsid w:val="00F738EB"/>
    <w:rsid w:val="00F7641A"/>
    <w:rsid w:val="00F83C2C"/>
    <w:rsid w:val="00FC2FDA"/>
    <w:rsid w:val="010D7FBB"/>
    <w:rsid w:val="01115A9D"/>
    <w:rsid w:val="01874F0C"/>
    <w:rsid w:val="01964270"/>
    <w:rsid w:val="01B255C7"/>
    <w:rsid w:val="01E41368"/>
    <w:rsid w:val="02070153"/>
    <w:rsid w:val="020C4532"/>
    <w:rsid w:val="023F66B6"/>
    <w:rsid w:val="024043F8"/>
    <w:rsid w:val="02552303"/>
    <w:rsid w:val="025A6FB6"/>
    <w:rsid w:val="026E230E"/>
    <w:rsid w:val="0273635F"/>
    <w:rsid w:val="0283101D"/>
    <w:rsid w:val="028D439E"/>
    <w:rsid w:val="029E3ED7"/>
    <w:rsid w:val="02AD7AC3"/>
    <w:rsid w:val="02B85CA9"/>
    <w:rsid w:val="02D22793"/>
    <w:rsid w:val="02D23086"/>
    <w:rsid w:val="02E639D6"/>
    <w:rsid w:val="03167815"/>
    <w:rsid w:val="032A5FE2"/>
    <w:rsid w:val="032F2162"/>
    <w:rsid w:val="03393105"/>
    <w:rsid w:val="035407F0"/>
    <w:rsid w:val="03547DB5"/>
    <w:rsid w:val="037B78F0"/>
    <w:rsid w:val="03AA479D"/>
    <w:rsid w:val="04220209"/>
    <w:rsid w:val="042E34BD"/>
    <w:rsid w:val="04A171B4"/>
    <w:rsid w:val="04E15802"/>
    <w:rsid w:val="04F71E5D"/>
    <w:rsid w:val="04FA68C4"/>
    <w:rsid w:val="051C232B"/>
    <w:rsid w:val="0521024F"/>
    <w:rsid w:val="057034ED"/>
    <w:rsid w:val="05875FC1"/>
    <w:rsid w:val="05B747B5"/>
    <w:rsid w:val="05C56A37"/>
    <w:rsid w:val="05D03D33"/>
    <w:rsid w:val="05D3623F"/>
    <w:rsid w:val="0600615C"/>
    <w:rsid w:val="060F2D01"/>
    <w:rsid w:val="060F4A48"/>
    <w:rsid w:val="0615272D"/>
    <w:rsid w:val="061E098C"/>
    <w:rsid w:val="06705518"/>
    <w:rsid w:val="06996AFE"/>
    <w:rsid w:val="06A72A7B"/>
    <w:rsid w:val="06AB3EC7"/>
    <w:rsid w:val="06B55198"/>
    <w:rsid w:val="06D23CE5"/>
    <w:rsid w:val="072C2C18"/>
    <w:rsid w:val="076C2E67"/>
    <w:rsid w:val="0785031E"/>
    <w:rsid w:val="07A4332B"/>
    <w:rsid w:val="07AB20F7"/>
    <w:rsid w:val="07CF167E"/>
    <w:rsid w:val="07E35084"/>
    <w:rsid w:val="07E93ED6"/>
    <w:rsid w:val="08056B29"/>
    <w:rsid w:val="080850BC"/>
    <w:rsid w:val="083F0915"/>
    <w:rsid w:val="086329D2"/>
    <w:rsid w:val="08952552"/>
    <w:rsid w:val="08BA0844"/>
    <w:rsid w:val="08DC57CD"/>
    <w:rsid w:val="08FD4565"/>
    <w:rsid w:val="093E1D59"/>
    <w:rsid w:val="094D66CC"/>
    <w:rsid w:val="0992356F"/>
    <w:rsid w:val="099F6E90"/>
    <w:rsid w:val="09DC5310"/>
    <w:rsid w:val="09F039A9"/>
    <w:rsid w:val="0A051F93"/>
    <w:rsid w:val="0A154670"/>
    <w:rsid w:val="0A8902C6"/>
    <w:rsid w:val="0A981531"/>
    <w:rsid w:val="0AA43964"/>
    <w:rsid w:val="0AC468AC"/>
    <w:rsid w:val="0ACC0C9B"/>
    <w:rsid w:val="0AE126FA"/>
    <w:rsid w:val="0AE42AB8"/>
    <w:rsid w:val="0B0C2503"/>
    <w:rsid w:val="0B12167C"/>
    <w:rsid w:val="0B2851F6"/>
    <w:rsid w:val="0B32207C"/>
    <w:rsid w:val="0B50723E"/>
    <w:rsid w:val="0B776EC0"/>
    <w:rsid w:val="0B831D71"/>
    <w:rsid w:val="0BA1607C"/>
    <w:rsid w:val="0BCD3A54"/>
    <w:rsid w:val="0C4667E7"/>
    <w:rsid w:val="0C8E7F12"/>
    <w:rsid w:val="0CA069C0"/>
    <w:rsid w:val="0CE42333"/>
    <w:rsid w:val="0CF07536"/>
    <w:rsid w:val="0CF22137"/>
    <w:rsid w:val="0CFF59A7"/>
    <w:rsid w:val="0D0E253F"/>
    <w:rsid w:val="0D2B6750"/>
    <w:rsid w:val="0D4F6F9C"/>
    <w:rsid w:val="0D601F60"/>
    <w:rsid w:val="0D6476E5"/>
    <w:rsid w:val="0D65503E"/>
    <w:rsid w:val="0D7F2A24"/>
    <w:rsid w:val="0D847672"/>
    <w:rsid w:val="0DA67DDF"/>
    <w:rsid w:val="0DBA6D6A"/>
    <w:rsid w:val="0DF359D3"/>
    <w:rsid w:val="0E1130C4"/>
    <w:rsid w:val="0E6D0107"/>
    <w:rsid w:val="0E8B7E1B"/>
    <w:rsid w:val="0F1C653B"/>
    <w:rsid w:val="0F257303"/>
    <w:rsid w:val="0F2904D1"/>
    <w:rsid w:val="0F674CB5"/>
    <w:rsid w:val="0F890F70"/>
    <w:rsid w:val="0F970235"/>
    <w:rsid w:val="0FA933C0"/>
    <w:rsid w:val="0FB01B5B"/>
    <w:rsid w:val="0FC61883"/>
    <w:rsid w:val="102C4368"/>
    <w:rsid w:val="103B4301"/>
    <w:rsid w:val="10612442"/>
    <w:rsid w:val="10861E7A"/>
    <w:rsid w:val="108A4C92"/>
    <w:rsid w:val="10985812"/>
    <w:rsid w:val="10E377CB"/>
    <w:rsid w:val="111B02EE"/>
    <w:rsid w:val="111F0E5A"/>
    <w:rsid w:val="11293E51"/>
    <w:rsid w:val="117A3E8C"/>
    <w:rsid w:val="11BF59BB"/>
    <w:rsid w:val="11FD1514"/>
    <w:rsid w:val="120435E1"/>
    <w:rsid w:val="1227056E"/>
    <w:rsid w:val="12276095"/>
    <w:rsid w:val="12483364"/>
    <w:rsid w:val="12736673"/>
    <w:rsid w:val="12834E43"/>
    <w:rsid w:val="128A2747"/>
    <w:rsid w:val="12BA15B0"/>
    <w:rsid w:val="12C01ED8"/>
    <w:rsid w:val="12D07583"/>
    <w:rsid w:val="12E97C27"/>
    <w:rsid w:val="12ED5CBA"/>
    <w:rsid w:val="130A061A"/>
    <w:rsid w:val="13140A84"/>
    <w:rsid w:val="131B63CE"/>
    <w:rsid w:val="13231DD0"/>
    <w:rsid w:val="133177F5"/>
    <w:rsid w:val="1336140F"/>
    <w:rsid w:val="136929FD"/>
    <w:rsid w:val="139D3942"/>
    <w:rsid w:val="13CE3D59"/>
    <w:rsid w:val="13D36E2E"/>
    <w:rsid w:val="13DA623E"/>
    <w:rsid w:val="13EA493A"/>
    <w:rsid w:val="13F83ADE"/>
    <w:rsid w:val="1408633F"/>
    <w:rsid w:val="14152B2D"/>
    <w:rsid w:val="143546C9"/>
    <w:rsid w:val="14391E38"/>
    <w:rsid w:val="143B7C7D"/>
    <w:rsid w:val="145A1D3C"/>
    <w:rsid w:val="148B4F80"/>
    <w:rsid w:val="149A1494"/>
    <w:rsid w:val="14F16066"/>
    <w:rsid w:val="15244FBD"/>
    <w:rsid w:val="15316332"/>
    <w:rsid w:val="157378BF"/>
    <w:rsid w:val="157E5E34"/>
    <w:rsid w:val="15C86107"/>
    <w:rsid w:val="15D97AD4"/>
    <w:rsid w:val="15DC6553"/>
    <w:rsid w:val="15F25225"/>
    <w:rsid w:val="166936E6"/>
    <w:rsid w:val="16D1109B"/>
    <w:rsid w:val="16D40627"/>
    <w:rsid w:val="16F372FB"/>
    <w:rsid w:val="16F848AB"/>
    <w:rsid w:val="1718218B"/>
    <w:rsid w:val="172D32D0"/>
    <w:rsid w:val="172E6599"/>
    <w:rsid w:val="176C7137"/>
    <w:rsid w:val="17935DF6"/>
    <w:rsid w:val="17B1519F"/>
    <w:rsid w:val="17BD5C5B"/>
    <w:rsid w:val="17F83C8B"/>
    <w:rsid w:val="184C0CDA"/>
    <w:rsid w:val="18545214"/>
    <w:rsid w:val="185C50D8"/>
    <w:rsid w:val="18654410"/>
    <w:rsid w:val="189E71D2"/>
    <w:rsid w:val="18A31C93"/>
    <w:rsid w:val="18A54167"/>
    <w:rsid w:val="18CD4F1B"/>
    <w:rsid w:val="18CE71D4"/>
    <w:rsid w:val="18ED431E"/>
    <w:rsid w:val="18FD459A"/>
    <w:rsid w:val="194B373A"/>
    <w:rsid w:val="195A53F8"/>
    <w:rsid w:val="195D6994"/>
    <w:rsid w:val="197131A1"/>
    <w:rsid w:val="198525C7"/>
    <w:rsid w:val="19C441F5"/>
    <w:rsid w:val="19D54541"/>
    <w:rsid w:val="1A004525"/>
    <w:rsid w:val="1A555C20"/>
    <w:rsid w:val="1A5662FA"/>
    <w:rsid w:val="1A652EC1"/>
    <w:rsid w:val="1AA25CDE"/>
    <w:rsid w:val="1AA72C85"/>
    <w:rsid w:val="1AC84316"/>
    <w:rsid w:val="1AD461DA"/>
    <w:rsid w:val="1AD74CC6"/>
    <w:rsid w:val="1AE231E9"/>
    <w:rsid w:val="1AEC7F2E"/>
    <w:rsid w:val="1AF40A35"/>
    <w:rsid w:val="1B390B57"/>
    <w:rsid w:val="1B5B5A5C"/>
    <w:rsid w:val="1B674291"/>
    <w:rsid w:val="1B7F6E71"/>
    <w:rsid w:val="1B865E71"/>
    <w:rsid w:val="1BAF1D5E"/>
    <w:rsid w:val="1BC523BA"/>
    <w:rsid w:val="1C2942F3"/>
    <w:rsid w:val="1C3B7A96"/>
    <w:rsid w:val="1C4C3236"/>
    <w:rsid w:val="1CB636B5"/>
    <w:rsid w:val="1CDF0421"/>
    <w:rsid w:val="1CDF6563"/>
    <w:rsid w:val="1CEA6828"/>
    <w:rsid w:val="1CF46D84"/>
    <w:rsid w:val="1D150932"/>
    <w:rsid w:val="1D152AB0"/>
    <w:rsid w:val="1D3B54A8"/>
    <w:rsid w:val="1D4961E3"/>
    <w:rsid w:val="1D622E82"/>
    <w:rsid w:val="1D9C587C"/>
    <w:rsid w:val="1DB55626"/>
    <w:rsid w:val="1DD737EE"/>
    <w:rsid w:val="1E35328C"/>
    <w:rsid w:val="1E453AB5"/>
    <w:rsid w:val="1E576E47"/>
    <w:rsid w:val="1EA062D6"/>
    <w:rsid w:val="1EC71AAD"/>
    <w:rsid w:val="1EED53FC"/>
    <w:rsid w:val="1EF6243B"/>
    <w:rsid w:val="1F053012"/>
    <w:rsid w:val="1F0E5467"/>
    <w:rsid w:val="1F482136"/>
    <w:rsid w:val="1F555D42"/>
    <w:rsid w:val="1F76742A"/>
    <w:rsid w:val="1F7A742D"/>
    <w:rsid w:val="1F8722BA"/>
    <w:rsid w:val="1FD26A4F"/>
    <w:rsid w:val="1FFF6422"/>
    <w:rsid w:val="20061D49"/>
    <w:rsid w:val="201820AF"/>
    <w:rsid w:val="20230DAF"/>
    <w:rsid w:val="202C2355"/>
    <w:rsid w:val="204213F3"/>
    <w:rsid w:val="20921CA6"/>
    <w:rsid w:val="20AC4D31"/>
    <w:rsid w:val="20BE3D2E"/>
    <w:rsid w:val="20C52024"/>
    <w:rsid w:val="20C91B14"/>
    <w:rsid w:val="20F53265"/>
    <w:rsid w:val="211E54B1"/>
    <w:rsid w:val="215F50BA"/>
    <w:rsid w:val="21C93151"/>
    <w:rsid w:val="21E012DB"/>
    <w:rsid w:val="2201153B"/>
    <w:rsid w:val="220359EB"/>
    <w:rsid w:val="222D60D3"/>
    <w:rsid w:val="223A236F"/>
    <w:rsid w:val="22622C0F"/>
    <w:rsid w:val="226C548C"/>
    <w:rsid w:val="22894C8D"/>
    <w:rsid w:val="22AB7021"/>
    <w:rsid w:val="22CF2C75"/>
    <w:rsid w:val="22D748BE"/>
    <w:rsid w:val="22E71AF1"/>
    <w:rsid w:val="23137077"/>
    <w:rsid w:val="23233350"/>
    <w:rsid w:val="232349B4"/>
    <w:rsid w:val="23512450"/>
    <w:rsid w:val="23687BF9"/>
    <w:rsid w:val="23C44815"/>
    <w:rsid w:val="23E76022"/>
    <w:rsid w:val="24080CFD"/>
    <w:rsid w:val="24151CD5"/>
    <w:rsid w:val="24360B48"/>
    <w:rsid w:val="247254E4"/>
    <w:rsid w:val="249656AC"/>
    <w:rsid w:val="24BF0117"/>
    <w:rsid w:val="24C05A37"/>
    <w:rsid w:val="24DE76F5"/>
    <w:rsid w:val="24E30997"/>
    <w:rsid w:val="24E52C95"/>
    <w:rsid w:val="25294B14"/>
    <w:rsid w:val="254C2BF4"/>
    <w:rsid w:val="255712C4"/>
    <w:rsid w:val="258E4EB2"/>
    <w:rsid w:val="25D371C7"/>
    <w:rsid w:val="26126E72"/>
    <w:rsid w:val="26477FD8"/>
    <w:rsid w:val="264F0D28"/>
    <w:rsid w:val="265C2AE3"/>
    <w:rsid w:val="2665055E"/>
    <w:rsid w:val="26C1721E"/>
    <w:rsid w:val="26D367BA"/>
    <w:rsid w:val="27286E69"/>
    <w:rsid w:val="274912B9"/>
    <w:rsid w:val="27792E50"/>
    <w:rsid w:val="27876D3B"/>
    <w:rsid w:val="27951673"/>
    <w:rsid w:val="27B6690C"/>
    <w:rsid w:val="27C8417C"/>
    <w:rsid w:val="27E634BA"/>
    <w:rsid w:val="27FE6547"/>
    <w:rsid w:val="280B7BC3"/>
    <w:rsid w:val="28270CD2"/>
    <w:rsid w:val="28436007"/>
    <w:rsid w:val="2865256C"/>
    <w:rsid w:val="2879797C"/>
    <w:rsid w:val="28913F47"/>
    <w:rsid w:val="2891711D"/>
    <w:rsid w:val="289F72C7"/>
    <w:rsid w:val="28AB1AFF"/>
    <w:rsid w:val="28E24BDA"/>
    <w:rsid w:val="291B6C85"/>
    <w:rsid w:val="2949173E"/>
    <w:rsid w:val="29774F88"/>
    <w:rsid w:val="29823B97"/>
    <w:rsid w:val="299547A6"/>
    <w:rsid w:val="299A3FD1"/>
    <w:rsid w:val="29A749BD"/>
    <w:rsid w:val="29AB20C7"/>
    <w:rsid w:val="29C3052A"/>
    <w:rsid w:val="29E26FE7"/>
    <w:rsid w:val="29E54747"/>
    <w:rsid w:val="29FF18FC"/>
    <w:rsid w:val="2A004453"/>
    <w:rsid w:val="2A331B32"/>
    <w:rsid w:val="2A453E13"/>
    <w:rsid w:val="2A582EA2"/>
    <w:rsid w:val="2A6729D0"/>
    <w:rsid w:val="2A9A6739"/>
    <w:rsid w:val="2B277A91"/>
    <w:rsid w:val="2B305588"/>
    <w:rsid w:val="2B3F242E"/>
    <w:rsid w:val="2B5621F6"/>
    <w:rsid w:val="2B746B21"/>
    <w:rsid w:val="2B7D7783"/>
    <w:rsid w:val="2B820EDC"/>
    <w:rsid w:val="2B8244E8"/>
    <w:rsid w:val="2B841D92"/>
    <w:rsid w:val="2B8C182C"/>
    <w:rsid w:val="2BAB6B17"/>
    <w:rsid w:val="2BDF043E"/>
    <w:rsid w:val="2BEB6DD9"/>
    <w:rsid w:val="2C061FF9"/>
    <w:rsid w:val="2C0C6154"/>
    <w:rsid w:val="2C3A7457"/>
    <w:rsid w:val="2C486D8A"/>
    <w:rsid w:val="2C640943"/>
    <w:rsid w:val="2CA376BD"/>
    <w:rsid w:val="2CB05936"/>
    <w:rsid w:val="2CD67FAB"/>
    <w:rsid w:val="2CE87AF7"/>
    <w:rsid w:val="2CEE645F"/>
    <w:rsid w:val="2CFF517A"/>
    <w:rsid w:val="2D3C5DD5"/>
    <w:rsid w:val="2D404734"/>
    <w:rsid w:val="2D414E03"/>
    <w:rsid w:val="2D432343"/>
    <w:rsid w:val="2D5D6BF2"/>
    <w:rsid w:val="2D607F10"/>
    <w:rsid w:val="2D7E1962"/>
    <w:rsid w:val="2D807C7A"/>
    <w:rsid w:val="2DCF1F8A"/>
    <w:rsid w:val="2DD42233"/>
    <w:rsid w:val="2DDA6690"/>
    <w:rsid w:val="2DE55390"/>
    <w:rsid w:val="2DF301D1"/>
    <w:rsid w:val="2E0D3D8F"/>
    <w:rsid w:val="2E3041E7"/>
    <w:rsid w:val="2E573383"/>
    <w:rsid w:val="2E6E5AA9"/>
    <w:rsid w:val="2E8756BE"/>
    <w:rsid w:val="2EA471C7"/>
    <w:rsid w:val="2EED4C20"/>
    <w:rsid w:val="2F07317A"/>
    <w:rsid w:val="2F3F6AD2"/>
    <w:rsid w:val="2F4E556A"/>
    <w:rsid w:val="2F6D64C3"/>
    <w:rsid w:val="2F6E62A6"/>
    <w:rsid w:val="2F7964DB"/>
    <w:rsid w:val="2F947237"/>
    <w:rsid w:val="2F953B24"/>
    <w:rsid w:val="2FD6176E"/>
    <w:rsid w:val="2FDE0BFC"/>
    <w:rsid w:val="2FE511B7"/>
    <w:rsid w:val="300E604B"/>
    <w:rsid w:val="30142738"/>
    <w:rsid w:val="30212999"/>
    <w:rsid w:val="30292B46"/>
    <w:rsid w:val="30C100A5"/>
    <w:rsid w:val="30E83C0B"/>
    <w:rsid w:val="30FE3D33"/>
    <w:rsid w:val="30FF5298"/>
    <w:rsid w:val="313623E6"/>
    <w:rsid w:val="315A4765"/>
    <w:rsid w:val="316B0DC3"/>
    <w:rsid w:val="318604BF"/>
    <w:rsid w:val="31A35A6A"/>
    <w:rsid w:val="31B138A5"/>
    <w:rsid w:val="31B349CA"/>
    <w:rsid w:val="31C75B74"/>
    <w:rsid w:val="31C854D0"/>
    <w:rsid w:val="31DE6E73"/>
    <w:rsid w:val="3209333D"/>
    <w:rsid w:val="321C4663"/>
    <w:rsid w:val="321E3B16"/>
    <w:rsid w:val="322D6FD3"/>
    <w:rsid w:val="326B676C"/>
    <w:rsid w:val="329E4402"/>
    <w:rsid w:val="32B8085C"/>
    <w:rsid w:val="32BE4895"/>
    <w:rsid w:val="32E32505"/>
    <w:rsid w:val="32EF2ECD"/>
    <w:rsid w:val="32F0469E"/>
    <w:rsid w:val="32F07D5B"/>
    <w:rsid w:val="32F45B53"/>
    <w:rsid w:val="32FD1922"/>
    <w:rsid w:val="3309693A"/>
    <w:rsid w:val="33512ED6"/>
    <w:rsid w:val="336C7FF7"/>
    <w:rsid w:val="33723946"/>
    <w:rsid w:val="33762168"/>
    <w:rsid w:val="33A002A3"/>
    <w:rsid w:val="33A20B01"/>
    <w:rsid w:val="340C0233"/>
    <w:rsid w:val="342D7808"/>
    <w:rsid w:val="34483255"/>
    <w:rsid w:val="345319C9"/>
    <w:rsid w:val="347960B8"/>
    <w:rsid w:val="348C4EDB"/>
    <w:rsid w:val="34AD7E9D"/>
    <w:rsid w:val="34D348B8"/>
    <w:rsid w:val="34D8656C"/>
    <w:rsid w:val="34E42F84"/>
    <w:rsid w:val="35002667"/>
    <w:rsid w:val="354827A6"/>
    <w:rsid w:val="3562777F"/>
    <w:rsid w:val="35647C06"/>
    <w:rsid w:val="356C3C99"/>
    <w:rsid w:val="356F5ECC"/>
    <w:rsid w:val="357A7036"/>
    <w:rsid w:val="35B45818"/>
    <w:rsid w:val="35CB558F"/>
    <w:rsid w:val="35D20C72"/>
    <w:rsid w:val="35E04AD3"/>
    <w:rsid w:val="35EA5BCB"/>
    <w:rsid w:val="35FC7E3E"/>
    <w:rsid w:val="36350DC1"/>
    <w:rsid w:val="36466578"/>
    <w:rsid w:val="36941E25"/>
    <w:rsid w:val="36D55BA7"/>
    <w:rsid w:val="36E75C79"/>
    <w:rsid w:val="36EE7787"/>
    <w:rsid w:val="37043ACF"/>
    <w:rsid w:val="37170396"/>
    <w:rsid w:val="3733680F"/>
    <w:rsid w:val="37947B17"/>
    <w:rsid w:val="37B35550"/>
    <w:rsid w:val="37C87FD8"/>
    <w:rsid w:val="37D06FCA"/>
    <w:rsid w:val="37DE3C9F"/>
    <w:rsid w:val="37E26424"/>
    <w:rsid w:val="380F0E35"/>
    <w:rsid w:val="385950D4"/>
    <w:rsid w:val="3862698D"/>
    <w:rsid w:val="386A2090"/>
    <w:rsid w:val="388A7BF1"/>
    <w:rsid w:val="389023FE"/>
    <w:rsid w:val="38995F6A"/>
    <w:rsid w:val="38AD7193"/>
    <w:rsid w:val="392D34AA"/>
    <w:rsid w:val="39311BAD"/>
    <w:rsid w:val="39965EB4"/>
    <w:rsid w:val="39A700C1"/>
    <w:rsid w:val="39C86DAB"/>
    <w:rsid w:val="39D106B6"/>
    <w:rsid w:val="3A0A0179"/>
    <w:rsid w:val="3A2D3355"/>
    <w:rsid w:val="3A3E28E5"/>
    <w:rsid w:val="3A636C6D"/>
    <w:rsid w:val="3A6F4891"/>
    <w:rsid w:val="3A737BA9"/>
    <w:rsid w:val="3A7E64D8"/>
    <w:rsid w:val="3A806B28"/>
    <w:rsid w:val="3AA66AD3"/>
    <w:rsid w:val="3ADE7B13"/>
    <w:rsid w:val="3B173537"/>
    <w:rsid w:val="3B190FD4"/>
    <w:rsid w:val="3B486127"/>
    <w:rsid w:val="3B494514"/>
    <w:rsid w:val="3B5769C7"/>
    <w:rsid w:val="3B7335B3"/>
    <w:rsid w:val="3B900C03"/>
    <w:rsid w:val="3B9F72A2"/>
    <w:rsid w:val="3BA42D27"/>
    <w:rsid w:val="3BAB5577"/>
    <w:rsid w:val="3BDC00EE"/>
    <w:rsid w:val="3BF0061C"/>
    <w:rsid w:val="3C2A0568"/>
    <w:rsid w:val="3C393838"/>
    <w:rsid w:val="3C393DC2"/>
    <w:rsid w:val="3C47433A"/>
    <w:rsid w:val="3C4A3796"/>
    <w:rsid w:val="3C4D4F50"/>
    <w:rsid w:val="3C595FE9"/>
    <w:rsid w:val="3C5C5193"/>
    <w:rsid w:val="3C5E5B3F"/>
    <w:rsid w:val="3C601127"/>
    <w:rsid w:val="3C675380"/>
    <w:rsid w:val="3C90308E"/>
    <w:rsid w:val="3CB219A4"/>
    <w:rsid w:val="3CBB2890"/>
    <w:rsid w:val="3CBE016E"/>
    <w:rsid w:val="3CC85700"/>
    <w:rsid w:val="3D3A1C95"/>
    <w:rsid w:val="3D42082D"/>
    <w:rsid w:val="3D4709D0"/>
    <w:rsid w:val="3D5D736E"/>
    <w:rsid w:val="3D791D75"/>
    <w:rsid w:val="3D8C092D"/>
    <w:rsid w:val="3D94095C"/>
    <w:rsid w:val="3D9A6E2F"/>
    <w:rsid w:val="3D9F7C30"/>
    <w:rsid w:val="3DA60047"/>
    <w:rsid w:val="3DA944E9"/>
    <w:rsid w:val="3DAE2D78"/>
    <w:rsid w:val="3DBD626B"/>
    <w:rsid w:val="3DC173F2"/>
    <w:rsid w:val="3DC57EFD"/>
    <w:rsid w:val="3DD0180E"/>
    <w:rsid w:val="3E0A124F"/>
    <w:rsid w:val="3E245811"/>
    <w:rsid w:val="3E483BD6"/>
    <w:rsid w:val="3E774B2B"/>
    <w:rsid w:val="3E8D5AD7"/>
    <w:rsid w:val="3E9C6403"/>
    <w:rsid w:val="3EAF40B5"/>
    <w:rsid w:val="3EB2117C"/>
    <w:rsid w:val="3EBC60D5"/>
    <w:rsid w:val="3EF248A9"/>
    <w:rsid w:val="3EF43D5E"/>
    <w:rsid w:val="3F1461F9"/>
    <w:rsid w:val="3F3408CC"/>
    <w:rsid w:val="3F343E44"/>
    <w:rsid w:val="3F6525B0"/>
    <w:rsid w:val="3F6B10EE"/>
    <w:rsid w:val="3F7666E9"/>
    <w:rsid w:val="3FA45802"/>
    <w:rsid w:val="3FC97EE0"/>
    <w:rsid w:val="3FD63B88"/>
    <w:rsid w:val="3FD84191"/>
    <w:rsid w:val="3FD9024B"/>
    <w:rsid w:val="3FF9504A"/>
    <w:rsid w:val="3FFD2677"/>
    <w:rsid w:val="40033813"/>
    <w:rsid w:val="4004626D"/>
    <w:rsid w:val="400B3176"/>
    <w:rsid w:val="401F4E55"/>
    <w:rsid w:val="40294BE1"/>
    <w:rsid w:val="40363F4D"/>
    <w:rsid w:val="403D352D"/>
    <w:rsid w:val="40406444"/>
    <w:rsid w:val="409D3501"/>
    <w:rsid w:val="40E435FF"/>
    <w:rsid w:val="411F3E06"/>
    <w:rsid w:val="41432F6C"/>
    <w:rsid w:val="41640DB8"/>
    <w:rsid w:val="41911D83"/>
    <w:rsid w:val="41B064C9"/>
    <w:rsid w:val="42180453"/>
    <w:rsid w:val="421F0F34"/>
    <w:rsid w:val="421F6AFA"/>
    <w:rsid w:val="42384FE8"/>
    <w:rsid w:val="426D634C"/>
    <w:rsid w:val="428A7398"/>
    <w:rsid w:val="42CA1A22"/>
    <w:rsid w:val="431E126D"/>
    <w:rsid w:val="43363174"/>
    <w:rsid w:val="434B7ABF"/>
    <w:rsid w:val="436805EA"/>
    <w:rsid w:val="4389521C"/>
    <w:rsid w:val="43994D0A"/>
    <w:rsid w:val="43AE2905"/>
    <w:rsid w:val="43B458B4"/>
    <w:rsid w:val="43BE1F07"/>
    <w:rsid w:val="43D63A7D"/>
    <w:rsid w:val="43F403A7"/>
    <w:rsid w:val="43F743C0"/>
    <w:rsid w:val="43F85B02"/>
    <w:rsid w:val="44156685"/>
    <w:rsid w:val="441B125D"/>
    <w:rsid w:val="442C68B9"/>
    <w:rsid w:val="443F0A06"/>
    <w:rsid w:val="444543DB"/>
    <w:rsid w:val="448512F4"/>
    <w:rsid w:val="44B3244C"/>
    <w:rsid w:val="44B32C61"/>
    <w:rsid w:val="44D426B2"/>
    <w:rsid w:val="44EE4903"/>
    <w:rsid w:val="450B3BFA"/>
    <w:rsid w:val="451F7C61"/>
    <w:rsid w:val="452A0284"/>
    <w:rsid w:val="45501F6F"/>
    <w:rsid w:val="45703B48"/>
    <w:rsid w:val="45773C9A"/>
    <w:rsid w:val="45C06792"/>
    <w:rsid w:val="46100864"/>
    <w:rsid w:val="461B728A"/>
    <w:rsid w:val="461C7E44"/>
    <w:rsid w:val="463B43F8"/>
    <w:rsid w:val="46521431"/>
    <w:rsid w:val="465E625A"/>
    <w:rsid w:val="467D4684"/>
    <w:rsid w:val="46C26FD7"/>
    <w:rsid w:val="46C6744B"/>
    <w:rsid w:val="46D362CF"/>
    <w:rsid w:val="46E41238"/>
    <w:rsid w:val="46E85064"/>
    <w:rsid w:val="47D05003"/>
    <w:rsid w:val="47D21405"/>
    <w:rsid w:val="47D54624"/>
    <w:rsid w:val="47F07AA1"/>
    <w:rsid w:val="47F92762"/>
    <w:rsid w:val="480E4243"/>
    <w:rsid w:val="48296208"/>
    <w:rsid w:val="482F7BFF"/>
    <w:rsid w:val="48613382"/>
    <w:rsid w:val="48671147"/>
    <w:rsid w:val="488E0C14"/>
    <w:rsid w:val="488E29CB"/>
    <w:rsid w:val="48A8744E"/>
    <w:rsid w:val="48C56FD3"/>
    <w:rsid w:val="48F362C2"/>
    <w:rsid w:val="497A5A80"/>
    <w:rsid w:val="49827A09"/>
    <w:rsid w:val="49AB4ED3"/>
    <w:rsid w:val="49E20A85"/>
    <w:rsid w:val="49E30CA1"/>
    <w:rsid w:val="49EE3D21"/>
    <w:rsid w:val="4A4F0367"/>
    <w:rsid w:val="4A4F6337"/>
    <w:rsid w:val="4A7144FF"/>
    <w:rsid w:val="4A75245C"/>
    <w:rsid w:val="4AD14F9E"/>
    <w:rsid w:val="4AE621D8"/>
    <w:rsid w:val="4B0754F0"/>
    <w:rsid w:val="4B2B4BE8"/>
    <w:rsid w:val="4B494FA5"/>
    <w:rsid w:val="4B515E20"/>
    <w:rsid w:val="4B74498B"/>
    <w:rsid w:val="4B795B64"/>
    <w:rsid w:val="4B7D6ED4"/>
    <w:rsid w:val="4BA06A13"/>
    <w:rsid w:val="4BF23C80"/>
    <w:rsid w:val="4BF80858"/>
    <w:rsid w:val="4C0373D9"/>
    <w:rsid w:val="4C1F381A"/>
    <w:rsid w:val="4C2506DB"/>
    <w:rsid w:val="4C280493"/>
    <w:rsid w:val="4C334438"/>
    <w:rsid w:val="4C6A3A70"/>
    <w:rsid w:val="4C8323D4"/>
    <w:rsid w:val="4C8F3363"/>
    <w:rsid w:val="4C953272"/>
    <w:rsid w:val="4CA123B2"/>
    <w:rsid w:val="4CB93C94"/>
    <w:rsid w:val="4CCC3C6F"/>
    <w:rsid w:val="4CEC6CA3"/>
    <w:rsid w:val="4D357A66"/>
    <w:rsid w:val="4D500F70"/>
    <w:rsid w:val="4D5325E2"/>
    <w:rsid w:val="4D685F78"/>
    <w:rsid w:val="4D6C2785"/>
    <w:rsid w:val="4D9724CF"/>
    <w:rsid w:val="4D9F615E"/>
    <w:rsid w:val="4DAD4C52"/>
    <w:rsid w:val="4DC95848"/>
    <w:rsid w:val="4DC9608B"/>
    <w:rsid w:val="4DCB5F7B"/>
    <w:rsid w:val="4DD971FE"/>
    <w:rsid w:val="4DE555AC"/>
    <w:rsid w:val="4DF56937"/>
    <w:rsid w:val="4DFA4930"/>
    <w:rsid w:val="4E0E0773"/>
    <w:rsid w:val="4E462E04"/>
    <w:rsid w:val="4E625324"/>
    <w:rsid w:val="4E6C6485"/>
    <w:rsid w:val="4E7520E4"/>
    <w:rsid w:val="4E8F69B1"/>
    <w:rsid w:val="4EE04EEC"/>
    <w:rsid w:val="4F1D076F"/>
    <w:rsid w:val="4F87699C"/>
    <w:rsid w:val="4F9473A8"/>
    <w:rsid w:val="4F9C1D24"/>
    <w:rsid w:val="4F9F329B"/>
    <w:rsid w:val="4FB61468"/>
    <w:rsid w:val="4FC500A2"/>
    <w:rsid w:val="4FE623CF"/>
    <w:rsid w:val="500B2D00"/>
    <w:rsid w:val="50251DC4"/>
    <w:rsid w:val="50675C34"/>
    <w:rsid w:val="50680152"/>
    <w:rsid w:val="506B7C43"/>
    <w:rsid w:val="507256F5"/>
    <w:rsid w:val="508F38BA"/>
    <w:rsid w:val="509A6C36"/>
    <w:rsid w:val="50B27A38"/>
    <w:rsid w:val="50BA09E9"/>
    <w:rsid w:val="50BF5E3A"/>
    <w:rsid w:val="510460CD"/>
    <w:rsid w:val="51254295"/>
    <w:rsid w:val="51385D77"/>
    <w:rsid w:val="51417164"/>
    <w:rsid w:val="51437ECF"/>
    <w:rsid w:val="51506D67"/>
    <w:rsid w:val="51644DBE"/>
    <w:rsid w:val="516F72BF"/>
    <w:rsid w:val="51741B9B"/>
    <w:rsid w:val="518C55E7"/>
    <w:rsid w:val="51C146A8"/>
    <w:rsid w:val="51CB7D45"/>
    <w:rsid w:val="51EF7C55"/>
    <w:rsid w:val="51F53FB2"/>
    <w:rsid w:val="52052088"/>
    <w:rsid w:val="521C4B04"/>
    <w:rsid w:val="521E66A6"/>
    <w:rsid w:val="522327BE"/>
    <w:rsid w:val="524040A8"/>
    <w:rsid w:val="527F22CD"/>
    <w:rsid w:val="5289543B"/>
    <w:rsid w:val="52974D1F"/>
    <w:rsid w:val="52EC6E19"/>
    <w:rsid w:val="530673F5"/>
    <w:rsid w:val="530B4CB1"/>
    <w:rsid w:val="533C394C"/>
    <w:rsid w:val="53523B1C"/>
    <w:rsid w:val="53727288"/>
    <w:rsid w:val="53864180"/>
    <w:rsid w:val="539811C5"/>
    <w:rsid w:val="53F1045F"/>
    <w:rsid w:val="53FE4B82"/>
    <w:rsid w:val="540208BE"/>
    <w:rsid w:val="542A3355"/>
    <w:rsid w:val="542E3461"/>
    <w:rsid w:val="545F170D"/>
    <w:rsid w:val="54640C31"/>
    <w:rsid w:val="54666613"/>
    <w:rsid w:val="546B0C7D"/>
    <w:rsid w:val="547827B4"/>
    <w:rsid w:val="54AA6A71"/>
    <w:rsid w:val="54CD2654"/>
    <w:rsid w:val="54FC29C1"/>
    <w:rsid w:val="55161BA5"/>
    <w:rsid w:val="553129C7"/>
    <w:rsid w:val="55336A81"/>
    <w:rsid w:val="555A0630"/>
    <w:rsid w:val="55701431"/>
    <w:rsid w:val="557F5968"/>
    <w:rsid w:val="558873A3"/>
    <w:rsid w:val="5595518E"/>
    <w:rsid w:val="55DF685D"/>
    <w:rsid w:val="55E55977"/>
    <w:rsid w:val="55F83982"/>
    <w:rsid w:val="55FA0DA7"/>
    <w:rsid w:val="561B2CB4"/>
    <w:rsid w:val="56257B27"/>
    <w:rsid w:val="56422519"/>
    <w:rsid w:val="565C5942"/>
    <w:rsid w:val="566C6792"/>
    <w:rsid w:val="568702F6"/>
    <w:rsid w:val="569A2D71"/>
    <w:rsid w:val="56AC2AE3"/>
    <w:rsid w:val="56AE285D"/>
    <w:rsid w:val="56BB7056"/>
    <w:rsid w:val="56D227CA"/>
    <w:rsid w:val="56DE1AFD"/>
    <w:rsid w:val="56E322E1"/>
    <w:rsid w:val="56F63665"/>
    <w:rsid w:val="56FC4340"/>
    <w:rsid w:val="57015BF0"/>
    <w:rsid w:val="570327DE"/>
    <w:rsid w:val="57196C7E"/>
    <w:rsid w:val="577E55A6"/>
    <w:rsid w:val="57895FA1"/>
    <w:rsid w:val="57B323AE"/>
    <w:rsid w:val="57C4048F"/>
    <w:rsid w:val="57D245B1"/>
    <w:rsid w:val="57EC1669"/>
    <w:rsid w:val="57ED3220"/>
    <w:rsid w:val="58214BFC"/>
    <w:rsid w:val="583131BD"/>
    <w:rsid w:val="58440312"/>
    <w:rsid w:val="586575D5"/>
    <w:rsid w:val="58A3366C"/>
    <w:rsid w:val="58B11802"/>
    <w:rsid w:val="58B73637"/>
    <w:rsid w:val="58C44394"/>
    <w:rsid w:val="58F72073"/>
    <w:rsid w:val="59586497"/>
    <w:rsid w:val="59A5068D"/>
    <w:rsid w:val="59A51106"/>
    <w:rsid w:val="5A026F22"/>
    <w:rsid w:val="5AAB4C6E"/>
    <w:rsid w:val="5AB66CB2"/>
    <w:rsid w:val="5AB74A9E"/>
    <w:rsid w:val="5ABF3D52"/>
    <w:rsid w:val="5ACD7CBD"/>
    <w:rsid w:val="5AFE4969"/>
    <w:rsid w:val="5B057272"/>
    <w:rsid w:val="5B076989"/>
    <w:rsid w:val="5B3000AC"/>
    <w:rsid w:val="5B3A562C"/>
    <w:rsid w:val="5B40672D"/>
    <w:rsid w:val="5B4F19F0"/>
    <w:rsid w:val="5B7C2D04"/>
    <w:rsid w:val="5BB97AB4"/>
    <w:rsid w:val="5BBE20FE"/>
    <w:rsid w:val="5BCF4FD2"/>
    <w:rsid w:val="5BDC3B05"/>
    <w:rsid w:val="5C3D52F1"/>
    <w:rsid w:val="5C5905FC"/>
    <w:rsid w:val="5C755622"/>
    <w:rsid w:val="5C844566"/>
    <w:rsid w:val="5CA27C92"/>
    <w:rsid w:val="5CC20BEA"/>
    <w:rsid w:val="5CC73DFB"/>
    <w:rsid w:val="5CD24D2B"/>
    <w:rsid w:val="5CF87643"/>
    <w:rsid w:val="5D3918D7"/>
    <w:rsid w:val="5D3D64C3"/>
    <w:rsid w:val="5D4F4313"/>
    <w:rsid w:val="5D755C5D"/>
    <w:rsid w:val="5D81714F"/>
    <w:rsid w:val="5D8B722E"/>
    <w:rsid w:val="5D961571"/>
    <w:rsid w:val="5DA73E02"/>
    <w:rsid w:val="5DAA1F8C"/>
    <w:rsid w:val="5DAF6759"/>
    <w:rsid w:val="5DB77B43"/>
    <w:rsid w:val="5DC958F0"/>
    <w:rsid w:val="5E196925"/>
    <w:rsid w:val="5E214EA3"/>
    <w:rsid w:val="5E4D5B68"/>
    <w:rsid w:val="5E843F2B"/>
    <w:rsid w:val="5E87720A"/>
    <w:rsid w:val="5E9F741E"/>
    <w:rsid w:val="5ED677EB"/>
    <w:rsid w:val="5F27742B"/>
    <w:rsid w:val="5F4149A4"/>
    <w:rsid w:val="5F5A005C"/>
    <w:rsid w:val="5F8349CD"/>
    <w:rsid w:val="5FB61CAD"/>
    <w:rsid w:val="5FDC0215"/>
    <w:rsid w:val="600015BD"/>
    <w:rsid w:val="600F4147"/>
    <w:rsid w:val="60100B34"/>
    <w:rsid w:val="60282487"/>
    <w:rsid w:val="60315CC2"/>
    <w:rsid w:val="60517D8C"/>
    <w:rsid w:val="609A4358"/>
    <w:rsid w:val="60BC609A"/>
    <w:rsid w:val="60E70EB6"/>
    <w:rsid w:val="61070D5C"/>
    <w:rsid w:val="613C5E23"/>
    <w:rsid w:val="613E4166"/>
    <w:rsid w:val="614918DA"/>
    <w:rsid w:val="61494014"/>
    <w:rsid w:val="61941E9B"/>
    <w:rsid w:val="619E5B05"/>
    <w:rsid w:val="61A56F03"/>
    <w:rsid w:val="61A925E3"/>
    <w:rsid w:val="62293126"/>
    <w:rsid w:val="6232095A"/>
    <w:rsid w:val="62341C08"/>
    <w:rsid w:val="625B5F08"/>
    <w:rsid w:val="625E32D6"/>
    <w:rsid w:val="626C3AD2"/>
    <w:rsid w:val="627477E0"/>
    <w:rsid w:val="62A50D92"/>
    <w:rsid w:val="62B92A90"/>
    <w:rsid w:val="62E148F4"/>
    <w:rsid w:val="631532DD"/>
    <w:rsid w:val="63163A3E"/>
    <w:rsid w:val="631D35FB"/>
    <w:rsid w:val="632F5C2F"/>
    <w:rsid w:val="634C56B2"/>
    <w:rsid w:val="6372595D"/>
    <w:rsid w:val="638B13EF"/>
    <w:rsid w:val="63C97CA1"/>
    <w:rsid w:val="63D91A05"/>
    <w:rsid w:val="63DB6C14"/>
    <w:rsid w:val="63E1404C"/>
    <w:rsid w:val="63E7123E"/>
    <w:rsid w:val="64046BAB"/>
    <w:rsid w:val="6413625C"/>
    <w:rsid w:val="6440368D"/>
    <w:rsid w:val="64416DB3"/>
    <w:rsid w:val="64496A60"/>
    <w:rsid w:val="648C2453"/>
    <w:rsid w:val="64910CB7"/>
    <w:rsid w:val="64AA6F4C"/>
    <w:rsid w:val="64AC3FDC"/>
    <w:rsid w:val="64BF1D6F"/>
    <w:rsid w:val="64C676BB"/>
    <w:rsid w:val="64D90805"/>
    <w:rsid w:val="64DB6CED"/>
    <w:rsid w:val="64DC7E68"/>
    <w:rsid w:val="64EA205E"/>
    <w:rsid w:val="64F97173"/>
    <w:rsid w:val="64FA7DE9"/>
    <w:rsid w:val="65362A00"/>
    <w:rsid w:val="654F06B6"/>
    <w:rsid w:val="65510EF0"/>
    <w:rsid w:val="65562B3E"/>
    <w:rsid w:val="657B6EBE"/>
    <w:rsid w:val="658304C2"/>
    <w:rsid w:val="6591160E"/>
    <w:rsid w:val="6593581A"/>
    <w:rsid w:val="659867E4"/>
    <w:rsid w:val="65D4762D"/>
    <w:rsid w:val="65D648DA"/>
    <w:rsid w:val="65E60816"/>
    <w:rsid w:val="65EA5D72"/>
    <w:rsid w:val="663A49B6"/>
    <w:rsid w:val="66430747"/>
    <w:rsid w:val="66433ABB"/>
    <w:rsid w:val="667D7838"/>
    <w:rsid w:val="66A850C9"/>
    <w:rsid w:val="66C33EDD"/>
    <w:rsid w:val="66C835B3"/>
    <w:rsid w:val="66D7477B"/>
    <w:rsid w:val="66E20510"/>
    <w:rsid w:val="66F2031E"/>
    <w:rsid w:val="66FF36BA"/>
    <w:rsid w:val="67002A3B"/>
    <w:rsid w:val="67053CB2"/>
    <w:rsid w:val="670553E1"/>
    <w:rsid w:val="67240BE7"/>
    <w:rsid w:val="679556D1"/>
    <w:rsid w:val="67BA0E3C"/>
    <w:rsid w:val="67D95054"/>
    <w:rsid w:val="67DD24E4"/>
    <w:rsid w:val="67DD2A4B"/>
    <w:rsid w:val="67E80443"/>
    <w:rsid w:val="67E81E4D"/>
    <w:rsid w:val="681510E3"/>
    <w:rsid w:val="682624A2"/>
    <w:rsid w:val="684B418A"/>
    <w:rsid w:val="68612BE6"/>
    <w:rsid w:val="68A5098B"/>
    <w:rsid w:val="68CB4A08"/>
    <w:rsid w:val="68D612AE"/>
    <w:rsid w:val="68D72FCD"/>
    <w:rsid w:val="68EA5751"/>
    <w:rsid w:val="69006D22"/>
    <w:rsid w:val="692E3A1D"/>
    <w:rsid w:val="692F13B6"/>
    <w:rsid w:val="697B7B33"/>
    <w:rsid w:val="697F5DDA"/>
    <w:rsid w:val="69B04B91"/>
    <w:rsid w:val="69F32866"/>
    <w:rsid w:val="6A096228"/>
    <w:rsid w:val="6A19094A"/>
    <w:rsid w:val="6A1D7871"/>
    <w:rsid w:val="6A224A37"/>
    <w:rsid w:val="6A270980"/>
    <w:rsid w:val="6A496C49"/>
    <w:rsid w:val="6A5C4B99"/>
    <w:rsid w:val="6A667AC0"/>
    <w:rsid w:val="6A6D488B"/>
    <w:rsid w:val="6A7656AD"/>
    <w:rsid w:val="6AD101E2"/>
    <w:rsid w:val="6AD1185C"/>
    <w:rsid w:val="6AE4719D"/>
    <w:rsid w:val="6AF51F20"/>
    <w:rsid w:val="6AF52EE2"/>
    <w:rsid w:val="6B0647F4"/>
    <w:rsid w:val="6B271D47"/>
    <w:rsid w:val="6B2E000F"/>
    <w:rsid w:val="6B3E7FD6"/>
    <w:rsid w:val="6B44347E"/>
    <w:rsid w:val="6B6C2E6F"/>
    <w:rsid w:val="6B8306C9"/>
    <w:rsid w:val="6B923D4D"/>
    <w:rsid w:val="6BB12556"/>
    <w:rsid w:val="6BB429A9"/>
    <w:rsid w:val="6BC32289"/>
    <w:rsid w:val="6BCF6E80"/>
    <w:rsid w:val="6C39169B"/>
    <w:rsid w:val="6C97174C"/>
    <w:rsid w:val="6CCC34A0"/>
    <w:rsid w:val="6D220569"/>
    <w:rsid w:val="6D261E17"/>
    <w:rsid w:val="6D723F67"/>
    <w:rsid w:val="6D8343C6"/>
    <w:rsid w:val="6D8B69E2"/>
    <w:rsid w:val="6D9A358A"/>
    <w:rsid w:val="6DB751F8"/>
    <w:rsid w:val="6DD304D6"/>
    <w:rsid w:val="6E1F4D71"/>
    <w:rsid w:val="6E276AFF"/>
    <w:rsid w:val="6E2A2751"/>
    <w:rsid w:val="6E3F5629"/>
    <w:rsid w:val="6E4D0FCB"/>
    <w:rsid w:val="6E787AD5"/>
    <w:rsid w:val="6E846FB1"/>
    <w:rsid w:val="6E9A4B4D"/>
    <w:rsid w:val="6EF2535F"/>
    <w:rsid w:val="6F1C23DC"/>
    <w:rsid w:val="6F244D97"/>
    <w:rsid w:val="6F6824F9"/>
    <w:rsid w:val="6F6F4C26"/>
    <w:rsid w:val="6F9525CA"/>
    <w:rsid w:val="6FA756F8"/>
    <w:rsid w:val="6FA97A2D"/>
    <w:rsid w:val="6FAA099C"/>
    <w:rsid w:val="6FD65962"/>
    <w:rsid w:val="6FFE3F4A"/>
    <w:rsid w:val="70262DC3"/>
    <w:rsid w:val="70351C16"/>
    <w:rsid w:val="70354EDF"/>
    <w:rsid w:val="70427899"/>
    <w:rsid w:val="70912956"/>
    <w:rsid w:val="70A01C66"/>
    <w:rsid w:val="70C502F2"/>
    <w:rsid w:val="70D60A20"/>
    <w:rsid w:val="70DA4916"/>
    <w:rsid w:val="71086083"/>
    <w:rsid w:val="71090CB3"/>
    <w:rsid w:val="711D4AD7"/>
    <w:rsid w:val="71333E08"/>
    <w:rsid w:val="71414B94"/>
    <w:rsid w:val="71943F79"/>
    <w:rsid w:val="71A71EB0"/>
    <w:rsid w:val="71B2744B"/>
    <w:rsid w:val="71CB1E97"/>
    <w:rsid w:val="71F03E49"/>
    <w:rsid w:val="71F948D9"/>
    <w:rsid w:val="721E7894"/>
    <w:rsid w:val="7267796B"/>
    <w:rsid w:val="727E24CC"/>
    <w:rsid w:val="72CA1D24"/>
    <w:rsid w:val="732820FB"/>
    <w:rsid w:val="7348286E"/>
    <w:rsid w:val="734E58BB"/>
    <w:rsid w:val="735E1E1E"/>
    <w:rsid w:val="73850B4B"/>
    <w:rsid w:val="73C05A2C"/>
    <w:rsid w:val="73C42FDE"/>
    <w:rsid w:val="73C53A5A"/>
    <w:rsid w:val="73CB5D79"/>
    <w:rsid w:val="73E3740B"/>
    <w:rsid w:val="740A13F3"/>
    <w:rsid w:val="740A1CA6"/>
    <w:rsid w:val="74187C92"/>
    <w:rsid w:val="741D3A23"/>
    <w:rsid w:val="74220495"/>
    <w:rsid w:val="744B728E"/>
    <w:rsid w:val="746215D6"/>
    <w:rsid w:val="748055E0"/>
    <w:rsid w:val="74990904"/>
    <w:rsid w:val="74A71F11"/>
    <w:rsid w:val="74B32AF9"/>
    <w:rsid w:val="74B60BDD"/>
    <w:rsid w:val="74BC136E"/>
    <w:rsid w:val="74CB28DA"/>
    <w:rsid w:val="74D458C7"/>
    <w:rsid w:val="74EF1A5B"/>
    <w:rsid w:val="750B0F29"/>
    <w:rsid w:val="75563A91"/>
    <w:rsid w:val="75614FED"/>
    <w:rsid w:val="758D7B90"/>
    <w:rsid w:val="759B7ED5"/>
    <w:rsid w:val="75A128A8"/>
    <w:rsid w:val="75D641DC"/>
    <w:rsid w:val="75F21928"/>
    <w:rsid w:val="76036773"/>
    <w:rsid w:val="761908B8"/>
    <w:rsid w:val="762E157C"/>
    <w:rsid w:val="76424044"/>
    <w:rsid w:val="76623B7D"/>
    <w:rsid w:val="76812CA9"/>
    <w:rsid w:val="76B850E0"/>
    <w:rsid w:val="76C71B52"/>
    <w:rsid w:val="76DB492B"/>
    <w:rsid w:val="76E977E8"/>
    <w:rsid w:val="77193D60"/>
    <w:rsid w:val="773A0077"/>
    <w:rsid w:val="77415238"/>
    <w:rsid w:val="77B21B30"/>
    <w:rsid w:val="77C620FD"/>
    <w:rsid w:val="77EE0202"/>
    <w:rsid w:val="77FB7C3D"/>
    <w:rsid w:val="780F7C0F"/>
    <w:rsid w:val="78156B89"/>
    <w:rsid w:val="781E7159"/>
    <w:rsid w:val="7831292C"/>
    <w:rsid w:val="78743289"/>
    <w:rsid w:val="78EB3835"/>
    <w:rsid w:val="78EE419B"/>
    <w:rsid w:val="796B65E4"/>
    <w:rsid w:val="79700622"/>
    <w:rsid w:val="79986A4D"/>
    <w:rsid w:val="79B825D4"/>
    <w:rsid w:val="79BB332A"/>
    <w:rsid w:val="79C124FE"/>
    <w:rsid w:val="79E3255B"/>
    <w:rsid w:val="7A135289"/>
    <w:rsid w:val="7A1D64E5"/>
    <w:rsid w:val="7A227B04"/>
    <w:rsid w:val="7A5039A2"/>
    <w:rsid w:val="7A721A4A"/>
    <w:rsid w:val="7A7A2EB6"/>
    <w:rsid w:val="7A97325F"/>
    <w:rsid w:val="7AC50953"/>
    <w:rsid w:val="7AE227A0"/>
    <w:rsid w:val="7AE52708"/>
    <w:rsid w:val="7B136D89"/>
    <w:rsid w:val="7B276391"/>
    <w:rsid w:val="7B327536"/>
    <w:rsid w:val="7B452CBB"/>
    <w:rsid w:val="7B4954FE"/>
    <w:rsid w:val="7B58586E"/>
    <w:rsid w:val="7BAB35D0"/>
    <w:rsid w:val="7BC71922"/>
    <w:rsid w:val="7BD06A28"/>
    <w:rsid w:val="7BFE10B1"/>
    <w:rsid w:val="7C0641F8"/>
    <w:rsid w:val="7C6904E1"/>
    <w:rsid w:val="7C6F7D55"/>
    <w:rsid w:val="7C725D31"/>
    <w:rsid w:val="7C846875"/>
    <w:rsid w:val="7C8B25A0"/>
    <w:rsid w:val="7C937E4D"/>
    <w:rsid w:val="7CA5560B"/>
    <w:rsid w:val="7CAF4890"/>
    <w:rsid w:val="7CBC51C8"/>
    <w:rsid w:val="7CCC21DA"/>
    <w:rsid w:val="7CE61981"/>
    <w:rsid w:val="7D08366B"/>
    <w:rsid w:val="7D1215ED"/>
    <w:rsid w:val="7D1E0A08"/>
    <w:rsid w:val="7D1E1DE6"/>
    <w:rsid w:val="7D4274B2"/>
    <w:rsid w:val="7D443E63"/>
    <w:rsid w:val="7D4C2584"/>
    <w:rsid w:val="7D803D18"/>
    <w:rsid w:val="7D821FA4"/>
    <w:rsid w:val="7D951CD7"/>
    <w:rsid w:val="7DA44288"/>
    <w:rsid w:val="7E076D28"/>
    <w:rsid w:val="7E472548"/>
    <w:rsid w:val="7E897775"/>
    <w:rsid w:val="7EB87DA0"/>
    <w:rsid w:val="7EF45AF6"/>
    <w:rsid w:val="7F127536"/>
    <w:rsid w:val="7F180F72"/>
    <w:rsid w:val="7F28472D"/>
    <w:rsid w:val="7F3E0357"/>
    <w:rsid w:val="7F8143D8"/>
    <w:rsid w:val="7F9C630A"/>
    <w:rsid w:val="7FAD2956"/>
    <w:rsid w:val="7FB71CEB"/>
    <w:rsid w:val="7FDF37D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80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qFormat/>
    <w:uiPriority w:val="0"/>
    <w:pPr>
      <w:keepNext/>
      <w:keepLines/>
      <w:numPr>
        <w:ilvl w:val="0"/>
        <w:numId w:val="1"/>
      </w:numPr>
      <w:tabs>
        <w:tab w:val="left" w:pos="432"/>
      </w:tabs>
      <w:spacing w:before="240" w:beforeLines="0" w:after="240" w:afterLines="0" w:line="240" w:lineRule="auto"/>
      <w:ind w:left="432" w:hanging="432" w:firstLineChars="0"/>
      <w:jc w:val="center"/>
      <w:outlineLvl w:val="0"/>
    </w:pPr>
    <w:rPr>
      <w:b/>
      <w:bCs/>
      <w:kern w:val="44"/>
      <w:sz w:val="36"/>
      <w:szCs w:val="44"/>
    </w:rPr>
  </w:style>
  <w:style w:type="paragraph" w:styleId="4">
    <w:name w:val="heading 2"/>
    <w:basedOn w:val="1"/>
    <w:next w:val="1"/>
    <w:link w:val="63"/>
    <w:qFormat/>
    <w:uiPriority w:val="0"/>
    <w:pPr>
      <w:keepNext/>
      <w:keepLines/>
      <w:numPr>
        <w:ilvl w:val="1"/>
        <w:numId w:val="1"/>
      </w:numPr>
      <w:tabs>
        <w:tab w:val="left" w:pos="576"/>
      </w:tabs>
      <w:spacing w:beforeLines="0" w:afterLines="0" w:line="360" w:lineRule="auto"/>
      <w:ind w:left="0" w:firstLine="0" w:firstLineChars="0"/>
      <w:outlineLvl w:val="1"/>
    </w:pPr>
    <w:rPr>
      <w:rFonts w:ascii="Arial" w:hAnsi="Arial"/>
      <w:b/>
      <w:bCs/>
      <w:sz w:val="32"/>
      <w:szCs w:val="32"/>
    </w:rPr>
  </w:style>
  <w:style w:type="paragraph" w:styleId="5">
    <w:name w:val="heading 3"/>
    <w:basedOn w:val="1"/>
    <w:next w:val="1"/>
    <w:link w:val="61"/>
    <w:qFormat/>
    <w:uiPriority w:val="0"/>
    <w:pPr>
      <w:keepNext/>
      <w:keepLines/>
      <w:numPr>
        <w:ilvl w:val="2"/>
        <w:numId w:val="1"/>
      </w:numPr>
      <w:spacing w:beforeLines="0" w:beforeAutospacing="0" w:afterLines="0" w:afterAutospacing="0" w:line="360" w:lineRule="auto"/>
      <w:ind w:left="0" w:firstLine="0" w:firstLineChars="0"/>
      <w:outlineLvl w:val="2"/>
    </w:pPr>
    <w:rPr>
      <w:rFonts w:ascii="Times New Roman" w:hAnsi="Times New Roman" w:eastAsia="宋体"/>
      <w:b/>
      <w:sz w:val="30"/>
    </w:rPr>
  </w:style>
  <w:style w:type="paragraph" w:styleId="6">
    <w:name w:val="heading 4"/>
    <w:basedOn w:val="1"/>
    <w:next w:val="1"/>
    <w:link w:val="60"/>
    <w:qFormat/>
    <w:uiPriority w:val="0"/>
    <w:pPr>
      <w:keepNext/>
      <w:keepLines/>
      <w:numPr>
        <w:ilvl w:val="3"/>
        <w:numId w:val="1"/>
      </w:numPr>
      <w:tabs>
        <w:tab w:val="left" w:pos="1290"/>
      </w:tabs>
      <w:adjustRightInd w:val="0"/>
      <w:spacing w:beforeLines="0" w:line="360" w:lineRule="auto"/>
      <w:ind w:left="0" w:firstLine="0" w:firstLineChars="0"/>
      <w:outlineLvl w:val="3"/>
    </w:pPr>
    <w:rPr>
      <w:rFonts w:ascii="Arial" w:hAnsi="Arial"/>
      <w:b/>
      <w:bCs/>
      <w:sz w:val="28"/>
      <w:szCs w:val="28"/>
    </w:rPr>
  </w:style>
  <w:style w:type="paragraph" w:styleId="7">
    <w:name w:val="heading 5"/>
    <w:basedOn w:val="1"/>
    <w:next w:val="1"/>
    <w:qFormat/>
    <w:uiPriority w:val="0"/>
    <w:pPr>
      <w:keepNext/>
      <w:keepLines/>
      <w:numPr>
        <w:ilvl w:val="4"/>
        <w:numId w:val="1"/>
      </w:numPr>
      <w:spacing w:beforeLines="0" w:beforeAutospacing="0" w:afterLines="0" w:afterAutospacing="0" w:line="360" w:lineRule="auto"/>
      <w:ind w:left="1009" w:hanging="1009" w:firstLineChars="0"/>
      <w:outlineLvl w:val="4"/>
    </w:pPr>
    <w:rPr>
      <w:rFonts w:ascii="Times New Roman" w:hAnsi="Times New Roman" w:eastAsia="宋体"/>
      <w:b/>
      <w:kern w:val="0"/>
      <w:szCs w:val="22"/>
    </w:rPr>
  </w:style>
  <w:style w:type="paragraph" w:styleId="8">
    <w:name w:val="heading 6"/>
    <w:basedOn w:val="1"/>
    <w:next w:val="1"/>
    <w:qFormat/>
    <w:uiPriority w:val="0"/>
    <w:pPr>
      <w:keepNext/>
      <w:keepLines/>
      <w:numPr>
        <w:ilvl w:val="5"/>
        <w:numId w:val="1"/>
      </w:numPr>
      <w:spacing w:before="240" w:beforeLines="0" w:beforeAutospacing="0" w:after="64" w:afterLines="0" w:afterAutospacing="0" w:line="317" w:lineRule="auto"/>
      <w:ind w:left="1151" w:hanging="1151" w:firstLineChars="0"/>
      <w:outlineLvl w:val="5"/>
    </w:pPr>
    <w:rPr>
      <w:rFonts w:ascii="Arial" w:hAnsi="Arial" w:eastAsia="黑体"/>
      <w:b/>
      <w:sz w:val="24"/>
    </w:rPr>
  </w:style>
  <w:style w:type="paragraph" w:styleId="9">
    <w:name w:val="heading 7"/>
    <w:basedOn w:val="1"/>
    <w:next w:val="1"/>
    <w:qFormat/>
    <w:uiPriority w:val="0"/>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paragraph" w:styleId="10">
    <w:name w:val="heading 8"/>
    <w:basedOn w:val="1"/>
    <w:next w:val="1"/>
    <w:qFormat/>
    <w:uiPriority w:val="0"/>
    <w:pPr>
      <w:keepNext/>
      <w:keepLines/>
      <w:numPr>
        <w:ilvl w:val="7"/>
        <w:numId w:val="1"/>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1">
    <w:name w:val="heading 9"/>
    <w:basedOn w:val="1"/>
    <w:next w:val="1"/>
    <w:qFormat/>
    <w:uiPriority w:val="0"/>
    <w:pPr>
      <w:keepNext/>
      <w:keepLines/>
      <w:numPr>
        <w:ilvl w:val="8"/>
        <w:numId w:val="1"/>
      </w:numPr>
      <w:spacing w:before="240" w:beforeLines="0" w:beforeAutospacing="0" w:after="64" w:afterLines="0" w:afterAutospacing="0" w:line="317" w:lineRule="auto"/>
      <w:ind w:left="1583" w:hanging="1583" w:firstLineChars="0"/>
      <w:outlineLvl w:val="8"/>
    </w:pPr>
    <w:rPr>
      <w:rFonts w:ascii="Arial" w:hAnsi="Arial" w:eastAsia="黑体"/>
      <w:sz w:val="21"/>
    </w:rPr>
  </w:style>
  <w:style w:type="character" w:default="1" w:styleId="41">
    <w:name w:val="Default Paragraph Font"/>
    <w:unhideWhenUsed/>
    <w:qFormat/>
    <w:uiPriority w:val="1"/>
  </w:style>
  <w:style w:type="table" w:default="1" w:styleId="39">
    <w:name w:val="Normal Table"/>
    <w:semiHidden/>
    <w:qFormat/>
    <w:uiPriority w:val="0"/>
    <w:tblPr>
      <w:tblCellMar>
        <w:top w:w="0" w:type="dxa"/>
        <w:left w:w="108" w:type="dxa"/>
        <w:bottom w:w="0" w:type="dxa"/>
        <w:right w:w="108" w:type="dxa"/>
      </w:tblCellMar>
    </w:tblPr>
  </w:style>
  <w:style w:type="paragraph" w:styleId="2">
    <w:name w:val="header"/>
    <w:basedOn w:val="1"/>
    <w:next w:val="1"/>
    <w:qFormat/>
    <w:uiPriority w:val="0"/>
    <w:pPr>
      <w:pBdr>
        <w:bottom w:val="single" w:color="auto" w:sz="6" w:space="1"/>
      </w:pBdr>
      <w:tabs>
        <w:tab w:val="center" w:pos="4153"/>
        <w:tab w:val="right" w:pos="8306"/>
      </w:tabs>
      <w:snapToGrid w:val="0"/>
      <w:jc w:val="center"/>
    </w:pPr>
    <w:rPr>
      <w:sz w:val="18"/>
      <w:szCs w:val="18"/>
    </w:rPr>
  </w:style>
  <w:style w:type="paragraph" w:styleId="12">
    <w:name w:val="Normal Indent"/>
    <w:basedOn w:val="1"/>
    <w:next w:val="1"/>
    <w:qFormat/>
    <w:uiPriority w:val="0"/>
    <w:pPr>
      <w:spacing w:line="360" w:lineRule="auto"/>
      <w:ind w:firstLine="420"/>
    </w:pPr>
    <w:rPr>
      <w:sz w:val="28"/>
    </w:rPr>
  </w:style>
  <w:style w:type="paragraph" w:styleId="13">
    <w:name w:val="caption"/>
    <w:basedOn w:val="1"/>
    <w:next w:val="1"/>
    <w:qFormat/>
    <w:uiPriority w:val="0"/>
    <w:rPr>
      <w:b/>
    </w:rPr>
  </w:style>
  <w:style w:type="paragraph" w:styleId="14">
    <w:name w:val="Document Map"/>
    <w:basedOn w:val="1"/>
    <w:link w:val="64"/>
    <w:qFormat/>
    <w:uiPriority w:val="0"/>
    <w:pPr>
      <w:spacing w:before="36" w:after="36"/>
      <w:ind w:firstLine="482" w:firstLineChars="0"/>
      <w:jc w:val="left"/>
    </w:pPr>
    <w:rPr>
      <w:rFonts w:ascii="宋体"/>
      <w:sz w:val="18"/>
      <w:szCs w:val="18"/>
    </w:rPr>
  </w:style>
  <w:style w:type="paragraph" w:styleId="15">
    <w:name w:val="annotation text"/>
    <w:basedOn w:val="1"/>
    <w:link w:val="65"/>
    <w:qFormat/>
    <w:uiPriority w:val="99"/>
    <w:pPr>
      <w:jc w:val="left"/>
    </w:pPr>
    <w:rPr>
      <w:kern w:val="2"/>
      <w:sz w:val="21"/>
      <w:szCs w:val="24"/>
    </w:rPr>
  </w:style>
  <w:style w:type="paragraph" w:styleId="16">
    <w:name w:val="Body Text 3"/>
    <w:basedOn w:val="1"/>
    <w:qFormat/>
    <w:uiPriority w:val="0"/>
    <w:pPr>
      <w:spacing w:after="120"/>
    </w:pPr>
    <w:rPr>
      <w:sz w:val="16"/>
    </w:rPr>
  </w:style>
  <w:style w:type="paragraph" w:styleId="17">
    <w:name w:val="Body Text"/>
    <w:basedOn w:val="1"/>
    <w:next w:val="18"/>
    <w:qFormat/>
    <w:uiPriority w:val="0"/>
    <w:pPr>
      <w:adjustRightInd w:val="0"/>
      <w:spacing w:afterLines="0" w:afterAutospacing="0" w:line="360" w:lineRule="auto"/>
      <w:ind w:firstLine="800" w:firstLineChars="200"/>
    </w:pPr>
    <w:rPr>
      <w:rFonts w:ascii="Times New Roman" w:hAnsi="Times New Roman" w:eastAsia="宋体"/>
      <w:sz w:val="24"/>
    </w:rPr>
  </w:style>
  <w:style w:type="paragraph" w:customStyle="1" w:styleId="18">
    <w:name w:val="xl27"/>
    <w:basedOn w:val="1"/>
    <w:qFormat/>
    <w:uiPriority w:val="0"/>
    <w:pPr>
      <w:widowControl/>
      <w:pBdr>
        <w:bottom w:val="single" w:color="auto" w:sz="12" w:space="0"/>
      </w:pBdr>
      <w:spacing w:before="100" w:beforeLines="0" w:after="100" w:afterLines="0"/>
      <w:jc w:val="center"/>
    </w:pPr>
    <w:rPr>
      <w:rFonts w:ascii="宋体" w:hAnsi="宋体"/>
      <w:kern w:val="0"/>
      <w:szCs w:val="20"/>
    </w:rPr>
  </w:style>
  <w:style w:type="paragraph" w:styleId="19">
    <w:name w:val="Body Text Indent"/>
    <w:basedOn w:val="1"/>
    <w:next w:val="1"/>
    <w:qFormat/>
    <w:uiPriority w:val="0"/>
    <w:pPr>
      <w:spacing w:after="120" w:afterLines="0"/>
      <w:ind w:left="420" w:leftChars="200"/>
    </w:pPr>
  </w:style>
  <w:style w:type="paragraph" w:styleId="20">
    <w:name w:val="Block Text"/>
    <w:basedOn w:val="1"/>
    <w:qFormat/>
    <w:uiPriority w:val="0"/>
    <w:pPr>
      <w:spacing w:line="240" w:lineRule="exact"/>
      <w:ind w:left="-51" w:leftChars="-51" w:right="-108" w:firstLine="1"/>
    </w:pPr>
    <w:rPr>
      <w:rFonts w:ascii="宋体"/>
      <w:sz w:val="18"/>
    </w:rPr>
  </w:style>
  <w:style w:type="paragraph" w:styleId="21">
    <w:name w:val="Plain Text"/>
    <w:basedOn w:val="1"/>
    <w:qFormat/>
    <w:uiPriority w:val="0"/>
    <w:pPr>
      <w:widowControl/>
      <w:spacing w:after="200" w:line="240" w:lineRule="auto"/>
      <w:jc w:val="left"/>
    </w:pPr>
    <w:rPr>
      <w:rFonts w:ascii="宋体" w:hAnsi="Courier New" w:eastAsia="宋体" w:cs="Times New Roman"/>
      <w:kern w:val="0"/>
      <w:sz w:val="28"/>
      <w:szCs w:val="20"/>
      <w:lang w:eastAsia="en-US" w:bidi="en-US"/>
    </w:rPr>
  </w:style>
  <w:style w:type="paragraph" w:styleId="22">
    <w:name w:val="List Bullet 5"/>
    <w:basedOn w:val="1"/>
    <w:qFormat/>
    <w:uiPriority w:val="0"/>
    <w:pPr>
      <w:numPr>
        <w:ilvl w:val="0"/>
        <w:numId w:val="2"/>
      </w:numPr>
    </w:pPr>
  </w:style>
  <w:style w:type="paragraph" w:styleId="23">
    <w:name w:val="Date"/>
    <w:basedOn w:val="1"/>
    <w:next w:val="1"/>
    <w:qFormat/>
    <w:uiPriority w:val="0"/>
    <w:pPr>
      <w:ind w:left="2500" w:leftChars="2500"/>
    </w:pPr>
    <w:rPr>
      <w:rFonts w:hint="eastAsia" w:ascii="仿宋_GB2312" w:hAnsi="Courier New" w:eastAsia="仿宋_GB2312"/>
      <w:sz w:val="32"/>
      <w:szCs w:val="20"/>
    </w:rPr>
  </w:style>
  <w:style w:type="paragraph" w:styleId="24">
    <w:name w:val="Body Text Indent 2"/>
    <w:basedOn w:val="1"/>
    <w:next w:val="1"/>
    <w:qFormat/>
    <w:uiPriority w:val="0"/>
    <w:pPr>
      <w:spacing w:after="120" w:afterLines="0" w:line="480" w:lineRule="auto"/>
      <w:ind w:left="420" w:leftChars="200"/>
    </w:pPr>
  </w:style>
  <w:style w:type="paragraph" w:styleId="25">
    <w:name w:val="Balloon Text"/>
    <w:basedOn w:val="1"/>
    <w:link w:val="66"/>
    <w:qFormat/>
    <w:uiPriority w:val="0"/>
    <w:pPr>
      <w:spacing w:line="240" w:lineRule="auto"/>
    </w:pPr>
    <w:rPr>
      <w:sz w:val="18"/>
      <w:szCs w:val="18"/>
    </w:rPr>
  </w:style>
  <w:style w:type="paragraph" w:styleId="26">
    <w:name w:val="footer"/>
    <w:basedOn w:val="1"/>
    <w:qFormat/>
    <w:uiPriority w:val="0"/>
    <w:pPr>
      <w:tabs>
        <w:tab w:val="center" w:pos="4153"/>
        <w:tab w:val="right" w:pos="8306"/>
      </w:tabs>
      <w:snapToGrid w:val="0"/>
      <w:jc w:val="left"/>
    </w:pPr>
    <w:rPr>
      <w:sz w:val="18"/>
      <w:szCs w:val="18"/>
    </w:rPr>
  </w:style>
  <w:style w:type="paragraph" w:styleId="27">
    <w:name w:val="toc 1"/>
    <w:basedOn w:val="1"/>
    <w:next w:val="1"/>
    <w:qFormat/>
    <w:uiPriority w:val="39"/>
    <w:pPr>
      <w:spacing w:beforeLines="0" w:afterLines="0"/>
      <w:ind w:firstLine="0" w:firstLineChars="0"/>
      <w:jc w:val="left"/>
    </w:pPr>
    <w:rPr>
      <w:rFonts w:ascii="Times New Roman" w:hAnsi="Times New Roman" w:eastAsia="宋体"/>
      <w:b/>
      <w:bCs/>
      <w:caps/>
      <w:sz w:val="28"/>
      <w:szCs w:val="20"/>
    </w:rPr>
  </w:style>
  <w:style w:type="paragraph" w:styleId="28">
    <w:name w:val="index heading"/>
    <w:basedOn w:val="1"/>
    <w:next w:val="29"/>
    <w:qFormat/>
    <w:uiPriority w:val="0"/>
    <w:rPr>
      <w:rFonts w:ascii="Arial" w:hAnsi="Arial"/>
      <w:b/>
    </w:rPr>
  </w:style>
  <w:style w:type="paragraph" w:styleId="29">
    <w:name w:val="index 1"/>
    <w:basedOn w:val="1"/>
    <w:next w:val="1"/>
    <w:qFormat/>
    <w:uiPriority w:val="0"/>
    <w:pPr>
      <w:spacing w:line="360" w:lineRule="auto"/>
      <w:jc w:val="center"/>
    </w:pPr>
    <w:rPr>
      <w:szCs w:val="24"/>
    </w:rPr>
  </w:style>
  <w:style w:type="paragraph" w:styleId="30">
    <w:name w:val="List"/>
    <w:basedOn w:val="1"/>
    <w:next w:val="1"/>
    <w:qFormat/>
    <w:uiPriority w:val="0"/>
    <w:pPr>
      <w:ind w:left="200" w:hanging="200" w:hangingChars="200"/>
    </w:pPr>
  </w:style>
  <w:style w:type="paragraph" w:styleId="31">
    <w:name w:val="Body Text Indent 3"/>
    <w:next w:val="1"/>
    <w:qFormat/>
    <w:uiPriority w:val="0"/>
    <w:pPr>
      <w:widowControl w:val="0"/>
      <w:tabs>
        <w:tab w:val="center" w:pos="4252"/>
      </w:tabs>
      <w:adjustRightInd w:val="0"/>
      <w:snapToGrid w:val="0"/>
      <w:spacing w:line="360" w:lineRule="auto"/>
      <w:ind w:firstLine="150" w:firstLineChars="150"/>
      <w:jc w:val="both"/>
    </w:pPr>
    <w:rPr>
      <w:rFonts w:ascii="Times New Roman" w:hAnsi="Times New Roman" w:eastAsia="宋体" w:cs="Times New Roman"/>
      <w:color w:val="000000"/>
      <w:kern w:val="2"/>
      <w:sz w:val="24"/>
      <w:szCs w:val="24"/>
      <w:lang w:val="en-US" w:eastAsia="zh-CN" w:bidi="ar-SA"/>
    </w:rPr>
  </w:style>
  <w:style w:type="paragraph" w:styleId="32">
    <w:name w:val="toc 2"/>
    <w:basedOn w:val="1"/>
    <w:next w:val="1"/>
    <w:qFormat/>
    <w:uiPriority w:val="39"/>
    <w:pPr>
      <w:tabs>
        <w:tab w:val="left" w:pos="840"/>
        <w:tab w:val="right" w:leader="dot" w:pos="8568"/>
      </w:tabs>
      <w:ind w:left="210"/>
      <w:jc w:val="left"/>
    </w:pPr>
    <w:rPr>
      <w:rFonts w:ascii="Times New Roman" w:hAnsi="Times New Roman" w:eastAsia="宋体"/>
      <w:smallCaps/>
      <w:sz w:val="24"/>
      <w:szCs w:val="20"/>
    </w:rPr>
  </w:style>
  <w:style w:type="paragraph" w:styleId="33">
    <w:name w:val="Body Text 2"/>
    <w:basedOn w:val="1"/>
    <w:qFormat/>
    <w:uiPriority w:val="0"/>
    <w:rPr>
      <w:sz w:val="28"/>
      <w:szCs w:val="20"/>
    </w:rPr>
  </w:style>
  <w:style w:type="paragraph" w:styleId="34">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35">
    <w:name w:val="Normal (Web)"/>
    <w:basedOn w:val="1"/>
    <w:qFormat/>
    <w:uiPriority w:val="0"/>
    <w:pPr>
      <w:pBdr>
        <w:top w:val="none" w:color="auto" w:sz="0" w:space="0"/>
        <w:left w:val="none" w:color="auto" w:sz="0" w:space="0"/>
        <w:bottom w:val="none" w:color="auto" w:sz="0" w:space="0"/>
        <w:right w:val="none" w:color="auto" w:sz="0" w:space="0"/>
      </w:pBdr>
      <w:spacing w:before="0" w:beforeLines="0" w:beforeAutospacing="0" w:after="0" w:afterLines="0" w:afterAutospacing="0"/>
      <w:ind w:left="0" w:right="0"/>
      <w:jc w:val="left"/>
    </w:pPr>
    <w:rPr>
      <w:rFonts w:ascii="Times New Roman" w:hAnsi="Times New Roman" w:eastAsia="宋体" w:cs="Times New Roman"/>
      <w:kern w:val="0"/>
      <w:sz w:val="24"/>
      <w:szCs w:val="20"/>
      <w:lang w:val="en-US" w:eastAsia="zh-CN" w:bidi="ar-SA"/>
    </w:rPr>
  </w:style>
  <w:style w:type="paragraph" w:styleId="36">
    <w:name w:val="annotation subject"/>
    <w:basedOn w:val="15"/>
    <w:next w:val="15"/>
    <w:link w:val="67"/>
    <w:qFormat/>
    <w:uiPriority w:val="0"/>
    <w:rPr>
      <w:b/>
      <w:bCs/>
      <w:sz w:val="24"/>
    </w:rPr>
  </w:style>
  <w:style w:type="paragraph" w:styleId="37">
    <w:name w:val="Body Text First Indent"/>
    <w:basedOn w:val="17"/>
    <w:next w:val="1"/>
    <w:qFormat/>
    <w:uiPriority w:val="0"/>
    <w:pPr>
      <w:ind w:firstLine="420" w:firstLineChars="100"/>
    </w:pPr>
  </w:style>
  <w:style w:type="paragraph" w:styleId="38">
    <w:name w:val="Body Text First Indent 2"/>
    <w:basedOn w:val="19"/>
    <w:next w:val="19"/>
    <w:link w:val="62"/>
    <w:qFormat/>
    <w:uiPriority w:val="0"/>
    <w:pPr>
      <w:tabs>
        <w:tab w:val="left" w:pos="1290"/>
      </w:tabs>
      <w:spacing w:line="360" w:lineRule="auto"/>
      <w:ind w:firstLine="420" w:firstLineChars="200"/>
    </w:pPr>
    <w:rPr>
      <w:rFonts w:ascii="Times New Roman" w:hAnsi="Times New Roman" w:eastAsia="宋体"/>
      <w:szCs w:val="24"/>
    </w:rPr>
  </w:style>
  <w:style w:type="table" w:styleId="40">
    <w:name w:val="Table Grid"/>
    <w:basedOn w:val="3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0"/>
    <w:rPr>
      <w:b/>
    </w:rPr>
  </w:style>
  <w:style w:type="character" w:styleId="43">
    <w:name w:val="page number"/>
    <w:qFormat/>
    <w:uiPriority w:val="0"/>
  </w:style>
  <w:style w:type="character" w:styleId="44">
    <w:name w:val="Emphasis"/>
    <w:basedOn w:val="41"/>
    <w:qFormat/>
    <w:uiPriority w:val="0"/>
    <w:rPr>
      <w:i/>
    </w:rPr>
  </w:style>
  <w:style w:type="character" w:styleId="45">
    <w:name w:val="Hyperlink"/>
    <w:qFormat/>
    <w:uiPriority w:val="99"/>
    <w:rPr>
      <w:color w:val="0E90D2"/>
      <w:u w:val="none"/>
    </w:rPr>
  </w:style>
  <w:style w:type="character" w:styleId="46">
    <w:name w:val="annotation reference"/>
    <w:qFormat/>
    <w:uiPriority w:val="0"/>
    <w:rPr>
      <w:sz w:val="21"/>
      <w:szCs w:val="21"/>
    </w:rPr>
  </w:style>
  <w:style w:type="paragraph" w:customStyle="1" w:styleId="47">
    <w:name w:val="Default"/>
    <w:basedOn w:val="48"/>
    <w:next w:val="1"/>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48">
    <w:name w:val="纯文本1"/>
    <w:basedOn w:val="1"/>
    <w:qFormat/>
    <w:uiPriority w:val="0"/>
    <w:rPr>
      <w:rFonts w:ascii="宋体" w:hAnsi="Courier New"/>
      <w:sz w:val="20"/>
      <w:szCs w:val="20"/>
    </w:rPr>
  </w:style>
  <w:style w:type="paragraph" w:customStyle="1" w:styleId="49">
    <w:name w:val="表格内容"/>
    <w:basedOn w:val="1"/>
    <w:qFormat/>
    <w:uiPriority w:val="0"/>
    <w:pPr>
      <w:overflowPunct w:val="0"/>
      <w:adjustRightInd w:val="0"/>
      <w:spacing w:before="40" w:after="60" w:line="200" w:lineRule="atLeast"/>
      <w:ind w:firstLine="0" w:firstLineChars="0"/>
      <w:jc w:val="center"/>
      <w:textAlignment w:val="baseline"/>
    </w:pPr>
    <w:rPr>
      <w:kern w:val="0"/>
      <w:sz w:val="21"/>
      <w:szCs w:val="20"/>
    </w:rPr>
  </w:style>
  <w:style w:type="paragraph" w:customStyle="1" w:styleId="50">
    <w:name w:val="表头"/>
    <w:basedOn w:val="12"/>
    <w:next w:val="1"/>
    <w:link w:val="68"/>
    <w:qFormat/>
    <w:uiPriority w:val="0"/>
    <w:pPr>
      <w:adjustRightInd w:val="0"/>
      <w:snapToGrid w:val="0"/>
      <w:spacing w:line="240" w:lineRule="auto"/>
      <w:ind w:firstLine="0" w:firstLineChars="0"/>
      <w:jc w:val="center"/>
    </w:pPr>
    <w:rPr>
      <w:rFonts w:ascii="宋体" w:hAnsi="宋体" w:cs="Times New Roman"/>
      <w:b/>
      <w:color w:val="000000"/>
      <w:szCs w:val="28"/>
    </w:rPr>
  </w:style>
  <w:style w:type="paragraph" w:customStyle="1" w:styleId="51">
    <w:name w:val="表头图名"/>
    <w:basedOn w:val="1"/>
    <w:link w:val="52"/>
    <w:qFormat/>
    <w:uiPriority w:val="0"/>
    <w:pPr>
      <w:widowControl w:val="0"/>
      <w:adjustRightInd/>
      <w:snapToGrid/>
      <w:spacing w:line="240" w:lineRule="auto"/>
      <w:ind w:firstLine="0" w:firstLineChars="0"/>
      <w:contextualSpacing/>
      <w:jc w:val="center"/>
    </w:pPr>
    <w:rPr>
      <w:rFonts w:ascii="Times New Roman" w:hAnsi="Times New Roman" w:eastAsia="黑体"/>
      <w:b/>
      <w:kern w:val="2"/>
      <w:sz w:val="24"/>
      <w:szCs w:val="24"/>
    </w:rPr>
  </w:style>
  <w:style w:type="character" w:customStyle="1" w:styleId="52">
    <w:name w:val="表头图名 Char"/>
    <w:link w:val="51"/>
    <w:qFormat/>
    <w:uiPriority w:val="0"/>
    <w:rPr>
      <w:rFonts w:ascii="Times New Roman" w:hAnsi="Times New Roman" w:eastAsia="黑体"/>
      <w:b/>
      <w:kern w:val="2"/>
      <w:sz w:val="24"/>
      <w:szCs w:val="24"/>
    </w:rPr>
  </w:style>
  <w:style w:type="paragraph" w:customStyle="1" w:styleId="53">
    <w:name w:val="表格"/>
    <w:basedOn w:val="1"/>
    <w:next w:val="1"/>
    <w:link w:val="54"/>
    <w:qFormat/>
    <w:uiPriority w:val="0"/>
    <w:pPr>
      <w:widowControl w:val="0"/>
      <w:pBdr>
        <w:top w:val="none" w:color="auto" w:sz="0" w:space="1"/>
        <w:left w:val="none" w:color="auto" w:sz="0" w:space="6"/>
        <w:bottom w:val="none" w:color="auto" w:sz="0" w:space="1"/>
        <w:right w:val="none" w:color="auto" w:sz="0" w:space="6"/>
      </w:pBdr>
      <w:adjustRightInd/>
      <w:snapToGrid/>
      <w:spacing w:after="0" w:line="240" w:lineRule="auto"/>
      <w:ind w:left="57" w:right="28" w:firstLine="0" w:firstLineChars="0"/>
      <w:jc w:val="left"/>
    </w:pPr>
    <w:rPr>
      <w:rFonts w:ascii="宋体" w:hAnsi="宋体" w:cs="Times New Roman"/>
      <w:kern w:val="2"/>
      <w:sz w:val="21"/>
      <w:szCs w:val="21"/>
    </w:rPr>
  </w:style>
  <w:style w:type="character" w:customStyle="1" w:styleId="54">
    <w:name w:val="表格 Char"/>
    <w:link w:val="53"/>
    <w:qFormat/>
    <w:uiPriority w:val="0"/>
    <w:rPr>
      <w:rFonts w:ascii="宋体" w:hAnsi="宋体" w:eastAsia="宋体" w:cs="Times New Roman"/>
      <w:bCs/>
      <w:sz w:val="21"/>
      <w:szCs w:val="28"/>
      <w:lang w:val="en-US" w:eastAsia="zh-CN" w:bidi="ar-SA"/>
    </w:rPr>
  </w:style>
  <w:style w:type="paragraph" w:customStyle="1" w:styleId="55">
    <w:name w:val="表"/>
    <w:basedOn w:val="30"/>
    <w:link w:val="58"/>
    <w:qFormat/>
    <w:uiPriority w:val="0"/>
    <w:pPr>
      <w:keepNext/>
      <w:keepLines/>
      <w:spacing w:line="240" w:lineRule="auto"/>
      <w:ind w:left="0" w:firstLine="0" w:firstLineChars="0"/>
      <w:jc w:val="center"/>
    </w:pPr>
    <w:rPr>
      <w:rFonts w:ascii="Times New Roman" w:hAnsi="Times New Roman" w:eastAsia="宋体"/>
      <w:kern w:val="0"/>
      <w:sz w:val="21"/>
      <w:szCs w:val="21"/>
    </w:rPr>
  </w:style>
  <w:style w:type="paragraph" w:customStyle="1" w:styleId="56">
    <w:name w:val="表头1"/>
    <w:basedOn w:val="1"/>
    <w:link w:val="57"/>
    <w:qFormat/>
    <w:uiPriority w:val="0"/>
    <w:pPr>
      <w:spacing w:line="240" w:lineRule="auto"/>
      <w:ind w:firstLine="0" w:firstLineChars="0"/>
      <w:jc w:val="center"/>
    </w:pPr>
    <w:rPr>
      <w:b/>
      <w:sz w:val="24"/>
    </w:rPr>
  </w:style>
  <w:style w:type="character" w:customStyle="1" w:styleId="57">
    <w:name w:val="表头1 字符"/>
    <w:link w:val="56"/>
    <w:qFormat/>
    <w:uiPriority w:val="0"/>
    <w:rPr>
      <w:rFonts w:ascii="Times New Roman" w:hAnsi="Times New Roman" w:eastAsia="宋体" w:cs="黑体"/>
      <w:b/>
      <w:kern w:val="2"/>
      <w:sz w:val="24"/>
      <w:szCs w:val="24"/>
    </w:rPr>
  </w:style>
  <w:style w:type="character" w:customStyle="1" w:styleId="58">
    <w:name w:val="表 Char"/>
    <w:link w:val="55"/>
    <w:qFormat/>
    <w:uiPriority w:val="0"/>
    <w:rPr>
      <w:rFonts w:ascii="Times New Roman" w:hAnsi="Times New Roman" w:eastAsia="宋体"/>
      <w:sz w:val="21"/>
      <w:szCs w:val="21"/>
    </w:rPr>
  </w:style>
  <w:style w:type="paragraph" w:customStyle="1" w:styleId="59">
    <w:name w:val="表1"/>
    <w:basedOn w:val="1"/>
    <w:qFormat/>
    <w:uiPriority w:val="0"/>
    <w:pPr>
      <w:adjustRightInd w:val="0"/>
      <w:snapToGrid w:val="0"/>
      <w:spacing w:line="240" w:lineRule="auto"/>
      <w:ind w:firstLine="0" w:firstLineChars="0"/>
      <w:jc w:val="center"/>
    </w:pPr>
    <w:rPr>
      <w:rFonts w:ascii="Times New Roman" w:hAnsi="Times New Roman" w:cs="Times New Roman"/>
      <w:snapToGrid w:val="0"/>
      <w:sz w:val="21"/>
      <w:szCs w:val="20"/>
    </w:rPr>
  </w:style>
  <w:style w:type="character" w:customStyle="1" w:styleId="60">
    <w:name w:val="标题 4 Char"/>
    <w:link w:val="6"/>
    <w:qFormat/>
    <w:uiPriority w:val="0"/>
    <w:rPr>
      <w:rFonts w:ascii="Arial" w:hAnsi="Arial" w:eastAsia="宋体"/>
      <w:b/>
      <w:bCs/>
      <w:sz w:val="28"/>
      <w:szCs w:val="28"/>
    </w:rPr>
  </w:style>
  <w:style w:type="character" w:customStyle="1" w:styleId="61">
    <w:name w:val="标题 3 Char"/>
    <w:link w:val="5"/>
    <w:qFormat/>
    <w:uiPriority w:val="0"/>
    <w:rPr>
      <w:rFonts w:ascii="Times New Roman" w:hAnsi="Times New Roman" w:eastAsia="宋体"/>
      <w:b/>
      <w:sz w:val="30"/>
    </w:rPr>
  </w:style>
  <w:style w:type="character" w:customStyle="1" w:styleId="62">
    <w:name w:val="正文首行缩进 2 Char"/>
    <w:link w:val="38"/>
    <w:qFormat/>
    <w:uiPriority w:val="0"/>
    <w:rPr>
      <w:rFonts w:ascii="Times New Roman" w:hAnsi="Times New Roman" w:eastAsia="宋体"/>
      <w:szCs w:val="24"/>
    </w:rPr>
  </w:style>
  <w:style w:type="character" w:customStyle="1" w:styleId="63">
    <w:name w:val="标题 2 Char"/>
    <w:link w:val="4"/>
    <w:qFormat/>
    <w:uiPriority w:val="0"/>
    <w:rPr>
      <w:rFonts w:ascii="Arial" w:hAnsi="Arial"/>
      <w:b/>
      <w:bCs/>
      <w:sz w:val="32"/>
      <w:szCs w:val="32"/>
    </w:rPr>
  </w:style>
  <w:style w:type="character" w:customStyle="1" w:styleId="64">
    <w:name w:val="文档结构图 Char"/>
    <w:link w:val="14"/>
    <w:qFormat/>
    <w:uiPriority w:val="0"/>
    <w:rPr>
      <w:rFonts w:ascii="宋体"/>
      <w:kern w:val="2"/>
      <w:sz w:val="18"/>
      <w:szCs w:val="18"/>
    </w:rPr>
  </w:style>
  <w:style w:type="character" w:customStyle="1" w:styleId="65">
    <w:name w:val="批注文字 Char"/>
    <w:link w:val="15"/>
    <w:qFormat/>
    <w:uiPriority w:val="99"/>
    <w:rPr>
      <w:kern w:val="2"/>
      <w:sz w:val="21"/>
      <w:szCs w:val="24"/>
    </w:rPr>
  </w:style>
  <w:style w:type="character" w:customStyle="1" w:styleId="66">
    <w:name w:val="批注框文本 Char"/>
    <w:link w:val="25"/>
    <w:qFormat/>
    <w:uiPriority w:val="0"/>
    <w:rPr>
      <w:kern w:val="2"/>
      <w:sz w:val="18"/>
      <w:szCs w:val="18"/>
    </w:rPr>
  </w:style>
  <w:style w:type="character" w:customStyle="1" w:styleId="67">
    <w:name w:val="批注主题 Char"/>
    <w:link w:val="36"/>
    <w:qFormat/>
    <w:uiPriority w:val="0"/>
    <w:rPr>
      <w:b/>
      <w:bCs/>
      <w:kern w:val="2"/>
      <w:sz w:val="24"/>
      <w:szCs w:val="24"/>
    </w:rPr>
  </w:style>
  <w:style w:type="character" w:customStyle="1" w:styleId="68">
    <w:name w:val="表头 Char"/>
    <w:link w:val="50"/>
    <w:qFormat/>
    <w:uiPriority w:val="0"/>
    <w:rPr>
      <w:rFonts w:ascii="宋体" w:hAnsi="宋体" w:eastAsia="宋体" w:cs="Times New Roman"/>
      <w:b/>
      <w:color w:val="000000"/>
      <w:szCs w:val="28"/>
    </w:rPr>
  </w:style>
  <w:style w:type="paragraph" w:customStyle="1" w:styleId="69">
    <w:name w:val="样式 标题 2 + 三号1"/>
    <w:basedOn w:val="4"/>
    <w:next w:val="1"/>
    <w:qFormat/>
    <w:uiPriority w:val="99"/>
    <w:pPr>
      <w:keepLines w:val="0"/>
      <w:numPr>
        <w:ilvl w:val="1"/>
        <w:numId w:val="3"/>
      </w:numPr>
      <w:tabs>
        <w:tab w:val="left" w:pos="718"/>
        <w:tab w:val="clear" w:pos="576"/>
        <w:tab w:val="clear" w:pos="0"/>
      </w:tabs>
      <w:spacing w:line="480" w:lineRule="auto"/>
      <w:ind w:left="718"/>
      <w:jc w:val="left"/>
    </w:pPr>
    <w:rPr>
      <w:rFonts w:ascii="宋体" w:hAnsi="宋体"/>
      <w:kern w:val="0"/>
      <w:sz w:val="32"/>
    </w:rPr>
  </w:style>
  <w:style w:type="paragraph" w:customStyle="1" w:styleId="70">
    <w:name w:val="表格内"/>
    <w:basedOn w:val="1"/>
    <w:next w:val="1"/>
    <w:qFormat/>
    <w:uiPriority w:val="0"/>
    <w:pPr>
      <w:widowControl/>
      <w:adjustRightInd w:val="0"/>
      <w:snapToGrid w:val="0"/>
      <w:spacing w:after="200" w:line="360" w:lineRule="exact"/>
      <w:jc w:val="center"/>
    </w:pPr>
    <w:rPr>
      <w:rFonts w:eastAsia="微软雅黑"/>
      <w:snapToGrid w:val="0"/>
      <w:kern w:val="0"/>
      <w:sz w:val="22"/>
      <w:szCs w:val="21"/>
    </w:rPr>
  </w:style>
  <w:style w:type="paragraph" w:customStyle="1" w:styleId="71">
    <w:name w:val="图表标题"/>
    <w:basedOn w:val="13"/>
    <w:link w:val="72"/>
    <w:qFormat/>
    <w:uiPriority w:val="0"/>
    <w:pPr>
      <w:adjustRightInd w:val="0"/>
      <w:spacing w:line="400" w:lineRule="exact"/>
      <w:jc w:val="center"/>
    </w:pPr>
    <w:rPr>
      <w:rFonts w:ascii="Arial" w:hAnsi="Arial" w:eastAsia="宋体" w:cs="Arial"/>
      <w:sz w:val="24"/>
    </w:rPr>
  </w:style>
  <w:style w:type="character" w:customStyle="1" w:styleId="72">
    <w:name w:val="图表标题 Char"/>
    <w:link w:val="71"/>
    <w:qFormat/>
    <w:uiPriority w:val="0"/>
    <w:rPr>
      <w:rFonts w:ascii="Arial" w:hAnsi="Arial" w:eastAsia="宋体" w:cs="Arial"/>
      <w:sz w:val="24"/>
    </w:rPr>
  </w:style>
  <w:style w:type="paragraph" w:customStyle="1" w:styleId="73">
    <w:name w:val=" Char Char Char Char"/>
    <w:basedOn w:val="1"/>
    <w:qFormat/>
    <w:uiPriority w:val="0"/>
    <w:pPr>
      <w:ind w:firstLine="200" w:firstLineChars="200"/>
    </w:pPr>
    <w:rPr>
      <w:rFonts w:ascii="宋体" w:hAnsi="宋体" w:cs="宋体"/>
      <w:szCs w:val="20"/>
    </w:rPr>
  </w:style>
  <w:style w:type="paragraph" w:customStyle="1" w:styleId="74">
    <w:name w:val="表格文字"/>
    <w:basedOn w:val="1"/>
    <w:next w:val="1"/>
    <w:qFormat/>
    <w:uiPriority w:val="0"/>
    <w:pPr>
      <w:jc w:val="center"/>
    </w:pPr>
    <w:rPr>
      <w:rFonts w:ascii="仿宋_GB2312" w:hAnsi="Arial Black" w:eastAsia="仿宋_GB2312"/>
      <w:kern w:val="44"/>
      <w:sz w:val="24"/>
    </w:rPr>
  </w:style>
  <w:style w:type="paragraph" w:customStyle="1" w:styleId="75">
    <w:name w:val="样式4"/>
    <w:basedOn w:val="76"/>
    <w:qFormat/>
    <w:uiPriority w:val="0"/>
    <w:pPr>
      <w:spacing w:before="0" w:beforeLines="0" w:line="320" w:lineRule="exact"/>
      <w:outlineLvl w:val="9"/>
    </w:pPr>
    <w:rPr>
      <w:sz w:val="22"/>
      <w:szCs w:val="22"/>
    </w:rPr>
  </w:style>
  <w:style w:type="paragraph" w:customStyle="1" w:styleId="76">
    <w:name w:val="样式2"/>
    <w:qFormat/>
    <w:uiPriority w:val="0"/>
    <w:pPr>
      <w:spacing w:before="156" w:beforeLines="50"/>
      <w:jc w:val="center"/>
      <w:outlineLvl w:val="4"/>
    </w:pPr>
    <w:rPr>
      <w:rFonts w:ascii="Times New Roman" w:hAnsi="Times New Roman" w:eastAsia="宋体" w:cs="Times New Roman"/>
      <w:lang w:val="en-US" w:eastAsia="zh-CN" w:bidi="ar-SA"/>
    </w:rPr>
  </w:style>
  <w:style w:type="paragraph" w:customStyle="1" w:styleId="77">
    <w:name w:val="wg"/>
    <w:basedOn w:val="1"/>
    <w:qFormat/>
    <w:uiPriority w:val="0"/>
    <w:rPr>
      <w:sz w:val="28"/>
    </w:rPr>
  </w:style>
  <w:style w:type="paragraph" w:customStyle="1" w:styleId="78">
    <w:name w:val="正文(首行缩进)"/>
    <w:basedOn w:val="1"/>
    <w:next w:val="1"/>
    <w:qFormat/>
    <w:uiPriority w:val="0"/>
    <w:pPr>
      <w:spacing w:line="360" w:lineRule="auto"/>
      <w:ind w:firstLine="540" w:firstLineChars="225"/>
    </w:pPr>
    <w:rPr>
      <w:snapToGrid w:val="0"/>
      <w:color w:val="000000"/>
      <w:sz w:val="24"/>
    </w:rPr>
  </w:style>
  <w:style w:type="paragraph" w:customStyle="1" w:styleId="79">
    <w:name w:val="样式 样式 标题 3H3B Head小标题小节标题H31H32H33u3标题 3 Char Char Char标题... + 段..."/>
    <w:basedOn w:val="1"/>
    <w:qFormat/>
    <w:uiPriority w:val="0"/>
    <w:pPr>
      <w:keepNext/>
      <w:keepLines/>
      <w:spacing w:before="240" w:beforeLines="0" w:after="312" w:afterLines="100" w:line="480" w:lineRule="exact"/>
      <w:outlineLvl w:val="2"/>
    </w:pPr>
    <w:rPr>
      <w:rFonts w:cs="宋体"/>
      <w:b/>
      <w:bCs/>
      <w:sz w:val="30"/>
      <w:szCs w:val="20"/>
    </w:rPr>
  </w:style>
  <w:style w:type="paragraph" w:customStyle="1" w:styleId="80">
    <w:name w:val="缩进"/>
    <w:basedOn w:val="1"/>
    <w:qFormat/>
    <w:uiPriority w:val="0"/>
    <w:pPr>
      <w:autoSpaceDE w:val="0"/>
      <w:autoSpaceDN w:val="0"/>
      <w:adjustRightInd w:val="0"/>
      <w:spacing w:line="400" w:lineRule="atLeast"/>
      <w:ind w:firstLine="425"/>
      <w:textAlignment w:val="baseline"/>
    </w:pPr>
    <w:rPr>
      <w:kern w:val="0"/>
      <w:sz w:val="24"/>
      <w:szCs w:val="20"/>
    </w:rPr>
  </w:style>
  <w:style w:type="paragraph" w:customStyle="1" w:styleId="81">
    <w:name w:val="正文01"/>
    <w:basedOn w:val="1"/>
    <w:qFormat/>
    <w:uiPriority w:val="0"/>
    <w:pPr>
      <w:spacing w:before="60" w:beforeLines="0" w:line="460" w:lineRule="exact"/>
      <w:ind w:firstLine="200" w:firstLineChars="200"/>
    </w:pPr>
    <w:rPr>
      <w:sz w:val="24"/>
    </w:rPr>
  </w:style>
  <w:style w:type="paragraph" w:customStyle="1" w:styleId="82">
    <w:name w:val="样式5"/>
    <w:basedOn w:val="76"/>
    <w:qFormat/>
    <w:uiPriority w:val="0"/>
    <w:pPr>
      <w:spacing w:before="0" w:beforeLines="0" w:line="240" w:lineRule="auto"/>
      <w:ind w:firstLine="360" w:firstLineChars="200"/>
      <w:jc w:val="left"/>
      <w:outlineLvl w:val="9"/>
    </w:pPr>
    <w:rPr>
      <w:sz w:val="18"/>
      <w:szCs w:val="18"/>
    </w:rPr>
  </w:style>
  <w:style w:type="character" w:customStyle="1" w:styleId="83">
    <w:name w:val="样式 小四"/>
    <w:qFormat/>
    <w:uiPriority w:val="0"/>
    <w:rPr>
      <w:kern w:val="0"/>
      <w:sz w:val="21"/>
    </w:rPr>
  </w:style>
  <w:style w:type="paragraph" w:customStyle="1" w:styleId="84">
    <w:name w:val="表格正文"/>
    <w:basedOn w:val="1"/>
    <w:next w:val="1"/>
    <w:qFormat/>
    <w:uiPriority w:val="0"/>
    <w:pPr>
      <w:keepNext w:val="0"/>
      <w:pBdr>
        <w:top w:val="none" w:color="auto" w:sz="0" w:space="1"/>
        <w:left w:val="none" w:color="auto" w:sz="0" w:space="4"/>
        <w:bottom w:val="none" w:color="auto" w:sz="0" w:space="1"/>
        <w:right w:val="none" w:color="auto" w:sz="0" w:space="4"/>
      </w:pBdr>
      <w:topLinePunct/>
      <w:spacing w:line="320" w:lineRule="exact"/>
      <w:ind w:firstLine="0" w:firstLineChars="0"/>
      <w:jc w:val="center"/>
    </w:pPr>
    <w:rPr>
      <w:sz w:val="20"/>
      <w:szCs w:val="21"/>
      <w:lang w:val="zh-CN"/>
    </w:rPr>
  </w:style>
  <w:style w:type="paragraph" w:customStyle="1" w:styleId="85">
    <w:name w:val="表内字"/>
    <w:qFormat/>
    <w:uiPriority w:val="0"/>
    <w:pPr>
      <w:spacing w:line="312" w:lineRule="auto"/>
      <w:jc w:val="center"/>
    </w:pPr>
    <w:rPr>
      <w:rFonts w:ascii="Calibri" w:hAnsi="Calibri" w:eastAsia="宋体" w:cs="Times New Roman"/>
      <w:color w:val="000000"/>
      <w:sz w:val="21"/>
      <w:lang w:val="en-US" w:eastAsia="zh-CN" w:bidi="ar-SA"/>
    </w:rPr>
  </w:style>
  <w:style w:type="paragraph" w:customStyle="1" w:styleId="86">
    <w:name w:val="4444"/>
    <w:basedOn w:val="3"/>
    <w:qFormat/>
    <w:uiPriority w:val="0"/>
    <w:pPr>
      <w:keepNext w:val="0"/>
      <w:keepLines w:val="0"/>
      <w:tabs>
        <w:tab w:val="left" w:pos="780"/>
        <w:tab w:val="clear" w:pos="432"/>
      </w:tabs>
      <w:spacing w:before="50" w:after="50" w:line="520" w:lineRule="exact"/>
      <w:outlineLvl w:val="3"/>
    </w:pPr>
    <w:rPr>
      <w:rFonts w:hAnsi="黑体"/>
      <w:kern w:val="2"/>
      <w:sz w:val="24"/>
      <w:szCs w:val="24"/>
    </w:rPr>
  </w:style>
  <w:style w:type="paragraph" w:customStyle="1" w:styleId="87">
    <w:name w:val="正文1"/>
    <w:basedOn w:val="12"/>
    <w:next w:val="12"/>
    <w:qFormat/>
    <w:uiPriority w:val="0"/>
    <w:pPr>
      <w:adjustRightInd w:val="0"/>
      <w:spacing w:line="315" w:lineRule="atLeast"/>
      <w:textAlignment w:val="baseline"/>
    </w:pPr>
    <w:rPr>
      <w:rFonts w:ascii="宋体"/>
      <w:kern w:val="0"/>
      <w:sz w:val="24"/>
      <w:szCs w:val="20"/>
    </w:rPr>
  </w:style>
  <w:style w:type="paragraph" w:customStyle="1" w:styleId="88">
    <w:name w:val="图"/>
    <w:basedOn w:val="35"/>
    <w:qFormat/>
    <w:uiPriority w:val="0"/>
    <w:pPr>
      <w:adjustRightInd w:val="0"/>
      <w:spacing w:after="0" w:line="288" w:lineRule="auto"/>
      <w:jc w:val="center"/>
      <w:textAlignment w:val="baseline"/>
    </w:pPr>
    <w:rPr>
      <w:rFonts w:ascii="黑体" w:eastAsia="黑体"/>
      <w:b/>
      <w:szCs w:val="20"/>
    </w:rPr>
  </w:style>
  <w:style w:type="paragraph" w:customStyle="1" w:styleId="89">
    <w:name w:val="List Paragraph"/>
    <w:basedOn w:val="1"/>
    <w:qFormat/>
    <w:uiPriority w:val="34"/>
    <w:pPr>
      <w:ind w:firstLine="420" w:firstLineChars="200"/>
    </w:pPr>
    <w:rPr>
      <w:szCs w:val="20"/>
    </w:rPr>
  </w:style>
  <w:style w:type="paragraph" w:customStyle="1" w:styleId="90">
    <w:name w:val="A正文"/>
    <w:basedOn w:val="91"/>
    <w:qFormat/>
    <w:uiPriority w:val="0"/>
    <w:pPr>
      <w:jc w:val="both"/>
    </w:pPr>
    <w:rPr>
      <w:rFonts w:ascii="Times New Roman"/>
      <w:color w:val="000000"/>
    </w:rPr>
  </w:style>
  <w:style w:type="paragraph" w:customStyle="1" w:styleId="91">
    <w:name w:val="正文格式"/>
    <w:basedOn w:val="37"/>
    <w:qFormat/>
    <w:uiPriority w:val="0"/>
    <w:pPr>
      <w:spacing w:after="0" w:line="360" w:lineRule="auto"/>
      <w:ind w:firstLine="200"/>
    </w:pPr>
    <w:rPr>
      <w:sz w:val="24"/>
    </w:rPr>
  </w:style>
  <w:style w:type="paragraph" w:customStyle="1" w:styleId="92">
    <w:name w:val="正文文本首行缩进"/>
    <w:basedOn w:val="17"/>
    <w:qFormat/>
    <w:uiPriority w:val="0"/>
    <w:pPr>
      <w:ind w:firstLine="420" w:firstLineChars="100"/>
    </w:pPr>
  </w:style>
  <w:style w:type="character" w:customStyle="1" w:styleId="93">
    <w:name w:val="文档结构图 Char1"/>
    <w:qFormat/>
    <w:uiPriority w:val="0"/>
    <w:rPr>
      <w:rFonts w:ascii="宋体"/>
      <w:kern w:val="2"/>
      <w:sz w:val="18"/>
      <w:szCs w:val="18"/>
    </w:rPr>
  </w:style>
  <w:style w:type="character" w:customStyle="1" w:styleId="94">
    <w:name w:val="标题 4 Char1"/>
    <w:qFormat/>
    <w:uiPriority w:val="0"/>
    <w:rPr>
      <w:rFonts w:ascii="宋体" w:hAnsi="宋体"/>
      <w:b/>
      <w:bCs/>
      <w:kern w:val="2"/>
      <w:sz w:val="24"/>
      <w:szCs w:val="28"/>
    </w:rPr>
  </w:style>
  <w:style w:type="paragraph" w:customStyle="1" w:styleId="95">
    <w:name w:val="_Style 93"/>
    <w:unhideWhenUsed/>
    <w:qFormat/>
    <w:uiPriority w:val="99"/>
    <w:rPr>
      <w:rFonts w:ascii="Times New Roman" w:hAnsi="Times New Roman" w:eastAsia="宋体" w:cs="Times New Roman"/>
      <w:kern w:val="2"/>
      <w:sz w:val="24"/>
      <w:szCs w:val="24"/>
      <w:lang w:val="en-US" w:eastAsia="zh-CN" w:bidi="ar-SA"/>
    </w:rPr>
  </w:style>
  <w:style w:type="paragraph" w:customStyle="1" w:styleId="96">
    <w:name w:val="+正文"/>
    <w:basedOn w:val="1"/>
    <w:qFormat/>
    <w:uiPriority w:val="0"/>
    <w:pPr>
      <w:spacing w:line="360" w:lineRule="auto"/>
      <w:ind w:firstLine="200" w:firstLineChars="200"/>
    </w:pPr>
    <w:rPr>
      <w:sz w:val="24"/>
      <w:szCs w:val="28"/>
    </w:rPr>
  </w:style>
  <w:style w:type="paragraph" w:customStyle="1" w:styleId="97">
    <w:name w:val="0表格文字"/>
    <w:basedOn w:val="1"/>
    <w:next w:val="1"/>
    <w:qFormat/>
    <w:uiPriority w:val="0"/>
    <w:pPr>
      <w:tabs>
        <w:tab w:val="left" w:pos="2340"/>
      </w:tabs>
      <w:snapToGrid w:val="0"/>
      <w:jc w:val="center"/>
    </w:pPr>
    <w:rPr>
      <w:rFonts w:ascii="宋体" w:hAnsi="Times New Roman"/>
      <w:b/>
      <w:bCs/>
      <w:snapToGrid w:val="0"/>
      <w:szCs w:val="18"/>
    </w:rPr>
  </w:style>
  <w:style w:type="paragraph" w:customStyle="1" w:styleId="98">
    <w:name w:val="Table Paragraph"/>
    <w:basedOn w:val="1"/>
    <w:qFormat/>
    <w:uiPriority w:val="1"/>
    <w:pPr>
      <w:adjustRightInd/>
      <w:snapToGrid/>
      <w:spacing w:before="30" w:line="240" w:lineRule="auto"/>
      <w:ind w:firstLine="0" w:firstLineChars="0"/>
      <w:jc w:val="center"/>
    </w:pPr>
    <w:rPr>
      <w:rFonts w:ascii="宋体" w:hAnsi="宋体" w:cs="宋体"/>
      <w:sz w:val="21"/>
      <w:szCs w:val="20"/>
      <w:lang w:val="zh-CN" w:bidi="zh-CN"/>
    </w:rPr>
  </w:style>
  <w:style w:type="character" w:customStyle="1" w:styleId="99">
    <w:name w:val="font11"/>
    <w:qFormat/>
    <w:uiPriority w:val="0"/>
    <w:rPr>
      <w:rFonts w:hint="eastAsia" w:ascii="宋体" w:hAnsi="宋体" w:eastAsia="宋体" w:cs="宋体"/>
      <w:color w:val="000000"/>
      <w:sz w:val="21"/>
      <w:szCs w:val="21"/>
      <w:u w:val="none"/>
    </w:rPr>
  </w:style>
  <w:style w:type="paragraph" w:customStyle="1" w:styleId="100">
    <w:name w:val="标题 #2"/>
    <w:basedOn w:val="1"/>
    <w:qFormat/>
    <w:uiPriority w:val="0"/>
    <w:pPr>
      <w:widowControl w:val="0"/>
      <w:shd w:val="clear" w:color="auto" w:fill="auto"/>
      <w:spacing w:after="80" w:line="468" w:lineRule="exact"/>
      <w:outlineLvl w:val="1"/>
    </w:pPr>
    <w:rPr>
      <w:rFonts w:ascii="黑体" w:hAnsi="黑体" w:eastAsia="黑体" w:cs="黑体"/>
      <w:b/>
      <w:bCs/>
      <w:sz w:val="20"/>
      <w:szCs w:val="20"/>
      <w:u w:val="none"/>
      <w:shd w:val="clear" w:color="auto" w:fill="auto"/>
    </w:rPr>
  </w:style>
  <w:style w:type="paragraph" w:customStyle="1" w:styleId="101">
    <w:name w:val="正文!!!!!!!!!!!"/>
    <w:basedOn w:val="102"/>
    <w:qFormat/>
    <w:uiPriority w:val="0"/>
    <w:pPr>
      <w:ind w:firstLine="480"/>
    </w:pPr>
    <w:rPr>
      <w:rFonts w:ascii="Times New Roman" w:hAnsi="Times New Roman" w:eastAsia="宋体" w:cs="Times New Roman"/>
    </w:rPr>
  </w:style>
  <w:style w:type="paragraph" w:customStyle="1" w:styleId="102">
    <w:name w:val="正文 楷体"/>
    <w:basedOn w:val="1"/>
    <w:qFormat/>
    <w:uiPriority w:val="0"/>
    <w:pPr>
      <w:spacing w:line="500" w:lineRule="exact"/>
      <w:ind w:firstLine="200" w:firstLineChars="200"/>
    </w:pPr>
    <w:rPr>
      <w:rFonts w:ascii="楷体_GB2312" w:hAnsi="楷体_GB2312" w:eastAsia="楷体_GB2312" w:cs="宋体"/>
      <w:sz w:val="24"/>
      <w:szCs w:val="24"/>
    </w:rPr>
  </w:style>
  <w:style w:type="character" w:customStyle="1" w:styleId="103">
    <w:name w:val="font01"/>
    <w:basedOn w:val="41"/>
    <w:qFormat/>
    <w:uiPriority w:val="0"/>
    <w:rPr>
      <w:rFonts w:hint="default" w:ascii="Times New Roman" w:hAnsi="Times New Roman" w:cs="Times New Roman"/>
      <w:color w:val="00B050"/>
      <w:sz w:val="21"/>
      <w:szCs w:val="21"/>
      <w:u w:val="none"/>
      <w:vertAlign w:val="subscript"/>
    </w:rPr>
  </w:style>
  <w:style w:type="paragraph" w:customStyle="1" w:styleId="104">
    <w:name w:val="表格标题"/>
    <w:basedOn w:val="17"/>
    <w:next w:val="17"/>
    <w:qFormat/>
    <w:uiPriority w:val="0"/>
    <w:pPr>
      <w:spacing w:before="156" w:beforeLines="50" w:beforeAutospacing="0" w:after="0" w:afterLines="0" w:afterAutospacing="0" w:line="360" w:lineRule="auto"/>
      <w:jc w:val="center"/>
    </w:pPr>
    <w:rPr>
      <w:rFonts w:ascii="黑体" w:eastAsia="黑体"/>
      <w:b/>
      <w:color w:val="000000"/>
      <w:kern w:val="40"/>
    </w:rPr>
  </w:style>
  <w:style w:type="paragraph" w:customStyle="1" w:styleId="105">
    <w:name w:val="其他"/>
    <w:basedOn w:val="1"/>
    <w:qFormat/>
    <w:uiPriority w:val="0"/>
    <w:pPr>
      <w:widowControl w:val="0"/>
      <w:shd w:val="clear" w:color="auto" w:fill="auto"/>
      <w:spacing w:line="480" w:lineRule="auto"/>
      <w:ind w:firstLine="400"/>
    </w:pPr>
    <w:rPr>
      <w:rFonts w:ascii="黑体" w:hAnsi="黑体" w:eastAsia="黑体" w:cs="黑体"/>
      <w:sz w:val="20"/>
      <w:szCs w:val="20"/>
      <w:u w:val="none"/>
      <w:shd w:val="clear" w:color="auto" w:fill="auto"/>
    </w:rPr>
  </w:style>
  <w:style w:type="paragraph" w:customStyle="1" w:styleId="106">
    <w:name w:val="正文文本 (2)"/>
    <w:basedOn w:val="1"/>
    <w:qFormat/>
    <w:uiPriority w:val="0"/>
    <w:pPr>
      <w:widowControl w:val="0"/>
      <w:shd w:val="clear" w:color="auto" w:fill="auto"/>
      <w:spacing w:line="478" w:lineRule="exact"/>
      <w:ind w:firstLine="600"/>
    </w:pPr>
    <w:rPr>
      <w:rFonts w:ascii="Times New Roman" w:hAnsi="Times New Roman" w:eastAsia="Times New Roman" w:cs="Times New Roman"/>
      <w:sz w:val="20"/>
      <w:szCs w:val="20"/>
      <w:u w:val="none"/>
      <w:shd w:val="clear" w:color="auto" w:fill="auto"/>
    </w:rPr>
  </w:style>
  <w:style w:type="paragraph" w:customStyle="1" w:styleId="107">
    <w:name w:val="正文A"/>
    <w:basedOn w:val="101"/>
    <w:qFormat/>
    <w:uiPriority w:val="0"/>
    <w:pPr>
      <w:spacing w:line="500" w:lineRule="exact"/>
      <w:ind w:firstLine="480" w:firstLineChars="200"/>
    </w:pPr>
    <w:rPr>
      <w:rFonts w:ascii="Times New Roman" w:hAnsi="Times New Roman" w:cs="华文仿宋"/>
      <w:sz w:val="24"/>
      <w:szCs w:val="24"/>
    </w:rPr>
  </w:style>
  <w:style w:type="paragraph" w:customStyle="1" w:styleId="108">
    <w:name w:val="三级标题"/>
    <w:basedOn w:val="1"/>
    <w:qFormat/>
    <w:uiPriority w:val="0"/>
    <w:pPr>
      <w:spacing w:before="300" w:line="460" w:lineRule="exact"/>
      <w:outlineLvl w:val="2"/>
    </w:pPr>
    <w:rPr>
      <w:b/>
      <w:bCs/>
      <w:sz w:val="24"/>
    </w:rPr>
  </w:style>
  <w:style w:type="paragraph" w:customStyle="1" w:styleId="109">
    <w:name w:val="表4.3-1"/>
    <w:qFormat/>
    <w:uiPriority w:val="0"/>
    <w:pPr>
      <w:widowControl w:val="0"/>
      <w:tabs>
        <w:tab w:val="left" w:pos="2552"/>
      </w:tabs>
      <w:ind w:left="2552"/>
      <w:jc w:val="center"/>
    </w:pPr>
    <w:rPr>
      <w:rFonts w:ascii="Times New Roman" w:hAnsi="Times New Roman" w:eastAsia="宋体" w:cs="Times New Roman"/>
      <w:b/>
      <w:sz w:val="21"/>
      <w:szCs w:val="21"/>
      <w:lang w:val="en-US" w:eastAsia="zh-CN" w:bidi="ar-SA"/>
    </w:rPr>
  </w:style>
  <w:style w:type="paragraph" w:customStyle="1" w:styleId="110">
    <w:name w:val="正文文本1"/>
    <w:basedOn w:val="1"/>
    <w:qFormat/>
    <w:uiPriority w:val="0"/>
    <w:pPr>
      <w:widowControl w:val="0"/>
      <w:shd w:val="clear" w:color="auto" w:fill="auto"/>
      <w:spacing w:line="480" w:lineRule="auto"/>
      <w:ind w:firstLine="400"/>
    </w:pPr>
    <w:rPr>
      <w:rFonts w:ascii="黑体" w:hAnsi="黑体" w:eastAsia="黑体" w:cs="黑体"/>
      <w:sz w:val="20"/>
      <w:szCs w:val="20"/>
      <w:u w:val="none"/>
      <w:shd w:val="clear" w:color="auto" w:fill="auto"/>
    </w:rPr>
  </w:style>
  <w:style w:type="paragraph" w:customStyle="1" w:styleId="111">
    <w:name w:val="WPSOffice手动目录 1"/>
    <w:qFormat/>
    <w:uiPriority w:val="0"/>
    <w:pPr>
      <w:ind w:leftChars="0"/>
    </w:pPr>
    <w:rPr>
      <w:rFonts w:ascii="Times New Roman" w:hAnsi="Times New Roman" w:eastAsia="宋体" w:cs="Times New Roman"/>
      <w:sz w:val="20"/>
      <w:szCs w:val="20"/>
    </w:rPr>
  </w:style>
  <w:style w:type="paragraph" w:customStyle="1" w:styleId="112">
    <w:name w:val="WPSOffice手动目录 2"/>
    <w:qFormat/>
    <w:uiPriority w:val="0"/>
    <w:pPr>
      <w:ind w:leftChars="200"/>
    </w:pPr>
    <w:rPr>
      <w:rFonts w:ascii="Times New Roman" w:hAnsi="Times New Roman" w:eastAsia="宋体" w:cs="Times New Roman"/>
      <w:sz w:val="20"/>
      <w:szCs w:val="20"/>
    </w:rPr>
  </w:style>
  <w:style w:type="paragraph" w:customStyle="1" w:styleId="113">
    <w:name w:val="WPSOffice手动目录 3"/>
    <w:qFormat/>
    <w:uiPriority w:val="0"/>
    <w:pPr>
      <w:ind w:leftChars="400"/>
    </w:pPr>
    <w:rPr>
      <w:rFonts w:ascii="Times New Roman" w:hAnsi="Times New Roman" w:eastAsia="宋体" w:cs="Times New Roman"/>
      <w:sz w:val="20"/>
      <w:szCs w:val="20"/>
    </w:rPr>
  </w:style>
  <w:style w:type="paragraph" w:customStyle="1" w:styleId="114">
    <w:name w:val="表头、图号"/>
    <w:next w:val="16"/>
    <w:qFormat/>
    <w:uiPriority w:val="0"/>
    <w:pPr>
      <w:widowControl w:val="0"/>
      <w:spacing w:before="10" w:beforeLines="10" w:after="10" w:afterLines="10"/>
      <w:ind w:firstLine="0"/>
      <w:jc w:val="center"/>
    </w:pPr>
    <w:rPr>
      <w:rFonts w:ascii="Times New Roman" w:hAnsi="Times New Roman" w:eastAsia="黑体" w:cs="Times New Roman"/>
      <w:kern w:val="2"/>
      <w:sz w:val="21"/>
      <w:szCs w:val="24"/>
      <w:lang w:val="en-US" w:eastAsia="zh-CN" w:bidi="ar-SA"/>
    </w:rPr>
  </w:style>
  <w:style w:type="paragraph" w:customStyle="1" w:styleId="115">
    <w:name w:val="表内容"/>
    <w:basedOn w:val="1"/>
    <w:qFormat/>
    <w:uiPriority w:val="0"/>
    <w:pPr>
      <w:tabs>
        <w:tab w:val="left" w:pos="3780"/>
      </w:tabs>
      <w:adjustRightInd w:val="0"/>
      <w:snapToGrid w:val="0"/>
      <w:jc w:val="center"/>
    </w:pPr>
    <w:rPr>
      <w:rFonts w:eastAsia="仿宋_GB2312"/>
      <w:snapToGrid w:val="0"/>
      <w:spacing w:val="-6"/>
      <w:kern w:val="0"/>
      <w:szCs w:val="22"/>
    </w:rPr>
  </w:style>
  <w:style w:type="paragraph" w:customStyle="1" w:styleId="116">
    <w:name w:val="报告书正文"/>
    <w:basedOn w:val="1"/>
    <w:qFormat/>
    <w:uiPriority w:val="0"/>
    <w:pPr>
      <w:spacing w:line="520" w:lineRule="exact"/>
      <w:ind w:firstLine="200" w:firstLineChars="200"/>
    </w:pPr>
    <w:rPr>
      <w:sz w:val="28"/>
      <w:szCs w:val="28"/>
    </w:rPr>
  </w:style>
  <w:style w:type="table" w:customStyle="1" w:styleId="117">
    <w:name w:val="Table Normal"/>
    <w:semiHidden/>
    <w:unhideWhenUsed/>
    <w:qFormat/>
    <w:uiPriority w:val="0"/>
    <w:tblPr>
      <w:tblCellMar>
        <w:top w:w="0" w:type="dxa"/>
        <w:left w:w="0" w:type="dxa"/>
        <w:bottom w:w="0" w:type="dxa"/>
        <w:right w:w="0" w:type="dxa"/>
      </w:tblCellMar>
    </w:tblPr>
  </w:style>
  <w:style w:type="paragraph" w:customStyle="1" w:styleId="118">
    <w:name w:val="样式，标题 3"/>
    <w:basedOn w:val="1"/>
    <w:qFormat/>
    <w:uiPriority w:val="0"/>
    <w:pPr>
      <w:keepNext/>
      <w:keepLines/>
      <w:spacing w:beforeLines="50" w:afterLines="50" w:line="360" w:lineRule="auto"/>
      <w:outlineLvl w:val="2"/>
    </w:pPr>
    <w:rPr>
      <w:rFonts w:eastAsia="黑体"/>
      <w:kern w:val="0"/>
      <w:sz w:val="28"/>
    </w:rPr>
  </w:style>
  <w:style w:type="paragraph" w:customStyle="1" w:styleId="119">
    <w:name w:val="样式 标题4"/>
    <w:basedOn w:val="6"/>
    <w:qFormat/>
    <w:uiPriority w:val="0"/>
    <w:pPr>
      <w:spacing w:before="0" w:after="0" w:line="360" w:lineRule="auto"/>
    </w:pPr>
    <w:rPr>
      <w:rFonts w:ascii="Times New Roman" w:hAnsi="Times New Roman"/>
      <w:sz w:val="24"/>
      <w:szCs w:val="24"/>
    </w:rPr>
  </w:style>
  <w:style w:type="paragraph" w:customStyle="1" w:styleId="120">
    <w:name w:val="标题4"/>
    <w:basedOn w:val="1"/>
    <w:next w:val="1"/>
    <w:qFormat/>
    <w:uiPriority w:val="0"/>
    <w:pPr>
      <w:ind w:firstLine="0" w:firstLineChars="0"/>
      <w:outlineLvl w:val="3"/>
    </w:pPr>
    <w:rPr>
      <w:b/>
      <w:sz w:val="28"/>
    </w:rPr>
  </w:style>
  <w:style w:type="paragraph" w:customStyle="1" w:styleId="121">
    <w:name w:val="[1]正文"/>
    <w:basedOn w:val="1"/>
    <w:qFormat/>
    <w:uiPriority w:val="0"/>
    <w:pPr>
      <w:widowControl/>
      <w:snapToGrid w:val="0"/>
      <w:spacing w:line="360" w:lineRule="auto"/>
      <w:ind w:firstLine="200" w:firstLineChars="200"/>
      <w:jc w:val="left"/>
    </w:pPr>
    <w:rPr>
      <w:rFonts w:ascii="Calibri" w:hAnsi="Calibri"/>
      <w:kern w:val="0"/>
      <w:sz w:val="24"/>
      <w:szCs w:val="28"/>
    </w:rPr>
  </w:style>
  <w:style w:type="paragraph" w:customStyle="1" w:styleId="122">
    <w:name w:val="B表内字"/>
    <w:qFormat/>
    <w:uiPriority w:val="0"/>
    <w:pPr>
      <w:jc w:val="center"/>
    </w:pPr>
    <w:rPr>
      <w:rFonts w:ascii="Times New Roman" w:hAnsi="Times New Roman" w:eastAsia="宋体" w:cs="宋体"/>
      <w:sz w:val="21"/>
      <w:szCs w:val="24"/>
      <w:lang w:val="en-US" w:eastAsia="zh-CN" w:bidi="ar-SA"/>
    </w:rPr>
  </w:style>
  <w:style w:type="character" w:customStyle="1" w:styleId="123">
    <w:name w:val="报告书正文 Char"/>
    <w:qFormat/>
    <w:uiPriority w:val="0"/>
    <w:rPr>
      <w:rFonts w:eastAsia="宋体"/>
      <w:kern w:val="2"/>
      <w:sz w:val="24"/>
      <w:szCs w:val="24"/>
      <w:lang w:val="en-US" w:eastAsia="zh-CN" w:bidi="ar-SA"/>
    </w:rPr>
  </w:style>
  <w:style w:type="paragraph" w:customStyle="1" w:styleId="124">
    <w:name w:val="A-表格文字"/>
    <w:basedOn w:val="1"/>
    <w:qFormat/>
    <w:uiPriority w:val="0"/>
    <w:pPr>
      <w:autoSpaceDE w:val="0"/>
      <w:autoSpaceDN w:val="0"/>
      <w:adjustRightInd w:val="0"/>
      <w:snapToGrid w:val="0"/>
      <w:jc w:val="center"/>
      <w:textAlignment w:val="center"/>
    </w:pPr>
    <w:rPr>
      <w:rFonts w:ascii="Times New Roman" w:hAnsi="Times New Roman"/>
      <w:kern w:val="0"/>
    </w:rPr>
  </w:style>
  <w:style w:type="paragraph" w:customStyle="1" w:styleId="125">
    <w:name w:val="A-z正文"/>
    <w:basedOn w:val="1"/>
    <w:qFormat/>
    <w:uiPriority w:val="0"/>
    <w:pPr>
      <w:spacing w:line="360" w:lineRule="auto"/>
      <w:ind w:firstLine="200" w:firstLineChars="200"/>
    </w:pPr>
    <w:rPr>
      <w:rFonts w:ascii="Times New Roman" w:hAnsi="Times New Roman" w:cs="宋体"/>
      <w:sz w:val="24"/>
      <w:szCs w:val="20"/>
    </w:rPr>
  </w:style>
  <w:style w:type="paragraph" w:customStyle="1" w:styleId="126">
    <w:name w:val="A-表格名"/>
    <w:basedOn w:val="1"/>
    <w:qFormat/>
    <w:uiPriority w:val="0"/>
    <w:pPr>
      <w:spacing w:before="50" w:beforeLines="50"/>
      <w:jc w:val="center"/>
    </w:pPr>
    <w:rPr>
      <w:rFonts w:ascii="Times New Roman" w:hAnsi="Times New Roman" w:eastAsia="黑体" w:cs="Arial"/>
      <w:b/>
      <w:szCs w:val="20"/>
    </w:rPr>
  </w:style>
  <w:style w:type="table" w:customStyle="1" w:styleId="127">
    <w:name w:val="黑框表格"/>
    <w:basedOn w:val="39"/>
    <w:qFormat/>
    <w:uiPriority w:val="99"/>
    <w:pPr>
      <w:jc w:val="center"/>
    </w:pPr>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cPr>
      <w:vAlign w:val="center"/>
    </w:tcPr>
  </w:style>
  <w:style w:type="paragraph" w:customStyle="1" w:styleId="128">
    <w:name w:val="MEL正文*"/>
    <w:basedOn w:val="1"/>
    <w:qFormat/>
    <w:uiPriority w:val="0"/>
    <w:pPr>
      <w:spacing w:line="500" w:lineRule="exact"/>
      <w:ind w:firstLine="200" w:firstLineChars="200"/>
    </w:pPr>
    <w:rPr>
      <w:rFonts w:ascii="宋体" w:hAnsi="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1" Type="http://schemas.openxmlformats.org/officeDocument/2006/relationships/fontTable" Target="fontTable.xml"/><Relationship Id="rId70" Type="http://schemas.openxmlformats.org/officeDocument/2006/relationships/numbering" Target="numbering.xml"/><Relationship Id="rId7" Type="http://schemas.openxmlformats.org/officeDocument/2006/relationships/footer" Target="footer2.xml"/><Relationship Id="rId69" Type="http://schemas.openxmlformats.org/officeDocument/2006/relationships/customXml" Target="../customXml/item1.xml"/><Relationship Id="rId68" Type="http://schemas.openxmlformats.org/officeDocument/2006/relationships/image" Target="media/image47.png"/><Relationship Id="rId67" Type="http://schemas.openxmlformats.org/officeDocument/2006/relationships/image" Target="media/image46.png"/><Relationship Id="rId66" Type="http://schemas.openxmlformats.org/officeDocument/2006/relationships/image" Target="media/image45.jpeg"/><Relationship Id="rId65" Type="http://schemas.openxmlformats.org/officeDocument/2006/relationships/image" Target="media/image44.jpeg"/><Relationship Id="rId64" Type="http://schemas.openxmlformats.org/officeDocument/2006/relationships/image" Target="media/image43.png"/><Relationship Id="rId63" Type="http://schemas.openxmlformats.org/officeDocument/2006/relationships/image" Target="media/image42.png"/><Relationship Id="rId62" Type="http://schemas.openxmlformats.org/officeDocument/2006/relationships/image" Target="media/image41.png"/><Relationship Id="rId61" Type="http://schemas.openxmlformats.org/officeDocument/2006/relationships/image" Target="media/image40.png"/><Relationship Id="rId60" Type="http://schemas.openxmlformats.org/officeDocument/2006/relationships/image" Target="media/image39.png"/><Relationship Id="rId6" Type="http://schemas.openxmlformats.org/officeDocument/2006/relationships/footer" Target="footer1.xml"/><Relationship Id="rId59" Type="http://schemas.openxmlformats.org/officeDocument/2006/relationships/image" Target="media/image38.png"/><Relationship Id="rId58" Type="http://schemas.openxmlformats.org/officeDocument/2006/relationships/image" Target="media/image37.png"/><Relationship Id="rId57" Type="http://schemas.openxmlformats.org/officeDocument/2006/relationships/image" Target="media/image36.png"/><Relationship Id="rId56" Type="http://schemas.openxmlformats.org/officeDocument/2006/relationships/image" Target="media/image35.wmf"/><Relationship Id="rId55" Type="http://schemas.openxmlformats.org/officeDocument/2006/relationships/oleObject" Target="embeddings/oleObject4.bin"/><Relationship Id="rId54" Type="http://schemas.openxmlformats.org/officeDocument/2006/relationships/image" Target="media/image34.png"/><Relationship Id="rId53" Type="http://schemas.openxmlformats.org/officeDocument/2006/relationships/image" Target="media/image33.wmf"/><Relationship Id="rId52" Type="http://schemas.openxmlformats.org/officeDocument/2006/relationships/image" Target="media/image32.wmf"/><Relationship Id="rId51" Type="http://schemas.openxmlformats.org/officeDocument/2006/relationships/image" Target="media/image31.wmf"/><Relationship Id="rId50" Type="http://schemas.openxmlformats.org/officeDocument/2006/relationships/image" Target="media/image30.wmf"/><Relationship Id="rId5" Type="http://schemas.openxmlformats.org/officeDocument/2006/relationships/header" Target="header1.xml"/><Relationship Id="rId49" Type="http://schemas.openxmlformats.org/officeDocument/2006/relationships/image" Target="media/image29.png"/><Relationship Id="rId48" Type="http://schemas.openxmlformats.org/officeDocument/2006/relationships/image" Target="media/image28.png"/><Relationship Id="rId47" Type="http://schemas.openxmlformats.org/officeDocument/2006/relationships/image" Target="media/image27.png"/><Relationship Id="rId46" Type="http://schemas.openxmlformats.org/officeDocument/2006/relationships/image" Target="media/image26.png"/><Relationship Id="rId45" Type="http://schemas.openxmlformats.org/officeDocument/2006/relationships/image" Target="media/image25.png"/><Relationship Id="rId44" Type="http://schemas.openxmlformats.org/officeDocument/2006/relationships/image" Target="media/image24.wmf"/><Relationship Id="rId43" Type="http://schemas.openxmlformats.org/officeDocument/2006/relationships/image" Target="media/image23.png"/><Relationship Id="rId42" Type="http://schemas.openxmlformats.org/officeDocument/2006/relationships/image" Target="media/image22.png"/><Relationship Id="rId41" Type="http://schemas.openxmlformats.org/officeDocument/2006/relationships/image" Target="media/image21.jpeg"/><Relationship Id="rId40" Type="http://schemas.openxmlformats.org/officeDocument/2006/relationships/image" Target="media/image20.png"/><Relationship Id="rId4" Type="http://schemas.openxmlformats.org/officeDocument/2006/relationships/endnotes" Target="endnotes.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emf"/><Relationship Id="rId36" Type="http://schemas.openxmlformats.org/officeDocument/2006/relationships/oleObject" Target="embeddings/oleObject3.bin"/><Relationship Id="rId35" Type="http://schemas.openxmlformats.org/officeDocument/2006/relationships/image" Target="media/image16.png"/><Relationship Id="rId34" Type="http://schemas.openxmlformats.org/officeDocument/2006/relationships/image" Target="media/image15.emf"/><Relationship Id="rId33" Type="http://schemas.openxmlformats.org/officeDocument/2006/relationships/oleObject" Target="embeddings/oleObject2.bin"/><Relationship Id="rId32" Type="http://schemas.openxmlformats.org/officeDocument/2006/relationships/image" Target="media/image14.jpeg"/><Relationship Id="rId31" Type="http://schemas.openxmlformats.org/officeDocument/2006/relationships/image" Target="media/image13.png"/><Relationship Id="rId30" Type="http://schemas.openxmlformats.org/officeDocument/2006/relationships/image" Target="media/image12.tiff"/><Relationship Id="rId3" Type="http://schemas.openxmlformats.org/officeDocument/2006/relationships/footnotes" Target="footnotes.xml"/><Relationship Id="rId29" Type="http://schemas.openxmlformats.org/officeDocument/2006/relationships/image" Target="media/image11.wmf"/><Relationship Id="rId28" Type="http://schemas.openxmlformats.org/officeDocument/2006/relationships/oleObject" Target="embeddings/oleObject1.bin"/><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171</Pages>
  <Words>109288</Words>
  <Characters>123858</Characters>
  <Lines>788</Lines>
  <Paragraphs>222</Paragraphs>
  <TotalTime>0</TotalTime>
  <ScaleCrop>false</ScaleCrop>
  <LinksUpToDate>false</LinksUpToDate>
  <CharactersWithSpaces>125946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哎呦喂</cp:lastModifiedBy>
  <cp:lastPrinted>2022-02-22T12:19:00Z</cp:lastPrinted>
  <dcterms:modified xsi:type="dcterms:W3CDTF">2023-09-18T03:33:28Z</dcterms:modified>
  <cp:revision>112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9D3C82237BCC42F8ADF56B775D9B2379</vt:lpwstr>
  </property>
</Properties>
</file>